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8C437" w14:textId="258DC5C4" w:rsidR="000D159D" w:rsidRPr="00BE4979" w:rsidRDefault="00BE4979" w:rsidP="0073144E">
      <w:pPr>
        <w:shd w:val="clear" w:color="auto" w:fill="FFFFFF"/>
        <w:spacing w:before="100" w:beforeAutospacing="1" w:after="100" w:afterAutospacing="1" w:line="240" w:lineRule="auto"/>
        <w:outlineLvl w:val="0"/>
        <w:rPr>
          <w:rFonts w:ascii="Segoe UI" w:eastAsia="Times New Roman" w:hAnsi="Segoe UI" w:cs="Segoe UI"/>
          <w:kern w:val="36"/>
          <w:sz w:val="48"/>
          <w:szCs w:val="48"/>
        </w:rPr>
      </w:pPr>
      <w:hyperlink r:id="rId5" w:history="1">
        <w:r w:rsidR="00C222C0" w:rsidRPr="00BE4979">
          <w:rPr>
            <w:rStyle w:val="Hyperlink"/>
            <w:rFonts w:ascii="Segoe UI" w:hAnsi="Segoe UI"/>
            <w:b/>
            <w:sz w:val="30"/>
            <w:shd w:val="clear" w:color="auto" w:fill="FFFFFF"/>
          </w:rPr>
          <w:t>English</w:t>
        </w:r>
      </w:hyperlink>
      <w:r w:rsidR="00C222C0" w:rsidRPr="00BE4979">
        <w:rPr>
          <w:rFonts w:ascii="Segoe UI" w:hAnsi="Segoe UI"/>
          <w:b/>
          <w:sz w:val="30"/>
          <w:shd w:val="clear" w:color="auto" w:fill="FFFFFF"/>
        </w:rPr>
        <w:t xml:space="preserve"> | </w:t>
      </w:r>
      <w:hyperlink r:id="rId6" w:history="1">
        <w:r w:rsidR="00C222C0" w:rsidRPr="00BE4979">
          <w:rPr>
            <w:rStyle w:val="Hyperlink"/>
            <w:rFonts w:ascii="MS Gothic" w:eastAsia="MS Gothic" w:hAnsi="MS Gothic" w:cs="MS Gothic" w:hint="eastAsia"/>
            <w:b/>
            <w:sz w:val="30"/>
          </w:rPr>
          <w:t>繁體中文</w:t>
        </w:r>
      </w:hyperlink>
      <w:r w:rsidR="00C222C0" w:rsidRPr="00BE4979">
        <w:rPr>
          <w:rFonts w:ascii="Segoe UI" w:hAnsi="Segoe UI"/>
          <w:b/>
          <w:sz w:val="30"/>
        </w:rPr>
        <w:t> </w:t>
      </w:r>
      <w:r w:rsidR="00C222C0" w:rsidRPr="00BE4979">
        <w:rPr>
          <w:rFonts w:ascii="Segoe UI" w:hAnsi="Segoe UI"/>
          <w:b/>
          <w:sz w:val="30"/>
          <w:shd w:val="clear" w:color="auto" w:fill="FFFFFF"/>
        </w:rPr>
        <w:t>| </w:t>
      </w:r>
      <w:hyperlink r:id="rId7" w:history="1">
        <w:r w:rsidR="00C222C0" w:rsidRPr="00BE4979">
          <w:rPr>
            <w:rStyle w:val="Hyperlink"/>
            <w:rFonts w:ascii="Segoe UI" w:hAnsi="Segoe UI"/>
            <w:b/>
            <w:sz w:val="30"/>
          </w:rPr>
          <w:t>Kreyòl Ayisyen</w:t>
        </w:r>
      </w:hyperlink>
      <w:r w:rsidR="00C222C0" w:rsidRPr="00BE4979">
        <w:rPr>
          <w:rFonts w:ascii="Segoe UI" w:hAnsi="Segoe UI"/>
          <w:b/>
          <w:sz w:val="30"/>
          <w:shd w:val="clear" w:color="auto" w:fill="FFFFFF"/>
        </w:rPr>
        <w:t> | </w:t>
      </w:r>
      <w:hyperlink r:id="rId8" w:history="1">
        <w:r w:rsidR="00C222C0" w:rsidRPr="00BE4979">
          <w:rPr>
            <w:rStyle w:val="Hyperlink"/>
            <w:rFonts w:ascii="Segoe UI" w:hAnsi="Segoe UI"/>
            <w:b/>
            <w:sz w:val="30"/>
          </w:rPr>
          <w:t>português</w:t>
        </w:r>
      </w:hyperlink>
      <w:r w:rsidR="00C222C0" w:rsidRPr="00BE4979">
        <w:rPr>
          <w:rFonts w:ascii="Segoe UI" w:hAnsi="Segoe UI"/>
          <w:b/>
          <w:sz w:val="30"/>
        </w:rPr>
        <w:t>​ </w:t>
      </w:r>
      <w:r w:rsidR="00C222C0" w:rsidRPr="00BE4979">
        <w:rPr>
          <w:rFonts w:ascii="Segoe UI" w:hAnsi="Segoe UI"/>
          <w:b/>
          <w:sz w:val="30"/>
          <w:shd w:val="clear" w:color="auto" w:fill="FFFFFF"/>
        </w:rPr>
        <w:t>| </w:t>
      </w:r>
      <w:r w:rsidR="00C222C0" w:rsidRPr="00BE4979">
        <w:rPr>
          <w:rFonts w:ascii="Segoe UI" w:hAnsi="Segoe UI"/>
          <w:b/>
          <w:sz w:val="30"/>
        </w:rPr>
        <w:t>español </w:t>
      </w:r>
      <w:r w:rsidR="00C222C0" w:rsidRPr="00BE4979">
        <w:rPr>
          <w:rFonts w:ascii="Segoe UI" w:hAnsi="Segoe UI"/>
          <w:b/>
          <w:sz w:val="30"/>
          <w:shd w:val="clear" w:color="auto" w:fill="FFFFFF"/>
        </w:rPr>
        <w:t>| </w:t>
      </w:r>
      <w:hyperlink r:id="rId9" w:history="1">
        <w:r w:rsidR="00C222C0" w:rsidRPr="00BE4979">
          <w:rPr>
            <w:rStyle w:val="Hyperlink"/>
            <w:rFonts w:ascii="Segoe UI" w:hAnsi="Segoe UI"/>
            <w:b/>
            <w:sz w:val="30"/>
          </w:rPr>
          <w:t>Việt</w:t>
        </w:r>
      </w:hyperlink>
      <w:r w:rsidR="00C222C0" w:rsidRPr="00BE4979">
        <w:rPr>
          <w:rFonts w:ascii="Segoe UI" w:hAnsi="Segoe UI"/>
          <w:b/>
          <w:sz w:val="30"/>
        </w:rPr>
        <w:t>​</w:t>
      </w:r>
    </w:p>
    <w:p w14:paraId="02CCBBD3" w14:textId="56EA4091" w:rsidR="0073144E" w:rsidRPr="0073144E" w:rsidRDefault="0073144E" w:rsidP="0073144E">
      <w:pPr>
        <w:shd w:val="clear" w:color="auto" w:fill="FFFFFF"/>
        <w:spacing w:before="100" w:beforeAutospacing="1" w:after="100" w:afterAutospacing="1" w:line="240" w:lineRule="auto"/>
        <w:outlineLvl w:val="0"/>
        <w:rPr>
          <w:rFonts w:ascii="Segoe UI" w:eastAsia="Times New Roman" w:hAnsi="Segoe UI" w:cs="Segoe UI"/>
          <w:color w:val="222222"/>
          <w:kern w:val="36"/>
          <w:sz w:val="48"/>
          <w:szCs w:val="48"/>
        </w:rPr>
      </w:pPr>
      <w:r>
        <w:rPr>
          <w:rFonts w:ascii="Segoe UI" w:hAnsi="Segoe UI"/>
          <w:color w:val="222222"/>
          <w:sz w:val="48"/>
        </w:rPr>
        <w:t>Plan de desempeño estatal de Massachusetts (MA SPP) e informes anuales de desempeño (MA APR)</w:t>
      </w:r>
    </w:p>
    <w:p w14:paraId="034E36F1" w14:textId="77777777" w:rsidR="0073144E" w:rsidRPr="0073144E" w:rsidRDefault="0073144E" w:rsidP="0073144E">
      <w:pPr>
        <w:shd w:val="clear" w:color="auto" w:fill="FFFFFF"/>
        <w:spacing w:after="100" w:afterAutospacing="1" w:line="240" w:lineRule="auto"/>
        <w:rPr>
          <w:rFonts w:ascii="Segoe UI" w:eastAsia="Times New Roman" w:hAnsi="Segoe UI" w:cs="Segoe UI"/>
          <w:color w:val="222222"/>
          <w:sz w:val="24"/>
          <w:szCs w:val="24"/>
        </w:rPr>
      </w:pPr>
      <w:r>
        <w:rPr>
          <w:rFonts w:ascii="Segoe UI" w:hAnsi="Segoe UI"/>
          <w:color w:val="222222"/>
          <w:sz w:val="24"/>
        </w:rPr>
        <w:t>La Ley de Educación para Individuos con Discapacidades (IDEA) establece que cada estado debe presentar un plan de desempeño estatal/informe de desempeño anual (SPP/APR) al gobierno federal. Este SPP/APR explica cómo está trabajando el estado para cumplir con los requisitos de IDEA. SPP/APR incluyen:</w:t>
      </w:r>
    </w:p>
    <w:p w14:paraId="6A9E7240" w14:textId="37AFCB10" w:rsidR="0073144E" w:rsidRPr="0073144E" w:rsidRDefault="0073144E" w:rsidP="0073144E">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hAnsi="Segoe UI"/>
          <w:color w:val="212529"/>
          <w:sz w:val="24"/>
        </w:rPr>
        <w:t>Indicadores que miden los resultados del niño y la familia. Estos se denominan "Indicadores de desempeño". Hay ocho Indicadores de desempeño.</w:t>
      </w:r>
    </w:p>
    <w:p w14:paraId="5B91E2A7" w14:textId="5F2C7787" w:rsidR="0073144E" w:rsidRPr="0073144E" w:rsidRDefault="0073144E" w:rsidP="0073144E">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hAnsi="Segoe UI"/>
          <w:color w:val="212529"/>
          <w:sz w:val="24"/>
        </w:rPr>
        <w:t>Indicadores que miden el cumplimiento de IDEA. Estos se denominan "Indicadores de cumplimiento". Hay nueve Indicadores de cumplimiento.</w:t>
      </w:r>
    </w:p>
    <w:p w14:paraId="06B0F7F7" w14:textId="27CE6AEF" w:rsidR="0073144E" w:rsidRPr="0073144E" w:rsidRDefault="0073144E" w:rsidP="0073144E">
      <w:pPr>
        <w:shd w:val="clear" w:color="auto" w:fill="FFFFFF"/>
        <w:spacing w:after="100" w:afterAutospacing="1" w:line="240" w:lineRule="auto"/>
        <w:rPr>
          <w:rFonts w:ascii="Segoe UI" w:eastAsia="Times New Roman" w:hAnsi="Segoe UI" w:cs="Segoe UI"/>
          <w:color w:val="222222"/>
          <w:sz w:val="24"/>
          <w:szCs w:val="24"/>
        </w:rPr>
      </w:pPr>
      <w:r>
        <w:rPr>
          <w:rFonts w:ascii="Segoe UI" w:hAnsi="Segoe UI"/>
          <w:color w:val="222222"/>
          <w:sz w:val="24"/>
        </w:rPr>
        <w:t>Puede ver los datos del distrito escolar para los Indicadores de desempeño y cumplimiento de nuestro estado en el </w:t>
      </w:r>
      <w:hyperlink r:id="rId10" w:history="1">
        <w:r>
          <w:rPr>
            <w:rFonts w:ascii="Segoe UI" w:hAnsi="Segoe UI"/>
            <w:color w:val="0060C7"/>
            <w:sz w:val="24"/>
          </w:rPr>
          <w:t>sitio web de perfiles de escuelas y distritos de Massachusetts</w:t>
        </w:r>
      </w:hyperlink>
      <w:r>
        <w:rPr>
          <w:rFonts w:ascii="Segoe UI" w:hAnsi="Segoe UI"/>
          <w:color w:val="222222"/>
          <w:sz w:val="24"/>
        </w:rPr>
        <w:t>.</w:t>
      </w:r>
    </w:p>
    <w:p w14:paraId="4E25634C" w14:textId="77777777" w:rsidR="0073144E" w:rsidRPr="0073144E" w:rsidRDefault="0073144E" w:rsidP="0073144E">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Preguntas de contexto e indicadores</w:t>
      </w:r>
    </w:p>
    <w:p w14:paraId="0B5F26AA" w14:textId="77777777" w:rsidR="0073144E" w:rsidRPr="0073144E" w:rsidRDefault="0073144E" w:rsidP="0073144E">
      <w:pPr>
        <w:shd w:val="clear" w:color="auto" w:fill="FFFFFF"/>
        <w:spacing w:after="100" w:afterAutospacing="1" w:line="240" w:lineRule="auto"/>
        <w:rPr>
          <w:rFonts w:ascii="Segoe UI" w:eastAsia="Times New Roman" w:hAnsi="Segoe UI" w:cs="Segoe UI"/>
          <w:color w:val="222222"/>
          <w:sz w:val="24"/>
          <w:szCs w:val="24"/>
        </w:rPr>
      </w:pPr>
      <w:r>
        <w:rPr>
          <w:rFonts w:ascii="Segoe UI" w:hAnsi="Segoe UI"/>
          <w:color w:val="222222"/>
          <w:sz w:val="24"/>
        </w:rPr>
        <w:t>La Oficina de Planificación y Políticas de Educación Especial (SEPP) administra la recopilación, organización y análisis de datos para los 17 indicadores de desempeño y cumplimiento de la educación especial bajo la Ley de Individuos con Discapacidades (IDEA). Los datos de este indicador se recopilan y envían cada año a la Oficina de Programas de Educación Especial (OSEP) en el Plan de desempeño estatal y el informe anual de desempeño (SPP/APR).</w:t>
      </w:r>
    </w:p>
    <w:p w14:paraId="5C5B093E" w14:textId="77777777" w:rsidR="0073144E" w:rsidRPr="0073144E" w:rsidRDefault="0073144E" w:rsidP="0073144E">
      <w:pPr>
        <w:shd w:val="clear" w:color="auto" w:fill="FFFFFF"/>
        <w:spacing w:after="100" w:afterAutospacing="1" w:line="240" w:lineRule="auto"/>
        <w:rPr>
          <w:rFonts w:ascii="Segoe UI" w:eastAsia="Times New Roman" w:hAnsi="Segoe UI" w:cs="Segoe UI"/>
          <w:color w:val="222222"/>
          <w:sz w:val="24"/>
          <w:szCs w:val="24"/>
        </w:rPr>
      </w:pPr>
      <w:r>
        <w:rPr>
          <w:rFonts w:ascii="Segoe UI" w:hAnsi="Segoe UI"/>
          <w:color w:val="222222"/>
          <w:sz w:val="24"/>
        </w:rPr>
        <w:t>Las preguntas de contexto son preguntas generales sobre la importancia y el significado de cada indicador.  Cada pregunta brinda a las partes interesadas un contexto para comprender mejor la calidad de los servicios de educación especial de la Mancomunidad. Además, cada página web incluye una descripción del indicador, cómo se mide, qué muestran los datos, qué significan esos datos para los estudiantes y sus familias, y recursos adicionales para obtener más información.</w:t>
      </w:r>
    </w:p>
    <w:p w14:paraId="2B7E8649" w14:textId="34E91E47" w:rsidR="0073144E" w:rsidRPr="0073144E" w:rsidRDefault="0073144E" w:rsidP="0073144E">
      <w:pPr>
        <w:shd w:val="clear" w:color="auto" w:fill="FFFFFF"/>
        <w:spacing w:after="100" w:afterAutospacing="1" w:line="240" w:lineRule="auto"/>
        <w:rPr>
          <w:rFonts w:ascii="Segoe UI" w:eastAsia="Times New Roman" w:hAnsi="Segoe UI" w:cs="Segoe UI"/>
          <w:color w:val="222222"/>
          <w:sz w:val="24"/>
          <w:szCs w:val="24"/>
        </w:rPr>
      </w:pPr>
      <w:r>
        <w:rPr>
          <w:rFonts w:ascii="Segoe UI" w:hAnsi="Segoe UI"/>
          <w:color w:val="222222"/>
          <w:sz w:val="24"/>
        </w:rPr>
        <w:t>El Departamento de Educación Primaria y Secundaria (DESE) juega un papel importante para garantizar el acceso a una educación de alta calidad para todos los estudiantes de la Mancomunidad. Parte de esta misión de la supervisión general del cumplimiento de IDEA es garantizar que las herramientas y las intervenciones en uso para ayudar a los estudiantes con discapacidades no perpetúen también las desigualdades. DESE se compromete a fortalecer las habilidades y conocimientos para brindar mayor acceso y oportunidades a todos los estudiantes. DESE reconoce la necesidad de comprender cómo las políticas y prácticas pueden apoyar resultados estudiantiles más equitativos. Las preguntas de contexto y los indicadores analizan de cerca los datos de desempeño y cumplimiento en relación con la raza, el origen étnico, el idioma y las categorías específicas de discapacidad. SEPP se esfuerza por cerrar no solo las brechas de desempeño sino también las de equidad en todos los indicadores para mejorar los resultados de los estudiantes con discapacidades.</w:t>
      </w:r>
    </w:p>
    <w:tbl>
      <w:tblPr>
        <w:tblStyle w:val="TableGrid"/>
        <w:tblW w:w="9893" w:type="dxa"/>
        <w:tblLook w:val="04A0" w:firstRow="1" w:lastRow="0" w:firstColumn="1" w:lastColumn="0" w:noHBand="0" w:noVBand="1"/>
      </w:tblPr>
      <w:tblGrid>
        <w:gridCol w:w="6209"/>
        <w:gridCol w:w="3684"/>
      </w:tblGrid>
      <w:tr w:rsidR="0073144E" w:rsidRPr="0073144E" w14:paraId="1EADE0B0" w14:textId="77777777" w:rsidTr="005639D1">
        <w:tc>
          <w:tcPr>
            <w:tcW w:w="0" w:type="auto"/>
            <w:hideMark/>
          </w:tcPr>
          <w:p w14:paraId="2FF2748A" w14:textId="77777777" w:rsidR="0073144E" w:rsidRPr="0073144E" w:rsidRDefault="0073144E" w:rsidP="0073144E">
            <w:pPr>
              <w:jc w:val="center"/>
              <w:rPr>
                <w:rFonts w:ascii="Times New Roman" w:eastAsia="Times New Roman" w:hAnsi="Times New Roman" w:cs="Times New Roman"/>
                <w:b/>
                <w:bCs/>
                <w:color w:val="212529"/>
                <w:sz w:val="24"/>
                <w:szCs w:val="24"/>
              </w:rPr>
            </w:pPr>
            <w:r>
              <w:rPr>
                <w:rFonts w:ascii="Times New Roman" w:hAnsi="Times New Roman"/>
                <w:b/>
                <w:color w:val="212529"/>
                <w:sz w:val="24"/>
              </w:rPr>
              <w:lastRenderedPageBreak/>
              <w:t>Preguntas de contexto</w:t>
            </w:r>
          </w:p>
        </w:tc>
        <w:tc>
          <w:tcPr>
            <w:tcW w:w="0" w:type="auto"/>
            <w:hideMark/>
          </w:tcPr>
          <w:p w14:paraId="036D99B1" w14:textId="77777777" w:rsidR="0073144E" w:rsidRPr="0073144E" w:rsidRDefault="0073144E" w:rsidP="0073144E">
            <w:pPr>
              <w:jc w:val="center"/>
              <w:rPr>
                <w:rFonts w:ascii="Times New Roman" w:eastAsia="Times New Roman" w:hAnsi="Times New Roman" w:cs="Times New Roman"/>
                <w:b/>
                <w:bCs/>
                <w:color w:val="212529"/>
                <w:sz w:val="24"/>
                <w:szCs w:val="24"/>
              </w:rPr>
            </w:pPr>
            <w:r>
              <w:rPr>
                <w:rFonts w:ascii="Times New Roman" w:hAnsi="Times New Roman"/>
                <w:b/>
                <w:color w:val="212529"/>
                <w:sz w:val="24"/>
              </w:rPr>
              <w:t>Indicadores</w:t>
            </w:r>
          </w:p>
        </w:tc>
      </w:tr>
      <w:tr w:rsidR="0073144E" w:rsidRPr="0073144E" w14:paraId="0F619DF4" w14:textId="77777777" w:rsidTr="005639D1">
        <w:tc>
          <w:tcPr>
            <w:tcW w:w="0" w:type="auto"/>
            <w:hideMark/>
          </w:tcPr>
          <w:p w14:paraId="0F917B0F" w14:textId="77777777" w:rsidR="0073144E" w:rsidRPr="0073144E" w:rsidRDefault="0073144E" w:rsidP="0073144E">
            <w:pPr>
              <w:rPr>
                <w:rFonts w:ascii="Times New Roman" w:eastAsia="Times New Roman" w:hAnsi="Times New Roman" w:cs="Times New Roman"/>
                <w:color w:val="212529"/>
                <w:sz w:val="24"/>
                <w:szCs w:val="24"/>
              </w:rPr>
            </w:pPr>
            <w:r>
              <w:rPr>
                <w:rFonts w:ascii="Times New Roman" w:hAnsi="Times New Roman"/>
                <w:color w:val="212529"/>
                <w:sz w:val="24"/>
              </w:rPr>
              <w:t>¿Cómo involucran las escuelas de manera significativa a los padres en la educación de sus hijos con discapacidades?</w:t>
            </w:r>
          </w:p>
        </w:tc>
        <w:tc>
          <w:tcPr>
            <w:tcW w:w="0" w:type="auto"/>
            <w:hideMark/>
          </w:tcPr>
          <w:p w14:paraId="5B2AADFD" w14:textId="77777777" w:rsidR="0073144E" w:rsidRPr="0073144E" w:rsidRDefault="000933AC" w:rsidP="0073144E">
            <w:pPr>
              <w:numPr>
                <w:ilvl w:val="0"/>
                <w:numId w:val="2"/>
              </w:numPr>
              <w:spacing w:before="100" w:beforeAutospacing="1" w:after="100" w:afterAutospacing="1"/>
              <w:rPr>
                <w:rFonts w:ascii="Times New Roman" w:eastAsia="Times New Roman" w:hAnsi="Times New Roman" w:cs="Times New Roman"/>
                <w:color w:val="212529"/>
                <w:sz w:val="24"/>
                <w:szCs w:val="24"/>
              </w:rPr>
            </w:pPr>
            <w:hyperlink r:id="rId11" w:history="1">
              <w:r w:rsidR="0073144E">
                <w:rPr>
                  <w:rFonts w:ascii="Times New Roman" w:hAnsi="Times New Roman"/>
                  <w:color w:val="0060C7"/>
                  <w:sz w:val="24"/>
                </w:rPr>
                <w:t>Indicador 8:</w:t>
              </w:r>
            </w:hyperlink>
            <w:hyperlink r:id="rId12" w:history="1">
              <w:r w:rsidR="0073144E">
                <w:rPr>
                  <w:rFonts w:ascii="Times New Roman" w:hAnsi="Times New Roman"/>
                  <w:color w:val="0060C7"/>
                  <w:sz w:val="24"/>
                </w:rPr>
                <w:t xml:space="preserve"> Participación de los padres</w:t>
              </w:r>
            </w:hyperlink>
          </w:p>
        </w:tc>
      </w:tr>
      <w:tr w:rsidR="0073144E" w:rsidRPr="0073144E" w14:paraId="5723FD5A" w14:textId="77777777" w:rsidTr="005639D1">
        <w:tc>
          <w:tcPr>
            <w:tcW w:w="0" w:type="auto"/>
            <w:hideMark/>
          </w:tcPr>
          <w:p w14:paraId="2EF5415B" w14:textId="76E8B557" w:rsidR="0073144E" w:rsidRPr="0073144E" w:rsidRDefault="0073144E" w:rsidP="0073144E">
            <w:pPr>
              <w:rPr>
                <w:rFonts w:ascii="Times New Roman" w:eastAsia="Times New Roman" w:hAnsi="Times New Roman" w:cs="Times New Roman"/>
                <w:color w:val="212529"/>
                <w:sz w:val="24"/>
                <w:szCs w:val="24"/>
              </w:rPr>
            </w:pPr>
            <w:r>
              <w:rPr>
                <w:rFonts w:ascii="Times New Roman" w:hAnsi="Times New Roman"/>
                <w:color w:val="212529"/>
                <w:sz w:val="24"/>
              </w:rPr>
              <w:t>¿Los niños y jóvenes son remitidos, evaluados y calificados como elegibles apropiadamente para educación especial de manera oportuna?</w:t>
            </w:r>
          </w:p>
        </w:tc>
        <w:tc>
          <w:tcPr>
            <w:tcW w:w="0" w:type="auto"/>
            <w:hideMark/>
          </w:tcPr>
          <w:p w14:paraId="11D8FDE1" w14:textId="77777777" w:rsidR="0073144E" w:rsidRPr="0073144E" w:rsidRDefault="000933AC" w:rsidP="0073144E">
            <w:pPr>
              <w:numPr>
                <w:ilvl w:val="0"/>
                <w:numId w:val="3"/>
              </w:numPr>
              <w:spacing w:before="100" w:beforeAutospacing="1" w:after="100" w:afterAutospacing="1"/>
              <w:rPr>
                <w:rFonts w:ascii="Times New Roman" w:eastAsia="Times New Roman" w:hAnsi="Times New Roman" w:cs="Times New Roman"/>
                <w:color w:val="212529"/>
                <w:sz w:val="24"/>
                <w:szCs w:val="24"/>
              </w:rPr>
            </w:pPr>
            <w:hyperlink r:id="rId13" w:history="1">
              <w:r w:rsidR="0073144E">
                <w:rPr>
                  <w:rFonts w:ascii="Times New Roman" w:hAnsi="Times New Roman"/>
                  <w:color w:val="0060C7"/>
                  <w:sz w:val="24"/>
                </w:rPr>
                <w:t>Indicador 11:</w:t>
              </w:r>
            </w:hyperlink>
            <w:hyperlink r:id="rId14" w:history="1">
              <w:r w:rsidR="0073144E">
                <w:rPr>
                  <w:rFonts w:ascii="Times New Roman" w:hAnsi="Times New Roman"/>
                  <w:color w:val="0060C7"/>
                  <w:sz w:val="24"/>
                </w:rPr>
                <w:t xml:space="preserve"> Child Find (evaluaciones iniciales)</w:t>
              </w:r>
            </w:hyperlink>
          </w:p>
          <w:p w14:paraId="4C904E98" w14:textId="77777777" w:rsidR="0073144E" w:rsidRPr="0073144E" w:rsidRDefault="000933AC" w:rsidP="0073144E">
            <w:pPr>
              <w:numPr>
                <w:ilvl w:val="0"/>
                <w:numId w:val="3"/>
              </w:numPr>
              <w:spacing w:before="100" w:beforeAutospacing="1" w:after="100" w:afterAutospacing="1"/>
              <w:rPr>
                <w:rFonts w:ascii="Times New Roman" w:eastAsia="Times New Roman" w:hAnsi="Times New Roman" w:cs="Times New Roman"/>
                <w:color w:val="212529"/>
                <w:sz w:val="24"/>
                <w:szCs w:val="24"/>
              </w:rPr>
            </w:pPr>
            <w:hyperlink r:id="rId15" w:history="1">
              <w:r w:rsidR="0073144E">
                <w:rPr>
                  <w:rFonts w:ascii="Times New Roman" w:hAnsi="Times New Roman"/>
                  <w:color w:val="0060C7"/>
                  <w:sz w:val="24"/>
                </w:rPr>
                <w:t>Indicador 12:</w:t>
              </w:r>
            </w:hyperlink>
            <w:hyperlink r:id="rId16" w:history="1">
              <w:r w:rsidR="0073144E">
                <w:rPr>
                  <w:rFonts w:ascii="Times New Roman" w:hAnsi="Times New Roman"/>
                  <w:color w:val="0060C7"/>
                  <w:sz w:val="24"/>
                </w:rPr>
                <w:t xml:space="preserve"> Transición de la primera infancia (transición de la parte C a la B)</w:t>
              </w:r>
            </w:hyperlink>
          </w:p>
        </w:tc>
      </w:tr>
      <w:tr w:rsidR="0073144E" w:rsidRPr="0073144E" w14:paraId="3B3EB5F1" w14:textId="77777777" w:rsidTr="005639D1">
        <w:tc>
          <w:tcPr>
            <w:tcW w:w="0" w:type="auto"/>
            <w:hideMark/>
          </w:tcPr>
          <w:p w14:paraId="1ABB4143" w14:textId="054B8497" w:rsidR="0073144E" w:rsidRPr="0073144E" w:rsidRDefault="0073144E" w:rsidP="0073144E">
            <w:pPr>
              <w:rPr>
                <w:rFonts w:ascii="Times New Roman" w:eastAsia="Times New Roman" w:hAnsi="Times New Roman" w:cs="Times New Roman"/>
                <w:color w:val="212529"/>
                <w:sz w:val="24"/>
                <w:szCs w:val="24"/>
              </w:rPr>
            </w:pPr>
            <w:r>
              <w:rPr>
                <w:rFonts w:ascii="Times New Roman" w:hAnsi="Times New Roman"/>
                <w:color w:val="212529"/>
                <w:sz w:val="24"/>
              </w:rPr>
              <w:t>¿De qué entornos educativos forman parte los niños y jóvenes con discapacidades, y tienen un acceso significativo al plan de estudios general y la vida escolar?</w:t>
            </w:r>
          </w:p>
        </w:tc>
        <w:tc>
          <w:tcPr>
            <w:tcW w:w="0" w:type="auto"/>
            <w:hideMark/>
          </w:tcPr>
          <w:p w14:paraId="1CC35978" w14:textId="77777777" w:rsidR="0073144E" w:rsidRPr="0073144E" w:rsidRDefault="000933AC" w:rsidP="0073144E">
            <w:pPr>
              <w:numPr>
                <w:ilvl w:val="0"/>
                <w:numId w:val="4"/>
              </w:numPr>
              <w:spacing w:before="100" w:beforeAutospacing="1" w:after="100" w:afterAutospacing="1"/>
              <w:rPr>
                <w:rFonts w:ascii="Times New Roman" w:eastAsia="Times New Roman" w:hAnsi="Times New Roman" w:cs="Times New Roman"/>
                <w:color w:val="212529"/>
                <w:sz w:val="24"/>
                <w:szCs w:val="24"/>
              </w:rPr>
            </w:pPr>
            <w:hyperlink r:id="rId17" w:history="1">
              <w:r w:rsidR="0073144E">
                <w:rPr>
                  <w:rFonts w:ascii="Times New Roman" w:hAnsi="Times New Roman"/>
                  <w:color w:val="0060C7"/>
                  <w:sz w:val="24"/>
                </w:rPr>
                <w:t>Indicador 5:</w:t>
              </w:r>
            </w:hyperlink>
            <w:hyperlink r:id="rId18" w:history="1">
              <w:r w:rsidR="0073144E">
                <w:rPr>
                  <w:rFonts w:ascii="Times New Roman" w:hAnsi="Times New Roman"/>
                  <w:color w:val="0060C7"/>
                  <w:sz w:val="24"/>
                </w:rPr>
                <w:t xml:space="preserve"> Entornos educativos (ubicación LRE)</w:t>
              </w:r>
            </w:hyperlink>
          </w:p>
          <w:p w14:paraId="0D4C17EE" w14:textId="77777777" w:rsidR="0073144E" w:rsidRPr="0073144E" w:rsidRDefault="000933AC" w:rsidP="0073144E">
            <w:pPr>
              <w:numPr>
                <w:ilvl w:val="0"/>
                <w:numId w:val="4"/>
              </w:numPr>
              <w:spacing w:before="100" w:beforeAutospacing="1" w:after="100" w:afterAutospacing="1"/>
              <w:rPr>
                <w:rFonts w:ascii="Times New Roman" w:eastAsia="Times New Roman" w:hAnsi="Times New Roman" w:cs="Times New Roman"/>
                <w:color w:val="212529"/>
                <w:sz w:val="24"/>
                <w:szCs w:val="24"/>
              </w:rPr>
            </w:pPr>
            <w:hyperlink r:id="rId19" w:history="1">
              <w:r w:rsidR="0073144E">
                <w:rPr>
                  <w:rFonts w:ascii="Times New Roman" w:hAnsi="Times New Roman"/>
                  <w:color w:val="0060C7"/>
                  <w:sz w:val="24"/>
                </w:rPr>
                <w:t>Indicador 6:</w:t>
              </w:r>
            </w:hyperlink>
            <w:hyperlink r:id="rId20" w:history="1">
              <w:r w:rsidR="0073144E">
                <w:rPr>
                  <w:rFonts w:ascii="Times New Roman" w:hAnsi="Times New Roman"/>
                  <w:color w:val="0060C7"/>
                  <w:sz w:val="24"/>
                </w:rPr>
                <w:t xml:space="preserve"> Ambientes preescolares (ambientes de la primera Infancia)</w:t>
              </w:r>
            </w:hyperlink>
          </w:p>
        </w:tc>
      </w:tr>
      <w:tr w:rsidR="0073144E" w:rsidRPr="0073144E" w14:paraId="47D313BF" w14:textId="77777777" w:rsidTr="005639D1">
        <w:tc>
          <w:tcPr>
            <w:tcW w:w="0" w:type="auto"/>
            <w:hideMark/>
          </w:tcPr>
          <w:p w14:paraId="6FD6A608" w14:textId="77777777" w:rsidR="0073144E" w:rsidRPr="0073144E" w:rsidRDefault="0073144E" w:rsidP="0073144E">
            <w:pPr>
              <w:rPr>
                <w:rFonts w:ascii="Times New Roman" w:eastAsia="Times New Roman" w:hAnsi="Times New Roman" w:cs="Times New Roman"/>
                <w:color w:val="212529"/>
                <w:sz w:val="24"/>
                <w:szCs w:val="24"/>
              </w:rPr>
            </w:pPr>
            <w:r>
              <w:rPr>
                <w:rFonts w:ascii="Times New Roman" w:hAnsi="Times New Roman"/>
                <w:color w:val="212529"/>
                <w:sz w:val="24"/>
              </w:rPr>
              <w:t>¿Qué progresos están logrando los niños pequeños con discapacidades en relación con el desarrollo socioemocional y cognitivo, y qué sistemas existen para mejorar los resultados?</w:t>
            </w:r>
          </w:p>
        </w:tc>
        <w:tc>
          <w:tcPr>
            <w:tcW w:w="0" w:type="auto"/>
            <w:hideMark/>
          </w:tcPr>
          <w:p w14:paraId="18AC65B0" w14:textId="77777777" w:rsidR="0073144E" w:rsidRPr="0073144E" w:rsidRDefault="000933AC" w:rsidP="0073144E">
            <w:pPr>
              <w:numPr>
                <w:ilvl w:val="0"/>
                <w:numId w:val="5"/>
              </w:numPr>
              <w:spacing w:before="100" w:beforeAutospacing="1" w:after="100" w:afterAutospacing="1"/>
              <w:rPr>
                <w:rFonts w:ascii="Times New Roman" w:eastAsia="Times New Roman" w:hAnsi="Times New Roman" w:cs="Times New Roman"/>
                <w:color w:val="212529"/>
                <w:sz w:val="24"/>
                <w:szCs w:val="24"/>
              </w:rPr>
            </w:pPr>
            <w:hyperlink r:id="rId21" w:history="1">
              <w:r w:rsidR="0073144E">
                <w:rPr>
                  <w:rFonts w:ascii="Times New Roman" w:hAnsi="Times New Roman"/>
                  <w:color w:val="0060C7"/>
                  <w:sz w:val="24"/>
                </w:rPr>
                <w:t>Indicador 7:</w:t>
              </w:r>
            </w:hyperlink>
            <w:hyperlink r:id="rId22" w:history="1">
              <w:r w:rsidR="0073144E">
                <w:rPr>
                  <w:rFonts w:ascii="Times New Roman" w:hAnsi="Times New Roman"/>
                  <w:color w:val="0060C7"/>
                  <w:sz w:val="24"/>
                </w:rPr>
                <w:t xml:space="preserve"> Resultados preescolares</w:t>
              </w:r>
            </w:hyperlink>
          </w:p>
          <w:p w14:paraId="28C5D041" w14:textId="77777777" w:rsidR="0073144E" w:rsidRPr="0073144E" w:rsidRDefault="000933AC" w:rsidP="0073144E">
            <w:pPr>
              <w:numPr>
                <w:ilvl w:val="0"/>
                <w:numId w:val="5"/>
              </w:numPr>
              <w:spacing w:before="100" w:beforeAutospacing="1" w:after="100" w:afterAutospacing="1"/>
              <w:rPr>
                <w:rFonts w:ascii="Times New Roman" w:eastAsia="Times New Roman" w:hAnsi="Times New Roman" w:cs="Times New Roman"/>
                <w:color w:val="212529"/>
                <w:sz w:val="24"/>
                <w:szCs w:val="24"/>
              </w:rPr>
            </w:pPr>
            <w:hyperlink r:id="rId23" w:history="1">
              <w:r w:rsidR="0073144E">
                <w:rPr>
                  <w:rFonts w:ascii="Times New Roman" w:hAnsi="Times New Roman"/>
                  <w:color w:val="0060C7"/>
                  <w:sz w:val="24"/>
                </w:rPr>
                <w:t>Indicador 17:</w:t>
              </w:r>
            </w:hyperlink>
            <w:hyperlink r:id="rId24" w:history="1">
              <w:r w:rsidR="0073144E">
                <w:rPr>
                  <w:rFonts w:ascii="Times New Roman" w:hAnsi="Times New Roman"/>
                  <w:color w:val="0060C7"/>
                  <w:sz w:val="24"/>
                </w:rPr>
                <w:t xml:space="preserve"> Plan Estatal de Mejoramiento Sistémico (SSIP)</w:t>
              </w:r>
            </w:hyperlink>
          </w:p>
        </w:tc>
      </w:tr>
      <w:tr w:rsidR="0073144E" w:rsidRPr="0073144E" w14:paraId="71D9EE5A" w14:textId="77777777" w:rsidTr="005639D1">
        <w:tc>
          <w:tcPr>
            <w:tcW w:w="0" w:type="auto"/>
            <w:hideMark/>
          </w:tcPr>
          <w:p w14:paraId="07A960D4" w14:textId="1937214A" w:rsidR="0073144E" w:rsidRPr="0073144E" w:rsidRDefault="0073144E" w:rsidP="0073144E">
            <w:pPr>
              <w:rPr>
                <w:rFonts w:ascii="Times New Roman" w:eastAsia="Times New Roman" w:hAnsi="Times New Roman" w:cs="Times New Roman"/>
                <w:color w:val="212529"/>
                <w:sz w:val="24"/>
                <w:szCs w:val="24"/>
              </w:rPr>
            </w:pPr>
            <w:r>
              <w:rPr>
                <w:rFonts w:ascii="Times New Roman" w:hAnsi="Times New Roman"/>
                <w:color w:val="212529"/>
                <w:sz w:val="24"/>
              </w:rPr>
              <w:t>¿Los niños y jóvenes son remitidos, evaluados y calificados como elegibles equitativamente sin prejuicios?</w:t>
            </w:r>
          </w:p>
        </w:tc>
        <w:tc>
          <w:tcPr>
            <w:tcW w:w="0" w:type="auto"/>
            <w:hideMark/>
          </w:tcPr>
          <w:p w14:paraId="07F461B6" w14:textId="77777777" w:rsidR="0073144E" w:rsidRPr="0073144E" w:rsidRDefault="000933AC" w:rsidP="0073144E">
            <w:pPr>
              <w:numPr>
                <w:ilvl w:val="0"/>
                <w:numId w:val="6"/>
              </w:numPr>
              <w:spacing w:before="100" w:beforeAutospacing="1" w:after="100" w:afterAutospacing="1"/>
              <w:rPr>
                <w:rFonts w:ascii="Times New Roman" w:eastAsia="Times New Roman" w:hAnsi="Times New Roman" w:cs="Times New Roman"/>
                <w:color w:val="212529"/>
                <w:sz w:val="24"/>
                <w:szCs w:val="24"/>
              </w:rPr>
            </w:pPr>
            <w:hyperlink r:id="rId25" w:history="1">
              <w:r w:rsidR="0073144E">
                <w:rPr>
                  <w:rFonts w:ascii="Times New Roman" w:hAnsi="Times New Roman"/>
                  <w:color w:val="0060C7"/>
                  <w:sz w:val="24"/>
                </w:rPr>
                <w:t>Indicador 9:</w:t>
              </w:r>
            </w:hyperlink>
            <w:hyperlink r:id="rId26" w:history="1">
              <w:r w:rsidR="0073144E">
                <w:rPr>
                  <w:rFonts w:ascii="Times New Roman" w:hAnsi="Times New Roman"/>
                  <w:color w:val="0060C7"/>
                  <w:sz w:val="24"/>
                </w:rPr>
                <w:t xml:space="preserve"> Representación desproporcionada</w:t>
              </w:r>
            </w:hyperlink>
          </w:p>
          <w:p w14:paraId="45553B8A" w14:textId="77777777" w:rsidR="0073144E" w:rsidRPr="0073144E" w:rsidRDefault="000933AC" w:rsidP="0073144E">
            <w:pPr>
              <w:numPr>
                <w:ilvl w:val="0"/>
                <w:numId w:val="6"/>
              </w:numPr>
              <w:spacing w:before="100" w:beforeAutospacing="1" w:after="100" w:afterAutospacing="1"/>
              <w:rPr>
                <w:rFonts w:ascii="Times New Roman" w:eastAsia="Times New Roman" w:hAnsi="Times New Roman" w:cs="Times New Roman"/>
                <w:color w:val="212529"/>
                <w:sz w:val="24"/>
                <w:szCs w:val="24"/>
              </w:rPr>
            </w:pPr>
            <w:hyperlink r:id="rId27" w:history="1">
              <w:r w:rsidR="0073144E">
                <w:rPr>
                  <w:rFonts w:ascii="Times New Roman" w:hAnsi="Times New Roman"/>
                  <w:color w:val="0060C7"/>
                  <w:sz w:val="24"/>
                </w:rPr>
                <w:t>Indicador 10:</w:t>
              </w:r>
            </w:hyperlink>
            <w:hyperlink r:id="rId28" w:history="1">
              <w:r w:rsidR="0073144E">
                <w:rPr>
                  <w:rFonts w:ascii="Times New Roman" w:hAnsi="Times New Roman"/>
                  <w:color w:val="0060C7"/>
                  <w:sz w:val="24"/>
                </w:rPr>
                <w:t xml:space="preserve"> Representación desproporcionada en categorías específicas de discapacidad</w:t>
              </w:r>
            </w:hyperlink>
          </w:p>
        </w:tc>
      </w:tr>
      <w:tr w:rsidR="0073144E" w:rsidRPr="0073144E" w14:paraId="6D4AC970" w14:textId="77777777" w:rsidTr="005639D1">
        <w:tc>
          <w:tcPr>
            <w:tcW w:w="0" w:type="auto"/>
            <w:hideMark/>
          </w:tcPr>
          <w:p w14:paraId="5099EF00" w14:textId="77777777" w:rsidR="0073144E" w:rsidRPr="0073144E" w:rsidRDefault="0073144E" w:rsidP="0073144E">
            <w:pPr>
              <w:spacing w:after="100" w:afterAutospacing="1"/>
              <w:rPr>
                <w:rFonts w:ascii="Times New Roman" w:eastAsia="Times New Roman" w:hAnsi="Times New Roman" w:cs="Times New Roman"/>
                <w:color w:val="222222"/>
                <w:sz w:val="24"/>
                <w:szCs w:val="24"/>
              </w:rPr>
            </w:pPr>
            <w:r>
              <w:rPr>
                <w:rFonts w:ascii="Times New Roman" w:hAnsi="Times New Roman"/>
                <w:color w:val="222222"/>
                <w:sz w:val="24"/>
              </w:rPr>
              <w:t>¿Los niños y jóvenes con discapacidades reciben apoyo conductual equitativo para minimizar las medidas disciplinarias?</w:t>
            </w:r>
          </w:p>
          <w:p w14:paraId="3C72BA07" w14:textId="77777777" w:rsidR="0073144E" w:rsidRPr="0073144E" w:rsidRDefault="0073144E" w:rsidP="0073144E">
            <w:pPr>
              <w:spacing w:after="100" w:afterAutospacing="1"/>
              <w:rPr>
                <w:rFonts w:ascii="Times New Roman" w:eastAsia="Times New Roman" w:hAnsi="Times New Roman" w:cs="Times New Roman"/>
                <w:color w:val="222222"/>
                <w:sz w:val="24"/>
                <w:szCs w:val="24"/>
              </w:rPr>
            </w:pPr>
            <w:r>
              <w:rPr>
                <w:rFonts w:ascii="Times New Roman" w:hAnsi="Times New Roman"/>
                <w:color w:val="222222"/>
                <w:sz w:val="24"/>
              </w:rPr>
              <w:t>¿Son equitativas las tasas de suspensión y expulsión para estudiantes con discapacidades y para estudiantes con discapacidades por raza y etnia?</w:t>
            </w:r>
          </w:p>
        </w:tc>
        <w:tc>
          <w:tcPr>
            <w:tcW w:w="0" w:type="auto"/>
            <w:hideMark/>
          </w:tcPr>
          <w:p w14:paraId="18576F05" w14:textId="18D40C6F" w:rsidR="0073144E" w:rsidRPr="0073144E" w:rsidRDefault="000933AC" w:rsidP="0073144E">
            <w:pPr>
              <w:numPr>
                <w:ilvl w:val="0"/>
                <w:numId w:val="7"/>
              </w:numPr>
              <w:spacing w:before="100" w:beforeAutospacing="1" w:after="100" w:afterAutospacing="1"/>
              <w:rPr>
                <w:rFonts w:ascii="Times New Roman" w:eastAsia="Times New Roman" w:hAnsi="Times New Roman" w:cs="Times New Roman"/>
                <w:color w:val="212529"/>
                <w:sz w:val="24"/>
                <w:szCs w:val="24"/>
              </w:rPr>
            </w:pPr>
            <w:hyperlink r:id="rId29" w:history="1">
              <w:r w:rsidR="0073144E">
                <w:rPr>
                  <w:rFonts w:ascii="Times New Roman" w:hAnsi="Times New Roman"/>
                  <w:color w:val="0060C7"/>
                  <w:sz w:val="24"/>
                </w:rPr>
                <w:t>Indicador 4:</w:t>
              </w:r>
            </w:hyperlink>
            <w:hyperlink r:id="rId30" w:history="1">
              <w:r w:rsidR="0073144E">
                <w:rPr>
                  <w:rFonts w:ascii="Times New Roman" w:hAnsi="Times New Roman"/>
                  <w:color w:val="0060C7"/>
                  <w:sz w:val="24"/>
                </w:rPr>
                <w:t xml:space="preserve"> Discrepancia significativa en la suspensión y expulsión</w:t>
              </w:r>
            </w:hyperlink>
          </w:p>
        </w:tc>
      </w:tr>
      <w:tr w:rsidR="0073144E" w:rsidRPr="0073144E" w14:paraId="7D6BB46C" w14:textId="77777777" w:rsidTr="005639D1">
        <w:tc>
          <w:tcPr>
            <w:tcW w:w="0" w:type="auto"/>
            <w:hideMark/>
          </w:tcPr>
          <w:p w14:paraId="691EB77C" w14:textId="77777777" w:rsidR="0073144E" w:rsidRPr="0073144E" w:rsidRDefault="0073144E" w:rsidP="0073144E">
            <w:pPr>
              <w:spacing w:after="100" w:afterAutospacing="1"/>
              <w:rPr>
                <w:rFonts w:ascii="Times New Roman" w:eastAsia="Times New Roman" w:hAnsi="Times New Roman" w:cs="Times New Roman"/>
                <w:color w:val="222222"/>
                <w:sz w:val="24"/>
                <w:szCs w:val="24"/>
              </w:rPr>
            </w:pPr>
            <w:r>
              <w:rPr>
                <w:rFonts w:ascii="Times New Roman" w:hAnsi="Times New Roman"/>
                <w:color w:val="222222"/>
                <w:sz w:val="24"/>
              </w:rPr>
              <w:t>¿De qué manera los niños y jóvenes con discapacidades participan en las evaluaciones estatales a un ritmo que cumple con los objetivos estatales?</w:t>
            </w:r>
          </w:p>
          <w:p w14:paraId="5A71FC2B" w14:textId="19EDBB8B" w:rsidR="0073144E" w:rsidRPr="0073144E" w:rsidRDefault="0073144E" w:rsidP="0073144E">
            <w:pPr>
              <w:spacing w:after="100" w:afterAutospacing="1"/>
              <w:rPr>
                <w:rFonts w:ascii="Times New Roman" w:eastAsia="Times New Roman" w:hAnsi="Times New Roman" w:cs="Times New Roman"/>
                <w:color w:val="222222"/>
                <w:sz w:val="24"/>
                <w:szCs w:val="24"/>
              </w:rPr>
            </w:pPr>
            <w:r>
              <w:rPr>
                <w:rFonts w:ascii="Times New Roman" w:hAnsi="Times New Roman"/>
                <w:color w:val="222222"/>
                <w:sz w:val="24"/>
              </w:rPr>
              <w:t>¿De qué manera los niños y jóvenes con discapacidades cumplen con los estándares de desempeño académico de nivel de grado?</w:t>
            </w:r>
          </w:p>
        </w:tc>
        <w:tc>
          <w:tcPr>
            <w:tcW w:w="0" w:type="auto"/>
            <w:hideMark/>
          </w:tcPr>
          <w:p w14:paraId="61E3DB94" w14:textId="77777777" w:rsidR="0073144E" w:rsidRPr="0073144E" w:rsidRDefault="000933AC" w:rsidP="0073144E">
            <w:pPr>
              <w:numPr>
                <w:ilvl w:val="0"/>
                <w:numId w:val="8"/>
              </w:numPr>
              <w:spacing w:before="100" w:beforeAutospacing="1" w:after="100" w:afterAutospacing="1"/>
              <w:rPr>
                <w:rFonts w:ascii="Times New Roman" w:eastAsia="Times New Roman" w:hAnsi="Times New Roman" w:cs="Times New Roman"/>
                <w:color w:val="212529"/>
                <w:sz w:val="24"/>
                <w:szCs w:val="24"/>
              </w:rPr>
            </w:pPr>
            <w:hyperlink r:id="rId31" w:history="1">
              <w:r w:rsidR="0073144E">
                <w:rPr>
                  <w:rFonts w:ascii="Times New Roman" w:hAnsi="Times New Roman"/>
                  <w:color w:val="0060C7"/>
                  <w:sz w:val="24"/>
                </w:rPr>
                <w:t>Indicador 3:</w:t>
              </w:r>
            </w:hyperlink>
            <w:hyperlink r:id="rId32" w:history="1">
              <w:r w:rsidR="0073144E">
                <w:rPr>
                  <w:rFonts w:ascii="Times New Roman" w:hAnsi="Times New Roman"/>
                  <w:color w:val="0060C7"/>
                  <w:sz w:val="24"/>
                </w:rPr>
                <w:t xml:space="preserve"> Evaluación</w:t>
              </w:r>
            </w:hyperlink>
          </w:p>
        </w:tc>
      </w:tr>
      <w:tr w:rsidR="0073144E" w:rsidRPr="0073144E" w14:paraId="727C6ADA" w14:textId="77777777" w:rsidTr="005639D1">
        <w:tc>
          <w:tcPr>
            <w:tcW w:w="0" w:type="auto"/>
            <w:hideMark/>
          </w:tcPr>
          <w:p w14:paraId="27F59683" w14:textId="77777777" w:rsidR="0073144E" w:rsidRPr="0073144E" w:rsidRDefault="0073144E" w:rsidP="0073144E">
            <w:pPr>
              <w:rPr>
                <w:rFonts w:ascii="Times New Roman" w:eastAsia="Times New Roman" w:hAnsi="Times New Roman" w:cs="Times New Roman"/>
                <w:color w:val="212529"/>
                <w:sz w:val="24"/>
                <w:szCs w:val="24"/>
              </w:rPr>
            </w:pPr>
            <w:r>
              <w:rPr>
                <w:rFonts w:ascii="Times New Roman" w:hAnsi="Times New Roman"/>
                <w:color w:val="212529"/>
                <w:sz w:val="24"/>
              </w:rPr>
              <w:t xml:space="preserve">¿Qué conocimientos, habilidades y experiencias han adquirido los jóvenes con discapacidades para completar la educación o capacitación posterior a la secundaria, acceder a un trabajo que coincida con sus intereses y habilidades individuales, ganar un salario que les permita vivir y ser un miembro activo de la comunidad? </w:t>
            </w:r>
          </w:p>
        </w:tc>
        <w:tc>
          <w:tcPr>
            <w:tcW w:w="0" w:type="auto"/>
            <w:hideMark/>
          </w:tcPr>
          <w:p w14:paraId="139BDC0F" w14:textId="77777777" w:rsidR="0073144E" w:rsidRPr="0073144E" w:rsidRDefault="000933AC" w:rsidP="0073144E">
            <w:pPr>
              <w:numPr>
                <w:ilvl w:val="0"/>
                <w:numId w:val="9"/>
              </w:numPr>
              <w:spacing w:before="100" w:beforeAutospacing="1" w:after="100" w:afterAutospacing="1"/>
              <w:rPr>
                <w:rFonts w:ascii="Times New Roman" w:eastAsia="Times New Roman" w:hAnsi="Times New Roman" w:cs="Times New Roman"/>
                <w:color w:val="212529"/>
                <w:sz w:val="24"/>
                <w:szCs w:val="24"/>
              </w:rPr>
            </w:pPr>
            <w:hyperlink r:id="rId33" w:history="1">
              <w:r w:rsidR="0073144E">
                <w:rPr>
                  <w:rFonts w:ascii="Times New Roman" w:hAnsi="Times New Roman"/>
                  <w:color w:val="0060C7"/>
                  <w:sz w:val="24"/>
                </w:rPr>
                <w:t>Indicador 1:</w:t>
              </w:r>
            </w:hyperlink>
            <w:hyperlink r:id="rId34" w:history="1">
              <w:r w:rsidR="0073144E">
                <w:rPr>
                  <w:rFonts w:ascii="Times New Roman" w:hAnsi="Times New Roman"/>
                  <w:color w:val="0060C7"/>
                  <w:sz w:val="24"/>
                </w:rPr>
                <w:t xml:space="preserve"> Graduación</w:t>
              </w:r>
            </w:hyperlink>
          </w:p>
          <w:p w14:paraId="5D55F554" w14:textId="50408655" w:rsidR="0073144E" w:rsidRPr="0073144E" w:rsidRDefault="000933AC" w:rsidP="0073144E">
            <w:pPr>
              <w:numPr>
                <w:ilvl w:val="0"/>
                <w:numId w:val="9"/>
              </w:numPr>
              <w:spacing w:before="100" w:beforeAutospacing="1" w:after="100" w:afterAutospacing="1"/>
              <w:rPr>
                <w:rFonts w:ascii="Times New Roman" w:eastAsia="Times New Roman" w:hAnsi="Times New Roman" w:cs="Times New Roman"/>
                <w:color w:val="212529"/>
                <w:sz w:val="24"/>
                <w:szCs w:val="24"/>
              </w:rPr>
            </w:pPr>
            <w:hyperlink r:id="rId35" w:history="1">
              <w:r w:rsidR="0073144E">
                <w:rPr>
                  <w:rFonts w:ascii="Times New Roman" w:hAnsi="Times New Roman"/>
                  <w:color w:val="0060C7"/>
                  <w:sz w:val="24"/>
                </w:rPr>
                <w:t>Indicador 2:</w:t>
              </w:r>
            </w:hyperlink>
            <w:hyperlink r:id="rId36" w:history="1">
              <w:r w:rsidR="0073144E">
                <w:rPr>
                  <w:rFonts w:ascii="Times New Roman" w:hAnsi="Times New Roman"/>
                  <w:color w:val="0060C7"/>
                  <w:sz w:val="24"/>
                </w:rPr>
                <w:t xml:space="preserve"> Abandono</w:t>
              </w:r>
            </w:hyperlink>
          </w:p>
          <w:p w14:paraId="45B1751A" w14:textId="77777777" w:rsidR="0073144E" w:rsidRPr="0073144E" w:rsidRDefault="000933AC" w:rsidP="0073144E">
            <w:pPr>
              <w:numPr>
                <w:ilvl w:val="0"/>
                <w:numId w:val="9"/>
              </w:numPr>
              <w:spacing w:before="100" w:beforeAutospacing="1" w:after="100" w:afterAutospacing="1"/>
              <w:rPr>
                <w:rFonts w:ascii="Times New Roman" w:eastAsia="Times New Roman" w:hAnsi="Times New Roman" w:cs="Times New Roman"/>
                <w:color w:val="212529"/>
                <w:sz w:val="24"/>
                <w:szCs w:val="24"/>
              </w:rPr>
            </w:pPr>
            <w:hyperlink r:id="rId37" w:history="1">
              <w:r w:rsidR="0073144E">
                <w:rPr>
                  <w:rFonts w:ascii="Times New Roman" w:hAnsi="Times New Roman"/>
                  <w:color w:val="0060C7"/>
                  <w:sz w:val="24"/>
                </w:rPr>
                <w:t>Indicador 13:</w:t>
              </w:r>
            </w:hyperlink>
            <w:hyperlink r:id="rId38" w:history="1">
              <w:r w:rsidR="0073144E">
                <w:rPr>
                  <w:rFonts w:ascii="Times New Roman" w:hAnsi="Times New Roman"/>
                  <w:color w:val="0060C7"/>
                  <w:sz w:val="24"/>
                </w:rPr>
                <w:t xml:space="preserve"> Transición secundaria</w:t>
              </w:r>
            </w:hyperlink>
          </w:p>
          <w:p w14:paraId="43E63B44" w14:textId="77777777" w:rsidR="0073144E" w:rsidRPr="0073144E" w:rsidRDefault="000933AC" w:rsidP="0073144E">
            <w:pPr>
              <w:numPr>
                <w:ilvl w:val="0"/>
                <w:numId w:val="9"/>
              </w:numPr>
              <w:spacing w:before="100" w:beforeAutospacing="1" w:after="100" w:afterAutospacing="1"/>
              <w:rPr>
                <w:rFonts w:ascii="Times New Roman" w:eastAsia="Times New Roman" w:hAnsi="Times New Roman" w:cs="Times New Roman"/>
                <w:color w:val="212529"/>
                <w:sz w:val="24"/>
                <w:szCs w:val="24"/>
              </w:rPr>
            </w:pPr>
            <w:hyperlink r:id="rId39" w:history="1">
              <w:r w:rsidR="0073144E">
                <w:rPr>
                  <w:rFonts w:ascii="Times New Roman" w:hAnsi="Times New Roman"/>
                  <w:color w:val="0060C7"/>
                  <w:sz w:val="24"/>
                </w:rPr>
                <w:t>Indicador 14:</w:t>
              </w:r>
            </w:hyperlink>
            <w:hyperlink r:id="rId40" w:history="1">
              <w:r w:rsidR="0073144E">
                <w:rPr>
                  <w:rFonts w:ascii="Times New Roman" w:hAnsi="Times New Roman"/>
                  <w:color w:val="0060C7"/>
                  <w:sz w:val="24"/>
                </w:rPr>
                <w:t xml:space="preserve"> Resultados posteriores a la escuela</w:t>
              </w:r>
            </w:hyperlink>
          </w:p>
        </w:tc>
      </w:tr>
      <w:tr w:rsidR="0073144E" w:rsidRPr="0073144E" w14:paraId="752265A2" w14:textId="77777777" w:rsidTr="005639D1">
        <w:tc>
          <w:tcPr>
            <w:tcW w:w="0" w:type="auto"/>
            <w:hideMark/>
          </w:tcPr>
          <w:p w14:paraId="2A1C3484" w14:textId="77777777" w:rsidR="0073144E" w:rsidRPr="0073144E" w:rsidRDefault="0073144E" w:rsidP="0073144E">
            <w:pPr>
              <w:rPr>
                <w:rFonts w:ascii="Times New Roman" w:eastAsia="Times New Roman" w:hAnsi="Times New Roman" w:cs="Times New Roman"/>
                <w:color w:val="212529"/>
                <w:sz w:val="24"/>
                <w:szCs w:val="24"/>
              </w:rPr>
            </w:pPr>
            <w:r>
              <w:rPr>
                <w:rFonts w:ascii="Times New Roman" w:hAnsi="Times New Roman"/>
                <w:color w:val="212529"/>
                <w:sz w:val="24"/>
              </w:rPr>
              <w:lastRenderedPageBreak/>
              <w:t>¿El sistema de resolución de disputas del estado resulta en acuerdos de conciliación y mediación?</w:t>
            </w:r>
          </w:p>
        </w:tc>
        <w:tc>
          <w:tcPr>
            <w:tcW w:w="0" w:type="auto"/>
            <w:hideMark/>
          </w:tcPr>
          <w:p w14:paraId="17178798" w14:textId="77777777" w:rsidR="0073144E" w:rsidRPr="0073144E" w:rsidRDefault="000933AC" w:rsidP="0073144E">
            <w:pPr>
              <w:numPr>
                <w:ilvl w:val="0"/>
                <w:numId w:val="10"/>
              </w:numPr>
              <w:spacing w:before="100" w:beforeAutospacing="1" w:after="100" w:afterAutospacing="1"/>
              <w:rPr>
                <w:rFonts w:ascii="Times New Roman" w:eastAsia="Times New Roman" w:hAnsi="Times New Roman" w:cs="Times New Roman"/>
                <w:color w:val="212529"/>
                <w:sz w:val="24"/>
                <w:szCs w:val="24"/>
              </w:rPr>
            </w:pPr>
            <w:hyperlink r:id="rId41" w:history="1">
              <w:r w:rsidR="0073144E">
                <w:rPr>
                  <w:rFonts w:ascii="Times New Roman" w:hAnsi="Times New Roman"/>
                  <w:color w:val="0060C7"/>
                  <w:sz w:val="24"/>
                </w:rPr>
                <w:t>Indicador 15:</w:t>
              </w:r>
            </w:hyperlink>
            <w:hyperlink r:id="rId42" w:history="1">
              <w:r w:rsidR="0073144E">
                <w:rPr>
                  <w:rFonts w:ascii="Times New Roman" w:hAnsi="Times New Roman"/>
                  <w:color w:val="0060C7"/>
                  <w:sz w:val="24"/>
                </w:rPr>
                <w:t xml:space="preserve"> Acuerdo de sesión de resolución</w:t>
              </w:r>
            </w:hyperlink>
          </w:p>
          <w:p w14:paraId="7CB98B50" w14:textId="77777777" w:rsidR="0073144E" w:rsidRPr="0073144E" w:rsidRDefault="000933AC" w:rsidP="0073144E">
            <w:pPr>
              <w:numPr>
                <w:ilvl w:val="0"/>
                <w:numId w:val="10"/>
              </w:numPr>
              <w:spacing w:before="100" w:beforeAutospacing="1" w:after="100" w:afterAutospacing="1"/>
              <w:rPr>
                <w:rFonts w:ascii="Times New Roman" w:eastAsia="Times New Roman" w:hAnsi="Times New Roman" w:cs="Times New Roman"/>
                <w:color w:val="212529"/>
                <w:sz w:val="24"/>
                <w:szCs w:val="24"/>
              </w:rPr>
            </w:pPr>
            <w:hyperlink r:id="rId43" w:history="1">
              <w:r w:rsidR="0073144E">
                <w:rPr>
                  <w:rFonts w:ascii="Times New Roman" w:hAnsi="Times New Roman"/>
                  <w:color w:val="0060C7"/>
                  <w:sz w:val="24"/>
                </w:rPr>
                <w:t>Indicador 16:</w:t>
              </w:r>
            </w:hyperlink>
            <w:hyperlink r:id="rId44" w:history="1">
              <w:r w:rsidR="0073144E">
                <w:rPr>
                  <w:rFonts w:ascii="Times New Roman" w:hAnsi="Times New Roman"/>
                  <w:color w:val="0060C7"/>
                  <w:sz w:val="24"/>
                </w:rPr>
                <w:t xml:space="preserve"> Acuerdo de mediación</w:t>
              </w:r>
            </w:hyperlink>
          </w:p>
        </w:tc>
      </w:tr>
    </w:tbl>
    <w:p w14:paraId="43A1F582" w14:textId="77777777" w:rsidR="0073144E" w:rsidRPr="0073144E" w:rsidRDefault="000933AC" w:rsidP="0073144E">
      <w:pPr>
        <w:shd w:val="clear" w:color="auto" w:fill="FFFFFF"/>
        <w:spacing w:after="100" w:afterAutospacing="1" w:line="240" w:lineRule="auto"/>
        <w:rPr>
          <w:rFonts w:ascii="Segoe UI" w:eastAsia="Times New Roman" w:hAnsi="Segoe UI" w:cs="Segoe UI"/>
          <w:color w:val="222222"/>
          <w:sz w:val="24"/>
          <w:szCs w:val="24"/>
        </w:rPr>
      </w:pPr>
      <w:hyperlink r:id="rId45" w:tgtFrame="_blank" w:tooltip="Enlace externo, se abre en ventana nueva" w:history="1">
        <w:r w:rsidR="0073144E">
          <w:rPr>
            <w:rFonts w:ascii="Segoe UI" w:hAnsi="Segoe UI"/>
            <w:color w:val="0060C7"/>
            <w:sz w:val="24"/>
          </w:rPr>
          <w:t>Tarjetas Imprimibles de Indicadores SPP</w:t>
        </w:r>
      </w:hyperlink>
      <w:r w:rsidR="0073144E">
        <w:rPr>
          <w:rFonts w:ascii="Segoe UI" w:hAnsi="Segoe UI"/>
          <w:color w:val="222222"/>
          <w:sz w:val="24"/>
        </w:rPr>
        <w:t> — El Centro de Datos de IDEA, financiado por la Oficina de Programas de Educación Especial del Departamento de Educación, ha creado una lista imprimible de los Indicadores para la parte B y la parte C.</w:t>
      </w:r>
    </w:p>
    <w:p w14:paraId="3754473B" w14:textId="77777777" w:rsidR="0073144E" w:rsidRPr="0073144E" w:rsidRDefault="0073144E" w:rsidP="0073144E">
      <w:pPr>
        <w:shd w:val="clear" w:color="auto" w:fill="FEBD64"/>
        <w:spacing w:after="100" w:afterAutospacing="1" w:line="240" w:lineRule="auto"/>
        <w:rPr>
          <w:rFonts w:ascii="Segoe UI" w:eastAsia="Times New Roman" w:hAnsi="Segoe UI" w:cs="Segoe UI"/>
          <w:color w:val="000000"/>
          <w:sz w:val="24"/>
          <w:szCs w:val="24"/>
        </w:rPr>
      </w:pPr>
      <w:r>
        <w:rPr>
          <w:rFonts w:ascii="Segoe UI" w:hAnsi="Segoe UI"/>
          <w:b/>
          <w:color w:val="000000"/>
          <w:sz w:val="24"/>
        </w:rPr>
        <w:t>Informes estatales y respuestas de la Oficina del Programa de Educación Especial (OSEP)</w:t>
      </w:r>
    </w:p>
    <w:p w14:paraId="373D7574" w14:textId="77777777" w:rsidR="0073144E" w:rsidRPr="0073144E" w:rsidRDefault="0073144E" w:rsidP="0073144E">
      <w:pPr>
        <w:shd w:val="clear" w:color="auto" w:fill="FEBD64"/>
        <w:spacing w:after="100" w:afterAutospacing="1" w:line="240" w:lineRule="auto"/>
        <w:rPr>
          <w:rFonts w:ascii="Segoe UI" w:eastAsia="Times New Roman" w:hAnsi="Segoe UI" w:cs="Segoe UI"/>
          <w:color w:val="000000"/>
          <w:sz w:val="24"/>
          <w:szCs w:val="24"/>
        </w:rPr>
      </w:pPr>
      <w:r>
        <w:rPr>
          <w:rFonts w:ascii="Segoe UI" w:hAnsi="Segoe UI"/>
          <w:color w:val="000000"/>
          <w:sz w:val="24"/>
        </w:rPr>
        <w:t>Presentaciones SPP/APR de Massachusetts:</w:t>
      </w:r>
    </w:p>
    <w:p w14:paraId="4BCFC6DF" w14:textId="77777777" w:rsidR="0073144E" w:rsidRPr="0073144E" w:rsidRDefault="0073144E" w:rsidP="0073144E">
      <w:pPr>
        <w:shd w:val="clear" w:color="auto" w:fill="FEBD64"/>
        <w:spacing w:after="100" w:afterAutospacing="1" w:line="240" w:lineRule="auto"/>
        <w:rPr>
          <w:rFonts w:ascii="Segoe UI" w:eastAsia="Times New Roman" w:hAnsi="Segoe UI" w:cs="Segoe UI"/>
          <w:color w:val="000000"/>
          <w:sz w:val="24"/>
          <w:szCs w:val="24"/>
        </w:rPr>
      </w:pPr>
      <w:r>
        <w:rPr>
          <w:rFonts w:ascii="Segoe UI" w:hAnsi="Segoe UI"/>
          <w:color w:val="000000"/>
          <w:sz w:val="24"/>
        </w:rPr>
        <w:t>Se requiere que un estado presente un plan de desempeño estatal (SPP) al menos cada seis años. Cada año, los estados deben informar sobre los objetivos de su SPP en un informe anual de desempeño (APR). El plan estatal de mejora sistémica (SSIP) es parte del SPP/APR pero requiere un informe separado hasta el año fiscal federal (FFY) 2020. Son presentados y aprobados por la OSEP cada año. FFY hace referencia al año fiscal federal.</w:t>
      </w:r>
    </w:p>
    <w:p w14:paraId="7D0D29C8" w14:textId="77777777" w:rsidR="0073144E" w:rsidRPr="0073144E" w:rsidRDefault="000933AC" w:rsidP="0073144E">
      <w:pPr>
        <w:shd w:val="clear" w:color="auto" w:fill="FEBD64"/>
        <w:spacing w:after="100" w:afterAutospacing="1" w:line="240" w:lineRule="auto"/>
        <w:rPr>
          <w:rFonts w:ascii="Segoe UI" w:eastAsia="Times New Roman" w:hAnsi="Segoe UI" w:cs="Segoe UI"/>
          <w:color w:val="000000"/>
          <w:sz w:val="24"/>
          <w:szCs w:val="24"/>
        </w:rPr>
      </w:pPr>
      <w:hyperlink r:id="rId46" w:tgtFrame="_blank" w:tooltip="Enlace externo, se abre en ventana nueva" w:history="1">
        <w:r w:rsidR="0073144E">
          <w:rPr>
            <w:rFonts w:ascii="Segoe UI" w:hAnsi="Segoe UI"/>
            <w:b/>
            <w:color w:val="000000"/>
            <w:sz w:val="24"/>
          </w:rPr>
          <w:t>Cartas de Planes de Desempeño Estatales (SPP) y Cartas de Informe Anual de Desempeño (APR)</w:t>
        </w:r>
      </w:hyperlink>
    </w:p>
    <w:p w14:paraId="7D08D683" w14:textId="566E459E" w:rsidR="0073144E" w:rsidRPr="0073144E" w:rsidRDefault="0073144E" w:rsidP="0073144E">
      <w:pPr>
        <w:shd w:val="clear" w:color="auto" w:fill="FEBD64"/>
        <w:spacing w:after="100" w:afterAutospacing="1" w:line="240" w:lineRule="auto"/>
        <w:rPr>
          <w:rFonts w:ascii="Segoe UI" w:eastAsia="Times New Roman" w:hAnsi="Segoe UI" w:cs="Segoe UI"/>
          <w:color w:val="000000"/>
          <w:sz w:val="24"/>
          <w:szCs w:val="24"/>
        </w:rPr>
      </w:pPr>
      <w:r>
        <w:rPr>
          <w:rFonts w:ascii="Segoe UI" w:hAnsi="Segoe UI"/>
          <w:color w:val="000000"/>
          <w:sz w:val="24"/>
        </w:rPr>
        <w:t>A continuación, encontrará el Plan de desempeño estatal/Informe de desempeño anual (SPP/APR) más reciente y la respuesta de la Oficina de Programas de Educación Especial (OSEP), incluidas las acciones requeridas.</w:t>
      </w:r>
    </w:p>
    <w:tbl>
      <w:tblPr>
        <w:tblStyle w:val="TableGrid"/>
        <w:tblW w:w="10345" w:type="dxa"/>
        <w:tblLook w:val="04A0" w:firstRow="1" w:lastRow="0" w:firstColumn="1" w:lastColumn="0" w:noHBand="0" w:noVBand="1"/>
      </w:tblPr>
      <w:tblGrid>
        <w:gridCol w:w="5215"/>
        <w:gridCol w:w="5130"/>
      </w:tblGrid>
      <w:tr w:rsidR="0073144E" w:rsidRPr="0073144E" w14:paraId="0C1406CA" w14:textId="77777777" w:rsidTr="0039112D">
        <w:tc>
          <w:tcPr>
            <w:tcW w:w="5215" w:type="dxa"/>
            <w:hideMark/>
          </w:tcPr>
          <w:p w14:paraId="571A5F57" w14:textId="77777777" w:rsidR="0073144E" w:rsidRPr="0073144E" w:rsidRDefault="0073144E" w:rsidP="0073144E">
            <w:pPr>
              <w:jc w:val="center"/>
              <w:rPr>
                <w:rFonts w:ascii="Times New Roman" w:eastAsia="Times New Roman" w:hAnsi="Times New Roman" w:cs="Times New Roman"/>
                <w:b/>
                <w:bCs/>
                <w:color w:val="000000"/>
                <w:sz w:val="24"/>
                <w:szCs w:val="24"/>
              </w:rPr>
            </w:pPr>
            <w:r>
              <w:rPr>
                <w:rFonts w:ascii="Times New Roman" w:hAnsi="Times New Roman"/>
                <w:b/>
                <w:color w:val="000000"/>
                <w:sz w:val="24"/>
              </w:rPr>
              <w:t>Resultados SPP/APR</w:t>
            </w:r>
          </w:p>
        </w:tc>
        <w:tc>
          <w:tcPr>
            <w:tcW w:w="5130" w:type="dxa"/>
            <w:hideMark/>
          </w:tcPr>
          <w:p w14:paraId="29C88145" w14:textId="77777777" w:rsidR="0073144E" w:rsidRPr="0073144E" w:rsidRDefault="0073144E" w:rsidP="0073144E">
            <w:pPr>
              <w:jc w:val="center"/>
              <w:rPr>
                <w:rFonts w:ascii="Times New Roman" w:eastAsia="Times New Roman" w:hAnsi="Times New Roman" w:cs="Times New Roman"/>
                <w:b/>
                <w:bCs/>
                <w:color w:val="000000"/>
                <w:sz w:val="24"/>
                <w:szCs w:val="24"/>
              </w:rPr>
            </w:pPr>
            <w:r>
              <w:rPr>
                <w:rFonts w:ascii="Times New Roman" w:hAnsi="Times New Roman"/>
                <w:b/>
                <w:color w:val="000000"/>
                <w:sz w:val="24"/>
              </w:rPr>
              <w:t>SSIP</w:t>
            </w:r>
          </w:p>
        </w:tc>
      </w:tr>
      <w:tr w:rsidR="0039112D" w:rsidRPr="0073144E" w14:paraId="07F0EE8A" w14:textId="77777777" w:rsidTr="0039112D">
        <w:tc>
          <w:tcPr>
            <w:tcW w:w="5215" w:type="dxa"/>
          </w:tcPr>
          <w:p w14:paraId="3BD4E7A4" w14:textId="73F62527" w:rsidR="0039112D" w:rsidRDefault="006E1948" w:rsidP="0039112D">
            <w:hyperlink r:id="rId47" w:history="1">
              <w:r w:rsidR="0039112D">
                <w:rPr>
                  <w:rFonts w:ascii="Times New Roman" w:hAnsi="Times New Roman"/>
                  <w:color w:val="000000"/>
                  <w:sz w:val="24"/>
                </w:rPr>
                <w:t>APR del SPP de Massachusetts para el FFY 2021 </w:t>
              </w:r>
            </w:hyperlink>
          </w:p>
        </w:tc>
        <w:tc>
          <w:tcPr>
            <w:tcW w:w="5130" w:type="dxa"/>
          </w:tcPr>
          <w:p w14:paraId="71C75ABD" w14:textId="0C4CE560" w:rsidR="0039112D" w:rsidRDefault="0039112D" w:rsidP="0039112D">
            <w:pPr>
              <w:rPr>
                <w:rFonts w:ascii="Times New Roman" w:hAnsi="Times New Roman"/>
                <w:i/>
                <w:color w:val="000000"/>
                <w:sz w:val="24"/>
              </w:rPr>
            </w:pPr>
            <w:r>
              <w:rPr>
                <w:rFonts w:ascii="Times New Roman" w:hAnsi="Times New Roman"/>
                <w:i/>
                <w:color w:val="000000"/>
                <w:sz w:val="24"/>
              </w:rPr>
              <w:t>Incluido en el año fiscal federal 21 SPP/APR</w:t>
            </w:r>
          </w:p>
        </w:tc>
      </w:tr>
      <w:tr w:rsidR="0073144E" w:rsidRPr="0073144E" w14:paraId="5A54FE04" w14:textId="77777777" w:rsidTr="0039112D">
        <w:tc>
          <w:tcPr>
            <w:tcW w:w="5215" w:type="dxa"/>
            <w:hideMark/>
          </w:tcPr>
          <w:p w14:paraId="77553B3C" w14:textId="5F7196F6" w:rsidR="0073144E" w:rsidRPr="0073144E" w:rsidRDefault="000933AC" w:rsidP="0073144E">
            <w:pPr>
              <w:rPr>
                <w:rFonts w:ascii="Times New Roman" w:eastAsia="Times New Roman" w:hAnsi="Times New Roman" w:cs="Times New Roman"/>
                <w:color w:val="000000"/>
                <w:sz w:val="24"/>
                <w:szCs w:val="24"/>
              </w:rPr>
            </w:pPr>
            <w:hyperlink r:id="rId48" w:history="1">
              <w:r w:rsidR="0073144E">
                <w:rPr>
                  <w:rFonts w:ascii="Times New Roman" w:hAnsi="Times New Roman"/>
                  <w:color w:val="000000"/>
                  <w:sz w:val="24"/>
                </w:rPr>
                <w:t>APR del SPP de Massachusetts para el FFY 2020 </w:t>
              </w:r>
            </w:hyperlink>
          </w:p>
        </w:tc>
        <w:tc>
          <w:tcPr>
            <w:tcW w:w="5130" w:type="dxa"/>
            <w:hideMark/>
          </w:tcPr>
          <w:p w14:paraId="1BCE746B" w14:textId="77777777" w:rsidR="0073144E" w:rsidRPr="0073144E" w:rsidRDefault="0073144E" w:rsidP="0073144E">
            <w:pPr>
              <w:rPr>
                <w:rFonts w:ascii="Times New Roman" w:eastAsia="Times New Roman" w:hAnsi="Times New Roman" w:cs="Times New Roman"/>
                <w:color w:val="000000"/>
                <w:sz w:val="24"/>
                <w:szCs w:val="24"/>
              </w:rPr>
            </w:pPr>
            <w:r>
              <w:rPr>
                <w:rFonts w:ascii="Times New Roman" w:hAnsi="Times New Roman"/>
                <w:i/>
                <w:color w:val="000000"/>
                <w:sz w:val="24"/>
              </w:rPr>
              <w:t>Incluido en el año fiscal federal 20 SPP/APR</w:t>
            </w:r>
          </w:p>
        </w:tc>
      </w:tr>
      <w:tr w:rsidR="0073144E" w:rsidRPr="0073144E" w14:paraId="188235A3" w14:textId="77777777" w:rsidTr="0039112D">
        <w:tc>
          <w:tcPr>
            <w:tcW w:w="5215" w:type="dxa"/>
            <w:hideMark/>
          </w:tcPr>
          <w:p w14:paraId="09A1D4CB" w14:textId="23B95008" w:rsidR="0073144E" w:rsidRPr="0073144E" w:rsidRDefault="000933AC" w:rsidP="0073144E">
            <w:pPr>
              <w:rPr>
                <w:rFonts w:ascii="Times New Roman" w:eastAsia="Times New Roman" w:hAnsi="Times New Roman" w:cs="Times New Roman"/>
                <w:color w:val="000000"/>
                <w:sz w:val="24"/>
                <w:szCs w:val="24"/>
              </w:rPr>
            </w:pPr>
            <w:hyperlink r:id="rId49" w:history="1">
              <w:r w:rsidR="0073144E">
                <w:rPr>
                  <w:rFonts w:ascii="Times New Roman" w:hAnsi="Times New Roman"/>
                  <w:color w:val="000000"/>
                  <w:sz w:val="24"/>
                </w:rPr>
                <w:t>APR del SPP de Massachusetts para el FFY 2019 </w:t>
              </w:r>
            </w:hyperlink>
          </w:p>
        </w:tc>
        <w:tc>
          <w:tcPr>
            <w:tcW w:w="5130" w:type="dxa"/>
            <w:hideMark/>
          </w:tcPr>
          <w:p w14:paraId="206D3475" w14:textId="174015A1" w:rsidR="0073144E" w:rsidRPr="0073144E" w:rsidRDefault="000933AC" w:rsidP="0073144E">
            <w:pPr>
              <w:rPr>
                <w:rFonts w:ascii="Times New Roman" w:eastAsia="Times New Roman" w:hAnsi="Times New Roman" w:cs="Times New Roman"/>
                <w:color w:val="000000"/>
                <w:sz w:val="24"/>
                <w:szCs w:val="24"/>
              </w:rPr>
            </w:pPr>
            <w:hyperlink r:id="rId50" w:history="1">
              <w:r w:rsidR="0073144E">
                <w:rPr>
                  <w:rFonts w:ascii="Times New Roman" w:hAnsi="Times New Roman"/>
                  <w:color w:val="000000"/>
                  <w:sz w:val="24"/>
                </w:rPr>
                <w:t>MA SSIP FFY 2019 </w:t>
              </w:r>
            </w:hyperlink>
          </w:p>
        </w:tc>
      </w:tr>
      <w:tr w:rsidR="0073144E" w:rsidRPr="0073144E" w14:paraId="52BB7E1A" w14:textId="77777777" w:rsidTr="0039112D">
        <w:tc>
          <w:tcPr>
            <w:tcW w:w="5215" w:type="dxa"/>
            <w:hideMark/>
          </w:tcPr>
          <w:p w14:paraId="56506C7B" w14:textId="108A8959" w:rsidR="0073144E" w:rsidRPr="0073144E" w:rsidRDefault="000933AC" w:rsidP="0073144E">
            <w:pPr>
              <w:rPr>
                <w:rFonts w:ascii="Times New Roman" w:eastAsia="Times New Roman" w:hAnsi="Times New Roman" w:cs="Times New Roman"/>
                <w:color w:val="000000"/>
                <w:sz w:val="24"/>
                <w:szCs w:val="24"/>
              </w:rPr>
            </w:pPr>
            <w:hyperlink r:id="rId51" w:history="1">
              <w:r w:rsidR="0073144E">
                <w:rPr>
                  <w:rFonts w:ascii="Times New Roman" w:hAnsi="Times New Roman"/>
                  <w:color w:val="000000"/>
                  <w:sz w:val="24"/>
                </w:rPr>
                <w:t>APR del SPP de Massachusetts para el FFY 2018 </w:t>
              </w:r>
            </w:hyperlink>
          </w:p>
        </w:tc>
        <w:tc>
          <w:tcPr>
            <w:tcW w:w="5130" w:type="dxa"/>
            <w:hideMark/>
          </w:tcPr>
          <w:p w14:paraId="665E8259" w14:textId="2DC3D63A" w:rsidR="0073144E" w:rsidRPr="0073144E" w:rsidRDefault="000933AC" w:rsidP="0073144E">
            <w:pPr>
              <w:rPr>
                <w:rFonts w:ascii="Times New Roman" w:eastAsia="Times New Roman" w:hAnsi="Times New Roman" w:cs="Times New Roman"/>
                <w:color w:val="000000"/>
                <w:sz w:val="24"/>
                <w:szCs w:val="24"/>
              </w:rPr>
            </w:pPr>
            <w:hyperlink r:id="rId52" w:history="1">
              <w:r w:rsidR="0073144E">
                <w:rPr>
                  <w:rFonts w:ascii="Times New Roman" w:hAnsi="Times New Roman"/>
                  <w:color w:val="000000"/>
                  <w:sz w:val="24"/>
                </w:rPr>
                <w:t>MA SSIP FFY 2018 </w:t>
              </w:r>
            </w:hyperlink>
          </w:p>
        </w:tc>
      </w:tr>
      <w:tr w:rsidR="0073144E" w:rsidRPr="0073144E" w14:paraId="5E580478" w14:textId="77777777" w:rsidTr="0039112D">
        <w:tc>
          <w:tcPr>
            <w:tcW w:w="5215" w:type="dxa"/>
            <w:hideMark/>
          </w:tcPr>
          <w:p w14:paraId="7DE18941" w14:textId="4CFE4011" w:rsidR="0073144E" w:rsidRPr="0073144E" w:rsidRDefault="000933AC" w:rsidP="0073144E">
            <w:pPr>
              <w:rPr>
                <w:rFonts w:ascii="Times New Roman" w:eastAsia="Times New Roman" w:hAnsi="Times New Roman" w:cs="Times New Roman"/>
                <w:color w:val="000000"/>
                <w:sz w:val="24"/>
                <w:szCs w:val="24"/>
              </w:rPr>
            </w:pPr>
            <w:hyperlink r:id="rId53" w:history="1">
              <w:r w:rsidR="0073144E">
                <w:rPr>
                  <w:rFonts w:ascii="Times New Roman" w:hAnsi="Times New Roman"/>
                  <w:color w:val="000000"/>
                  <w:sz w:val="24"/>
                </w:rPr>
                <w:t>APR del SPP de Massachusetts para el FFY 2017 </w:t>
              </w:r>
            </w:hyperlink>
          </w:p>
        </w:tc>
        <w:tc>
          <w:tcPr>
            <w:tcW w:w="5130" w:type="dxa"/>
            <w:hideMark/>
          </w:tcPr>
          <w:p w14:paraId="505B6C56" w14:textId="50ECB393" w:rsidR="0073144E" w:rsidRPr="0073144E" w:rsidRDefault="000933AC" w:rsidP="0073144E">
            <w:pPr>
              <w:rPr>
                <w:rFonts w:ascii="Times New Roman" w:eastAsia="Times New Roman" w:hAnsi="Times New Roman" w:cs="Times New Roman"/>
                <w:color w:val="000000"/>
                <w:sz w:val="24"/>
                <w:szCs w:val="24"/>
              </w:rPr>
            </w:pPr>
            <w:hyperlink r:id="rId54" w:history="1">
              <w:r w:rsidR="0073144E">
                <w:rPr>
                  <w:rFonts w:ascii="Times New Roman" w:hAnsi="Times New Roman"/>
                  <w:color w:val="000000"/>
                  <w:sz w:val="24"/>
                </w:rPr>
                <w:t>MA SSIP FFY 2017 </w:t>
              </w:r>
            </w:hyperlink>
          </w:p>
        </w:tc>
      </w:tr>
    </w:tbl>
    <w:p w14:paraId="71B058A4" w14:textId="77777777" w:rsidR="0073144E" w:rsidRPr="0073144E" w:rsidRDefault="0073144E" w:rsidP="0073144E">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Información sobre la escuela local y el distrito</w:t>
      </w:r>
    </w:p>
    <w:p w14:paraId="15457EBF" w14:textId="23B201B8" w:rsidR="0073144E" w:rsidRPr="0073144E" w:rsidRDefault="000933AC" w:rsidP="0073144E">
      <w:pPr>
        <w:numPr>
          <w:ilvl w:val="0"/>
          <w:numId w:val="11"/>
        </w:numPr>
        <w:shd w:val="clear" w:color="auto" w:fill="FFFFFF"/>
        <w:spacing w:after="100" w:afterAutospacing="1" w:line="240" w:lineRule="auto"/>
        <w:rPr>
          <w:rFonts w:ascii="Segoe UI" w:eastAsia="Times New Roman" w:hAnsi="Segoe UI" w:cs="Segoe UI"/>
          <w:color w:val="222222"/>
          <w:sz w:val="24"/>
          <w:szCs w:val="24"/>
        </w:rPr>
      </w:pPr>
      <w:hyperlink r:id="rId55" w:history="1">
        <w:r w:rsidR="0073144E">
          <w:rPr>
            <w:rFonts w:ascii="Segoe UI" w:hAnsi="Segoe UI"/>
            <w:color w:val="0060C7"/>
            <w:sz w:val="24"/>
          </w:rPr>
          <w:t>Perfiles escolares y distritales:</w:t>
        </w:r>
      </w:hyperlink>
      <w:hyperlink r:id="rId56" w:history="1">
        <w:r w:rsidR="0073144E">
          <w:rPr>
            <w:rFonts w:ascii="Segoe UI" w:hAnsi="Segoe UI"/>
            <w:color w:val="0060C7"/>
            <w:sz w:val="24"/>
          </w:rPr>
          <w:t xml:space="preserve"> Informe de desempeño de educación especial</w:t>
        </w:r>
      </w:hyperlink>
    </w:p>
    <w:p w14:paraId="261C1FE8" w14:textId="77777777" w:rsidR="0073144E" w:rsidRPr="0073144E" w:rsidRDefault="000933AC" w:rsidP="0073144E">
      <w:pPr>
        <w:numPr>
          <w:ilvl w:val="0"/>
          <w:numId w:val="11"/>
        </w:numPr>
        <w:shd w:val="clear" w:color="auto" w:fill="FFFFFF"/>
        <w:spacing w:after="100" w:afterAutospacing="1" w:line="240" w:lineRule="auto"/>
        <w:rPr>
          <w:rFonts w:ascii="Segoe UI" w:eastAsia="Times New Roman" w:hAnsi="Segoe UI" w:cs="Segoe UI"/>
          <w:color w:val="222222"/>
          <w:sz w:val="24"/>
          <w:szCs w:val="24"/>
        </w:rPr>
      </w:pPr>
      <w:hyperlink r:id="rId57" w:history="1">
        <w:r w:rsidR="0073144E">
          <w:rPr>
            <w:rFonts w:ascii="Segoe UI" w:hAnsi="Segoe UI"/>
            <w:color w:val="0060C7"/>
            <w:sz w:val="24"/>
          </w:rPr>
          <w:t>Listas de rendición de cuentas, materiales y herramientas del distrito y la escuela</w:t>
        </w:r>
      </w:hyperlink>
    </w:p>
    <w:p w14:paraId="2000DBCD" w14:textId="3A8BB9D4" w:rsidR="0073144E" w:rsidRPr="0073144E" w:rsidRDefault="000933AC" w:rsidP="0073144E">
      <w:pPr>
        <w:numPr>
          <w:ilvl w:val="1"/>
          <w:numId w:val="11"/>
        </w:numPr>
        <w:shd w:val="clear" w:color="auto" w:fill="FFFFFF"/>
        <w:spacing w:after="100" w:afterAutospacing="1" w:line="240" w:lineRule="auto"/>
        <w:rPr>
          <w:rFonts w:ascii="Segoe UI" w:eastAsia="Times New Roman" w:hAnsi="Segoe UI" w:cs="Segoe UI"/>
          <w:color w:val="222222"/>
          <w:sz w:val="24"/>
          <w:szCs w:val="24"/>
        </w:rPr>
      </w:pPr>
      <w:hyperlink r:id="rId58" w:history="1">
        <w:r w:rsidR="0073144E">
          <w:rPr>
            <w:rFonts w:ascii="Segoe UI" w:hAnsi="Segoe UI"/>
            <w:color w:val="0060C7"/>
            <w:sz w:val="24"/>
          </w:rPr>
          <w:t>Determinaciones de educación especial de las Agencias Locales de Educación (LEA) de MA</w:t>
        </w:r>
      </w:hyperlink>
    </w:p>
    <w:p w14:paraId="5BFD1D1D" w14:textId="77777777" w:rsidR="0073144E" w:rsidRPr="0073144E" w:rsidRDefault="0073144E" w:rsidP="0073144E">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Recursos adicionales</w:t>
      </w:r>
    </w:p>
    <w:p w14:paraId="1852D2FB" w14:textId="77777777" w:rsidR="0073144E" w:rsidRPr="0073144E" w:rsidRDefault="000933AC" w:rsidP="0073144E">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hyperlink r:id="rId59" w:history="1">
        <w:r w:rsidR="0073144E">
          <w:rPr>
            <w:rFonts w:ascii="Segoe UI" w:hAnsi="Segoe UI"/>
            <w:color w:val="0060C7"/>
            <w:sz w:val="24"/>
          </w:rPr>
          <w:t>Teoría de acción SSIP de Massachusetts</w:t>
        </w:r>
      </w:hyperlink>
    </w:p>
    <w:p w14:paraId="3C749ACF" w14:textId="77777777" w:rsidR="0073144E" w:rsidRPr="0073144E" w:rsidRDefault="000933AC" w:rsidP="0073144E">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hyperlink r:id="rId60" w:history="1">
        <w:r w:rsidR="0073144E">
          <w:rPr>
            <w:rFonts w:ascii="Segoe UI" w:hAnsi="Segoe UI"/>
            <w:color w:val="0060C7"/>
            <w:sz w:val="24"/>
          </w:rPr>
          <w:t>Plan de evaluación SSIP de Massachusetts:</w:t>
        </w:r>
      </w:hyperlink>
      <w:hyperlink r:id="rId61" w:history="1">
        <w:r w:rsidR="0073144E">
          <w:rPr>
            <w:rFonts w:ascii="Segoe UI" w:hAnsi="Segoe UI"/>
            <w:color w:val="0060C7"/>
            <w:sz w:val="24"/>
          </w:rPr>
          <w:t xml:space="preserve"> Marzo de 2020–junio de 2022</w:t>
        </w:r>
      </w:hyperlink>
    </w:p>
    <w:p w14:paraId="6063D6CE" w14:textId="77777777" w:rsidR="0073144E" w:rsidRPr="0073144E" w:rsidRDefault="000933AC" w:rsidP="0073144E">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hyperlink r:id="rId62" w:history="1">
        <w:r w:rsidR="0073144E">
          <w:rPr>
            <w:rFonts w:ascii="Segoe UI" w:hAnsi="Segoe UI"/>
            <w:color w:val="0060C7"/>
            <w:sz w:val="24"/>
          </w:rPr>
          <w:t>Teoría de acción del SSIP de Massachusetts:</w:t>
        </w:r>
      </w:hyperlink>
      <w:hyperlink r:id="rId63" w:history="1">
        <w:r w:rsidR="0073144E">
          <w:rPr>
            <w:rFonts w:ascii="Segoe UI" w:hAnsi="Segoe UI"/>
            <w:color w:val="0060C7"/>
            <w:sz w:val="24"/>
          </w:rPr>
          <w:t xml:space="preserve"> Año fiscal federal efectivo 2022</w:t>
        </w:r>
      </w:hyperlink>
    </w:p>
    <w:p w14:paraId="71349458" w14:textId="77777777" w:rsidR="0073144E" w:rsidRPr="0073144E" w:rsidRDefault="000933AC" w:rsidP="0073144E">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hyperlink r:id="rId64" w:history="1">
        <w:r w:rsidR="0073144E">
          <w:rPr>
            <w:rFonts w:ascii="Segoe UI" w:hAnsi="Segoe UI"/>
            <w:color w:val="0060C7"/>
            <w:sz w:val="24"/>
          </w:rPr>
          <w:t>Plan de evaluación SSIP de Massachusetts:</w:t>
        </w:r>
      </w:hyperlink>
      <w:hyperlink r:id="rId65" w:history="1">
        <w:r w:rsidR="0073144E">
          <w:rPr>
            <w:rFonts w:ascii="Segoe UI" w:hAnsi="Segoe UI"/>
            <w:color w:val="0060C7"/>
            <w:sz w:val="24"/>
          </w:rPr>
          <w:t xml:space="preserve"> Año fiscal federal efectivo 2022</w:t>
        </w:r>
      </w:hyperlink>
    </w:p>
    <w:p w14:paraId="092BE94F" w14:textId="77777777" w:rsidR="0073144E" w:rsidRPr="0073144E" w:rsidRDefault="0073144E" w:rsidP="0073144E">
      <w:pPr>
        <w:shd w:val="clear" w:color="auto" w:fill="FFFFFF"/>
        <w:spacing w:after="100" w:afterAutospacing="1" w:line="240" w:lineRule="auto"/>
        <w:rPr>
          <w:rFonts w:ascii="Segoe UI" w:eastAsia="Times New Roman" w:hAnsi="Segoe UI" w:cs="Segoe UI"/>
          <w:color w:val="222222"/>
          <w:sz w:val="24"/>
          <w:szCs w:val="24"/>
        </w:rPr>
      </w:pPr>
      <w:r>
        <w:rPr>
          <w:rFonts w:ascii="Segoe UI" w:hAnsi="Segoe UI"/>
          <w:b/>
          <w:color w:val="222222"/>
          <w:sz w:val="24"/>
        </w:rPr>
        <w:t>Para mayor información sobre los Indicadores SPP/APR contactar a:</w:t>
      </w:r>
    </w:p>
    <w:p w14:paraId="74A2408E" w14:textId="77777777" w:rsidR="0073144E" w:rsidRPr="0073144E" w:rsidRDefault="0073144E" w:rsidP="0073144E">
      <w:pPr>
        <w:shd w:val="clear" w:color="auto" w:fill="FFFFFF"/>
        <w:spacing w:after="100" w:afterAutospacing="1" w:line="240" w:lineRule="auto"/>
        <w:rPr>
          <w:rFonts w:ascii="Segoe UI" w:eastAsia="Times New Roman" w:hAnsi="Segoe UI" w:cs="Segoe UI"/>
          <w:color w:val="222222"/>
          <w:sz w:val="24"/>
          <w:szCs w:val="24"/>
        </w:rPr>
      </w:pPr>
      <w:r>
        <w:rPr>
          <w:rFonts w:ascii="Segoe UI" w:hAnsi="Segoe UI"/>
          <w:color w:val="222222"/>
          <w:sz w:val="24"/>
        </w:rPr>
        <w:t>Oficina de Políticas y Planificación de Educación Especial</w:t>
      </w:r>
      <w:r>
        <w:rPr>
          <w:rFonts w:ascii="Segoe UI" w:hAnsi="Segoe UI"/>
          <w:color w:val="222222"/>
          <w:sz w:val="24"/>
        </w:rPr>
        <w:br/>
      </w:r>
      <w:hyperlink r:id="rId66" w:history="1">
        <w:r>
          <w:rPr>
            <w:rFonts w:ascii="Segoe UI" w:hAnsi="Segoe UI"/>
            <w:color w:val="0060C7"/>
            <w:sz w:val="24"/>
          </w:rPr>
          <w:t>specialeducation@doe.mass.edu</w:t>
        </w:r>
      </w:hyperlink>
      <w:r>
        <w:rPr>
          <w:rFonts w:ascii="Segoe UI" w:hAnsi="Segoe UI"/>
          <w:color w:val="222222"/>
          <w:sz w:val="24"/>
        </w:rPr>
        <w:br/>
        <w:t>781-338-3375</w:t>
      </w:r>
    </w:p>
    <w:p w14:paraId="0F938505" w14:textId="77777777" w:rsidR="0073144E" w:rsidRPr="0073144E" w:rsidRDefault="0073144E" w:rsidP="0073144E">
      <w:pPr>
        <w:shd w:val="clear" w:color="auto" w:fill="FFFFFF"/>
        <w:spacing w:after="100" w:afterAutospacing="1" w:line="240" w:lineRule="auto"/>
        <w:rPr>
          <w:rFonts w:ascii="Segoe UI" w:eastAsia="Times New Roman" w:hAnsi="Segoe UI" w:cs="Segoe UI"/>
          <w:color w:val="222222"/>
          <w:sz w:val="24"/>
          <w:szCs w:val="24"/>
        </w:rPr>
      </w:pPr>
      <w:r>
        <w:rPr>
          <w:rFonts w:ascii="Segoe UI" w:hAnsi="Segoe UI"/>
          <w:color w:val="222222"/>
          <w:sz w:val="19"/>
        </w:rPr>
        <w:t>Última actualización: 13 de diciembre de 2022</w:t>
      </w:r>
    </w:p>
    <w:p w14:paraId="6596916C" w14:textId="77777777" w:rsidR="00097C4D" w:rsidRDefault="00097C4D"/>
    <w:sectPr w:rsidR="00097C4D" w:rsidSect="009E0A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D6A65"/>
    <w:multiLevelType w:val="multilevel"/>
    <w:tmpl w:val="DCC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B2E99"/>
    <w:multiLevelType w:val="multilevel"/>
    <w:tmpl w:val="DB48F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47408"/>
    <w:multiLevelType w:val="multilevel"/>
    <w:tmpl w:val="416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42F28"/>
    <w:multiLevelType w:val="multilevel"/>
    <w:tmpl w:val="8516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906D2"/>
    <w:multiLevelType w:val="multilevel"/>
    <w:tmpl w:val="94CA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767F5"/>
    <w:multiLevelType w:val="multilevel"/>
    <w:tmpl w:val="E5F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56EDA"/>
    <w:multiLevelType w:val="multilevel"/>
    <w:tmpl w:val="E5BC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30B90"/>
    <w:multiLevelType w:val="multilevel"/>
    <w:tmpl w:val="755C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739D6"/>
    <w:multiLevelType w:val="multilevel"/>
    <w:tmpl w:val="0C70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82173"/>
    <w:multiLevelType w:val="multilevel"/>
    <w:tmpl w:val="C89C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5C41E7"/>
    <w:multiLevelType w:val="multilevel"/>
    <w:tmpl w:val="F3D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75CB7"/>
    <w:multiLevelType w:val="multilevel"/>
    <w:tmpl w:val="570C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9"/>
  </w:num>
  <w:num w:numId="5">
    <w:abstractNumId w:val="0"/>
  </w:num>
  <w:num w:numId="6">
    <w:abstractNumId w:val="10"/>
  </w:num>
  <w:num w:numId="7">
    <w:abstractNumId w:val="7"/>
  </w:num>
  <w:num w:numId="8">
    <w:abstractNumId w:val="11"/>
  </w:num>
  <w:num w:numId="9">
    <w:abstractNumId w:val="4"/>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19"/>
    <w:rsid w:val="000933AC"/>
    <w:rsid w:val="00097C4D"/>
    <w:rsid w:val="000B5D76"/>
    <w:rsid w:val="000D159D"/>
    <w:rsid w:val="0039112D"/>
    <w:rsid w:val="00556019"/>
    <w:rsid w:val="005639D1"/>
    <w:rsid w:val="005916DF"/>
    <w:rsid w:val="006E1948"/>
    <w:rsid w:val="0073144E"/>
    <w:rsid w:val="009E0A0A"/>
    <w:rsid w:val="00BE4979"/>
    <w:rsid w:val="00C222C0"/>
    <w:rsid w:val="00C54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0F5D"/>
  <w15:chartTrackingRefBased/>
  <w15:docId w15:val="{9652016D-8BCD-4426-8364-A9D90F7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1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14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1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44E"/>
    <w:rPr>
      <w:color w:val="0000FF"/>
      <w:u w:val="single"/>
    </w:rPr>
  </w:style>
  <w:style w:type="paragraph" w:customStyle="1" w:styleId="text-black">
    <w:name w:val="text-black"/>
    <w:basedOn w:val="Normal"/>
    <w:rsid w:val="00731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3">
    <w:name w:val="mb-3"/>
    <w:basedOn w:val="Normal"/>
    <w:rsid w:val="007314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6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282422">
      <w:bodyDiv w:val="1"/>
      <w:marLeft w:val="0"/>
      <w:marRight w:val="0"/>
      <w:marTop w:val="0"/>
      <w:marBottom w:val="0"/>
      <w:divBdr>
        <w:top w:val="none" w:sz="0" w:space="0" w:color="auto"/>
        <w:left w:val="none" w:sz="0" w:space="0" w:color="auto"/>
        <w:bottom w:val="none" w:sz="0" w:space="0" w:color="auto"/>
        <w:right w:val="none" w:sz="0" w:space="0" w:color="auto"/>
      </w:divBdr>
      <w:divsChild>
        <w:div w:id="11423835">
          <w:marLeft w:val="0"/>
          <w:marRight w:val="0"/>
          <w:marTop w:val="0"/>
          <w:marBottom w:val="0"/>
          <w:divBdr>
            <w:top w:val="none" w:sz="0" w:space="0" w:color="auto"/>
            <w:left w:val="none" w:sz="0" w:space="0" w:color="auto"/>
            <w:bottom w:val="none" w:sz="0" w:space="0" w:color="auto"/>
            <w:right w:val="none" w:sz="0" w:space="0" w:color="auto"/>
          </w:divBdr>
          <w:divsChild>
            <w:div w:id="1304196568">
              <w:marLeft w:val="0"/>
              <w:marRight w:val="0"/>
              <w:marTop w:val="0"/>
              <w:marBottom w:val="0"/>
              <w:divBdr>
                <w:top w:val="none" w:sz="0" w:space="0" w:color="auto"/>
                <w:left w:val="none" w:sz="0" w:space="0" w:color="auto"/>
                <w:bottom w:val="none" w:sz="0" w:space="0" w:color="auto"/>
                <w:right w:val="none" w:sz="0" w:space="0" w:color="auto"/>
              </w:divBdr>
            </w:div>
            <w:div w:id="1223907265">
              <w:marLeft w:val="0"/>
              <w:marRight w:val="0"/>
              <w:marTop w:val="0"/>
              <w:marBottom w:val="0"/>
              <w:divBdr>
                <w:top w:val="single" w:sz="6" w:space="0" w:color="DEE2E6"/>
                <w:left w:val="single" w:sz="6" w:space="0" w:color="DEE2E6"/>
                <w:bottom w:val="none" w:sz="0" w:space="0" w:color="auto"/>
                <w:right w:val="single" w:sz="6" w:space="0" w:color="DEE2E6"/>
              </w:divBdr>
              <w:divsChild>
                <w:div w:id="3613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sped/spp/indicators/indicator11/" TargetMode="External"/><Relationship Id="rId18" Type="http://schemas.openxmlformats.org/officeDocument/2006/relationships/hyperlink" Target="https://www.doe.mass.edu/sped/spp/indicators/indicator5/" TargetMode="External"/><Relationship Id="rId26" Type="http://schemas.openxmlformats.org/officeDocument/2006/relationships/hyperlink" Target="https://www.doe.mass.edu/sped/spp/indicators/indicator9/" TargetMode="External"/><Relationship Id="rId39" Type="http://schemas.openxmlformats.org/officeDocument/2006/relationships/hyperlink" Target="https://www.doe.mass.edu/sped/spp/indicators/indicator14/" TargetMode="External"/><Relationship Id="rId21" Type="http://schemas.openxmlformats.org/officeDocument/2006/relationships/hyperlink" Target="https://www.doe.mass.edu/sped/spp/indicators/indicator7/" TargetMode="External"/><Relationship Id="rId34" Type="http://schemas.openxmlformats.org/officeDocument/2006/relationships/hyperlink" Target="https://www.doe.mass.edu/sped/spp/indicators/indicator1/" TargetMode="External"/><Relationship Id="rId42" Type="http://schemas.openxmlformats.org/officeDocument/2006/relationships/hyperlink" Target="https://www.doe.mass.edu/sped/spp/indicators/indicator15/" TargetMode="External"/><Relationship Id="rId47" Type="http://schemas.openxmlformats.org/officeDocument/2006/relationships/hyperlink" Target="https://www.doe.mass.edu/sped/spp/spp-apr-2021.pdf" TargetMode="External"/><Relationship Id="rId50" Type="http://schemas.openxmlformats.org/officeDocument/2006/relationships/hyperlink" Target="https://www.doe.mass.edu/sped/spp/ssip-phaseiii-2019.docx" TargetMode="External"/><Relationship Id="rId55" Type="http://schemas.openxmlformats.org/officeDocument/2006/relationships/hyperlink" Target="https://profiles.doe.mass.edu/statereport/special_education.aspx" TargetMode="External"/><Relationship Id="rId63" Type="http://schemas.openxmlformats.org/officeDocument/2006/relationships/hyperlink" Target="https://www.doe.mass.edu/sped/spp/ssip-action-theory-2022.pdf" TargetMode="External"/><Relationship Id="rId68" Type="http://schemas.openxmlformats.org/officeDocument/2006/relationships/theme" Target="theme/theme1.xml"/><Relationship Id="rId7" Type="http://schemas.openxmlformats.org/officeDocument/2006/relationships/hyperlink" Target="https://www.doe.mass.edu/sped/spp/ma-spp-apr-haitiancreole.docx" TargetMode="External"/><Relationship Id="rId2" Type="http://schemas.openxmlformats.org/officeDocument/2006/relationships/styles" Target="styles.xml"/><Relationship Id="rId16" Type="http://schemas.openxmlformats.org/officeDocument/2006/relationships/hyperlink" Target="https://www.doe.mass.edu/sped/spp/indicators/indicator12/" TargetMode="External"/><Relationship Id="rId29" Type="http://schemas.openxmlformats.org/officeDocument/2006/relationships/hyperlink" Target="https://www.doe.mass.edu/sped/spp/indicators/indicator4/" TargetMode="External"/><Relationship Id="rId1" Type="http://schemas.openxmlformats.org/officeDocument/2006/relationships/numbering" Target="numbering.xml"/><Relationship Id="rId6" Type="http://schemas.openxmlformats.org/officeDocument/2006/relationships/hyperlink" Target="https://www.doe.mass.edu/sped/spp/ma-spp-apr-chinese.docx" TargetMode="External"/><Relationship Id="rId11" Type="http://schemas.openxmlformats.org/officeDocument/2006/relationships/hyperlink" Target="https://www.doe.mass.edu/sped/spp/indicators/indicator8/" TargetMode="External"/><Relationship Id="rId24" Type="http://schemas.openxmlformats.org/officeDocument/2006/relationships/hyperlink" Target="https://www.doe.mass.edu/sped/spp/indicators/indicator17/" TargetMode="External"/><Relationship Id="rId32" Type="http://schemas.openxmlformats.org/officeDocument/2006/relationships/hyperlink" Target="https://www.doe.mass.edu/sped/spp/indicators/indicator3/" TargetMode="External"/><Relationship Id="rId37" Type="http://schemas.openxmlformats.org/officeDocument/2006/relationships/hyperlink" Target="https://www.doe.mass.edu/sped/spp/indicators/indicator13/" TargetMode="External"/><Relationship Id="rId40" Type="http://schemas.openxmlformats.org/officeDocument/2006/relationships/hyperlink" Target="https://www.doe.mass.edu/sped/spp/indicators/indicator14/" TargetMode="External"/><Relationship Id="rId45" Type="http://schemas.openxmlformats.org/officeDocument/2006/relationships/hyperlink" Target="https://ideadata.org/resources/resource/1410/sppapr-indicator-cards" TargetMode="External"/><Relationship Id="rId53" Type="http://schemas.openxmlformats.org/officeDocument/2006/relationships/hyperlink" Target="https://www.doe.mass.edu/sped/spp/spp-apr-2017.pdf" TargetMode="External"/><Relationship Id="rId58" Type="http://schemas.openxmlformats.org/officeDocument/2006/relationships/hyperlink" Target="https://www.doe.mass.edu/sped/osep/determinations.html" TargetMode="External"/><Relationship Id="rId66" Type="http://schemas.openxmlformats.org/officeDocument/2006/relationships/hyperlink" Target="mailto:specialeducation@doe.mass.edu" TargetMode="External"/><Relationship Id="rId5" Type="http://schemas.openxmlformats.org/officeDocument/2006/relationships/hyperlink" Target="https://www.doe.mass.edu/sped/spp/maspp.html" TargetMode="External"/><Relationship Id="rId15" Type="http://schemas.openxmlformats.org/officeDocument/2006/relationships/hyperlink" Target="https://www.doe.mass.edu/sped/spp/indicators/indicator12/" TargetMode="External"/><Relationship Id="rId23" Type="http://schemas.openxmlformats.org/officeDocument/2006/relationships/hyperlink" Target="https://www.doe.mass.edu/sped/spp/indicators/indicator17/" TargetMode="External"/><Relationship Id="rId28" Type="http://schemas.openxmlformats.org/officeDocument/2006/relationships/hyperlink" Target="https://www.doe.mass.edu/sped/spp/indicators/indicator10/" TargetMode="External"/><Relationship Id="rId36" Type="http://schemas.openxmlformats.org/officeDocument/2006/relationships/hyperlink" Target="https://www.doe.mass.edu/sped/spp/indicators/indicator2/" TargetMode="External"/><Relationship Id="rId49" Type="http://schemas.openxmlformats.org/officeDocument/2006/relationships/hyperlink" Target="https://www.doe.mass.edu/sped/spp/spp-apr-2019.docx" TargetMode="External"/><Relationship Id="rId57" Type="http://schemas.openxmlformats.org/officeDocument/2006/relationships/hyperlink" Target="https://www.doe.mass.edu/accountability/lists-tools/" TargetMode="External"/><Relationship Id="rId61" Type="http://schemas.openxmlformats.org/officeDocument/2006/relationships/hyperlink" Target="https://www.doe.mass.edu/sped/spp/ssip-evaluation-plan.docx" TargetMode="External"/><Relationship Id="rId10" Type="http://schemas.openxmlformats.org/officeDocument/2006/relationships/hyperlink" Target="https://profiles.doe.mass.edu/" TargetMode="External"/><Relationship Id="rId19" Type="http://schemas.openxmlformats.org/officeDocument/2006/relationships/hyperlink" Target="https://www.doe.mass.edu/sped/spp/indicators/indicator6/" TargetMode="External"/><Relationship Id="rId31" Type="http://schemas.openxmlformats.org/officeDocument/2006/relationships/hyperlink" Target="https://www.doe.mass.edu/sped/spp/indicators/indicator3/" TargetMode="External"/><Relationship Id="rId44" Type="http://schemas.openxmlformats.org/officeDocument/2006/relationships/hyperlink" Target="https://www.doe.mass.edu/sped/spp/indicators/indicator16/" TargetMode="External"/><Relationship Id="rId52" Type="http://schemas.openxmlformats.org/officeDocument/2006/relationships/hyperlink" Target="https://www.doe.mass.edu/sped/spp/ssip-phaseiii-2018.docx" TargetMode="External"/><Relationship Id="rId60" Type="http://schemas.openxmlformats.org/officeDocument/2006/relationships/hyperlink" Target="https://www.doe.mass.edu/sped/spp/ssip-evaluation-plan.docx" TargetMode="External"/><Relationship Id="rId65" Type="http://schemas.openxmlformats.org/officeDocument/2006/relationships/hyperlink" Target="https://www.doe.mass.edu/sped/spp/ssip-evaluation-plan-2022.pdf" TargetMode="External"/><Relationship Id="rId4" Type="http://schemas.openxmlformats.org/officeDocument/2006/relationships/webSettings" Target="webSettings.xml"/><Relationship Id="rId9" Type="http://schemas.openxmlformats.org/officeDocument/2006/relationships/hyperlink" Target="https://www.doe.mass.edu/sped/spp/ma-spp-apr-vietnamese.docx" TargetMode="External"/><Relationship Id="rId14" Type="http://schemas.openxmlformats.org/officeDocument/2006/relationships/hyperlink" Target="https://www.doe.mass.edu/sped/spp/indicators/indicator11/" TargetMode="External"/><Relationship Id="rId22" Type="http://schemas.openxmlformats.org/officeDocument/2006/relationships/hyperlink" Target="https://www.doe.mass.edu/sped/spp/indicators/indicator7/" TargetMode="External"/><Relationship Id="rId27" Type="http://schemas.openxmlformats.org/officeDocument/2006/relationships/hyperlink" Target="https://www.doe.mass.edu/sped/spp/indicators/indicator10/" TargetMode="External"/><Relationship Id="rId30" Type="http://schemas.openxmlformats.org/officeDocument/2006/relationships/hyperlink" Target="https://www.doe.mass.edu/sped/spp/indicators/indicator4/" TargetMode="External"/><Relationship Id="rId35" Type="http://schemas.openxmlformats.org/officeDocument/2006/relationships/hyperlink" Target="https://www.doe.mass.edu/sped/spp/indicators/indicator2/" TargetMode="External"/><Relationship Id="rId43" Type="http://schemas.openxmlformats.org/officeDocument/2006/relationships/hyperlink" Target="https://www.doe.mass.edu/sped/spp/indicators/indicator16/" TargetMode="External"/><Relationship Id="rId48" Type="http://schemas.openxmlformats.org/officeDocument/2006/relationships/hyperlink" Target="https://www.doe.mass.edu/sped/spp/spp-apr-2020.docx" TargetMode="External"/><Relationship Id="rId56" Type="http://schemas.openxmlformats.org/officeDocument/2006/relationships/hyperlink" Target="https://profiles.doe.mass.edu/statereport/special_education.aspx" TargetMode="External"/><Relationship Id="rId64" Type="http://schemas.openxmlformats.org/officeDocument/2006/relationships/hyperlink" Target="https://www.doe.mass.edu/sped/spp/ssip-evaluation-plan-2022.pdf" TargetMode="External"/><Relationship Id="rId8" Type="http://schemas.openxmlformats.org/officeDocument/2006/relationships/hyperlink" Target="https://www.doe.mass.edu/sped/spp/ma-spp-apr-portuguese.docx" TargetMode="External"/><Relationship Id="rId51" Type="http://schemas.openxmlformats.org/officeDocument/2006/relationships/hyperlink" Target="https://www.doe.mass.edu/sped/spp/spp-apr-2018.pdf" TargetMode="External"/><Relationship Id="rId3" Type="http://schemas.openxmlformats.org/officeDocument/2006/relationships/settings" Target="settings.xml"/><Relationship Id="rId12" Type="http://schemas.openxmlformats.org/officeDocument/2006/relationships/hyperlink" Target="https://www.doe.mass.edu/sped/spp/indicators/indicator8/" TargetMode="External"/><Relationship Id="rId17" Type="http://schemas.openxmlformats.org/officeDocument/2006/relationships/hyperlink" Target="https://www.doe.mass.edu/sped/spp/indicators/indicator5/" TargetMode="External"/><Relationship Id="rId25" Type="http://schemas.openxmlformats.org/officeDocument/2006/relationships/hyperlink" Target="https://www.doe.mass.edu/sped/spp/indicators/indicator9/" TargetMode="External"/><Relationship Id="rId33" Type="http://schemas.openxmlformats.org/officeDocument/2006/relationships/hyperlink" Target="https://www.doe.mass.edu/sped/spp/indicators/indicator1/" TargetMode="External"/><Relationship Id="rId38" Type="http://schemas.openxmlformats.org/officeDocument/2006/relationships/hyperlink" Target="https://www.doe.mass.edu/sped/spp/indicators/indicator13/" TargetMode="External"/><Relationship Id="rId46" Type="http://schemas.openxmlformats.org/officeDocument/2006/relationships/hyperlink" Target="https://sites.ed.gov/idea/spp-apr-letters?selected-category=&amp;selected-year=&amp;state=Massachusetts" TargetMode="External"/><Relationship Id="rId59" Type="http://schemas.openxmlformats.org/officeDocument/2006/relationships/hyperlink" Target="https://www.doe.mass.edu/sped/spp/ssip-action-theory.docx" TargetMode="External"/><Relationship Id="rId67" Type="http://schemas.openxmlformats.org/officeDocument/2006/relationships/fontTable" Target="fontTable.xml"/><Relationship Id="rId20" Type="http://schemas.openxmlformats.org/officeDocument/2006/relationships/hyperlink" Target="https://www.doe.mass.edu/sped/spp/indicators/indicator6/" TargetMode="External"/><Relationship Id="rId41" Type="http://schemas.openxmlformats.org/officeDocument/2006/relationships/hyperlink" Target="https://www.doe.mass.edu/sped/spp/indicators/indicator15/" TargetMode="External"/><Relationship Id="rId54" Type="http://schemas.openxmlformats.org/officeDocument/2006/relationships/hyperlink" Target="https://www.doe.mass.edu/sped/spp/ssip-ffy-2017-phase-iii-report.docx" TargetMode="External"/><Relationship Id="rId62" Type="http://schemas.openxmlformats.org/officeDocument/2006/relationships/hyperlink" Target="https://www.doe.mass.edu/sped/spp/ssip-action-theor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1880</Words>
  <Characters>10569</Characters>
  <Application>Microsoft Office Word</Application>
  <DocSecurity>0</DocSecurity>
  <Lines>245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State Performance Plan (MA SPP) and Annual Performance Reports (MA APR) — Spanish</dc:title>
  <dc:subject/>
  <dc:creator>DESE</dc:creator>
  <cp:keywords/>
  <dc:description/>
  <cp:lastModifiedBy>Zou, Dong (EOE)</cp:lastModifiedBy>
  <cp:revision>13</cp:revision>
  <dcterms:created xsi:type="dcterms:W3CDTF">2023-01-26T17:54:00Z</dcterms:created>
  <dcterms:modified xsi:type="dcterms:W3CDTF">2023-05-10T13:12:00Z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2023 12:00AM</vt:lpwstr>
  </property>
</Properties>
</file>