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0D5A" w:rsidRPr="004C35B1" w:rsidRDefault="00601486" w:rsidP="00AC5934">
      <w:pPr>
        <w:pStyle w:val="Heading1"/>
        <w:spacing w:before="120" w:line="240" w:lineRule="auto"/>
        <w:rPr>
          <w:rFonts w:asciiTheme="majorHAnsi" w:hAnsiTheme="majorHAnsi"/>
          <w:b/>
          <w:color w:val="1F497D" w:themeColor="text2"/>
          <w:sz w:val="24"/>
          <w:szCs w:val="24"/>
        </w:rPr>
      </w:pPr>
      <w:bookmarkStart w:id="0" w:name="OLE_LINK1"/>
      <w:bookmarkStart w:id="1" w:name="OLE_LINK2"/>
      <w:r w:rsidRPr="004C35B1">
        <w:rPr>
          <w:rFonts w:asciiTheme="majorHAnsi" w:hAnsiTheme="majorHAnsi"/>
          <w:b/>
          <w:color w:val="1F497D" w:themeColor="text2"/>
          <w:sz w:val="24"/>
          <w:szCs w:val="24"/>
        </w:rPr>
        <w:t xml:space="preserve">Technical Assistance Advisory SPED </w:t>
      </w:r>
      <w:r w:rsidR="00D3229A">
        <w:rPr>
          <w:rFonts w:asciiTheme="majorHAnsi" w:hAnsiTheme="majorHAnsi"/>
          <w:b/>
          <w:color w:val="1F497D" w:themeColor="text2"/>
          <w:sz w:val="24"/>
          <w:szCs w:val="24"/>
        </w:rPr>
        <w:t>2017-1</w:t>
      </w:r>
      <w:r w:rsidRPr="004C35B1">
        <w:rPr>
          <w:rFonts w:asciiTheme="majorHAnsi" w:hAnsiTheme="majorHAnsi"/>
          <w:b/>
          <w:color w:val="1F497D" w:themeColor="text2"/>
          <w:sz w:val="24"/>
          <w:szCs w:val="24"/>
        </w:rPr>
        <w:t xml:space="preserve">: </w:t>
      </w:r>
      <w:r w:rsidR="00D3229A">
        <w:rPr>
          <w:rFonts w:asciiTheme="majorHAnsi" w:hAnsiTheme="majorHAnsi"/>
          <w:b/>
          <w:color w:val="1F497D" w:themeColor="text2"/>
          <w:sz w:val="24"/>
          <w:szCs w:val="24"/>
        </w:rPr>
        <w:t>Characteristics</w:t>
      </w:r>
      <w:r w:rsidR="00D3229A" w:rsidRPr="004C35B1">
        <w:rPr>
          <w:rFonts w:asciiTheme="majorHAnsi" w:hAnsiTheme="majorHAnsi"/>
          <w:b/>
          <w:color w:val="1F497D" w:themeColor="text2"/>
          <w:sz w:val="24"/>
          <w:szCs w:val="24"/>
        </w:rPr>
        <w:t xml:space="preserve"> </w:t>
      </w:r>
      <w:r w:rsidR="00D01673" w:rsidRPr="004C35B1">
        <w:rPr>
          <w:rFonts w:asciiTheme="majorHAnsi" w:hAnsiTheme="majorHAnsi"/>
          <w:b/>
          <w:color w:val="1F497D" w:themeColor="text2"/>
          <w:sz w:val="24"/>
          <w:szCs w:val="24"/>
        </w:rPr>
        <w:t xml:space="preserve">of High Quality </w:t>
      </w:r>
      <w:r w:rsidR="00846323" w:rsidRPr="004C35B1">
        <w:rPr>
          <w:rFonts w:asciiTheme="majorHAnsi" w:hAnsiTheme="majorHAnsi"/>
          <w:b/>
          <w:color w:val="1F497D" w:themeColor="text2"/>
          <w:sz w:val="24"/>
          <w:szCs w:val="24"/>
        </w:rPr>
        <w:t xml:space="preserve">Secondary </w:t>
      </w:r>
      <w:r w:rsidRPr="004C35B1">
        <w:rPr>
          <w:rFonts w:asciiTheme="majorHAnsi" w:hAnsiTheme="majorHAnsi"/>
          <w:b/>
          <w:color w:val="1F497D" w:themeColor="text2"/>
          <w:sz w:val="24"/>
          <w:szCs w:val="24"/>
        </w:rPr>
        <w:t>Transition Services</w:t>
      </w:r>
    </w:p>
    <w:bookmarkEnd w:id="0"/>
    <w:bookmarkEnd w:id="1"/>
    <w:p w:rsidR="00E00D5A" w:rsidRPr="001D0641" w:rsidRDefault="00601486" w:rsidP="00181650">
      <w:pPr>
        <w:spacing w:before="120" w:after="120"/>
        <w:contextualSpacing/>
        <w:rPr>
          <w:rFonts w:asciiTheme="minorHAnsi" w:hAnsiTheme="minorHAnsi"/>
          <w:sz w:val="24"/>
          <w:szCs w:val="24"/>
        </w:rPr>
      </w:pPr>
      <w:r w:rsidRPr="00181650">
        <w:rPr>
          <w:rFonts w:asciiTheme="minorHAnsi" w:eastAsia="Calibri" w:hAnsiTheme="minorHAnsi" w:cs="Calibri"/>
          <w:b/>
          <w:sz w:val="24"/>
          <w:szCs w:val="24"/>
        </w:rPr>
        <w:t>To:</w:t>
      </w:r>
      <w:r w:rsidRPr="001D0641">
        <w:rPr>
          <w:rFonts w:asciiTheme="minorHAnsi" w:eastAsia="Calibri" w:hAnsiTheme="minorHAnsi" w:cs="Calibri"/>
          <w:sz w:val="24"/>
          <w:szCs w:val="24"/>
        </w:rPr>
        <w:t xml:space="preserve"> Administrators of Special Education, Parents, Students, and Other Interested Parties</w:t>
      </w:r>
    </w:p>
    <w:p w:rsidR="00E00D5A" w:rsidRPr="001D0641" w:rsidRDefault="00601486" w:rsidP="00181650">
      <w:pPr>
        <w:spacing w:before="120" w:after="120"/>
        <w:contextualSpacing/>
        <w:rPr>
          <w:rFonts w:asciiTheme="minorHAnsi" w:hAnsiTheme="minorHAnsi"/>
          <w:sz w:val="24"/>
          <w:szCs w:val="24"/>
        </w:rPr>
      </w:pPr>
      <w:r w:rsidRPr="00181650">
        <w:rPr>
          <w:rFonts w:asciiTheme="minorHAnsi" w:eastAsia="Calibri" w:hAnsiTheme="minorHAnsi" w:cs="Calibri"/>
          <w:b/>
          <w:sz w:val="24"/>
          <w:szCs w:val="24"/>
        </w:rPr>
        <w:t>From:</w:t>
      </w:r>
      <w:r w:rsidRPr="001D0641">
        <w:rPr>
          <w:rFonts w:asciiTheme="minorHAnsi" w:eastAsia="Calibri" w:hAnsiTheme="minorHAnsi" w:cs="Calibri"/>
          <w:sz w:val="24"/>
          <w:szCs w:val="24"/>
        </w:rPr>
        <w:t xml:space="preserve"> Marcia Mittnacht, State Director of Special Education</w:t>
      </w:r>
    </w:p>
    <w:p w:rsidR="00E00D5A" w:rsidRPr="001D0641" w:rsidRDefault="00601486" w:rsidP="00181650">
      <w:pPr>
        <w:spacing w:before="120" w:after="120"/>
        <w:contextualSpacing/>
        <w:rPr>
          <w:rFonts w:asciiTheme="minorHAnsi" w:hAnsiTheme="minorHAnsi"/>
          <w:sz w:val="24"/>
          <w:szCs w:val="24"/>
        </w:rPr>
      </w:pPr>
      <w:r w:rsidRPr="00181650">
        <w:rPr>
          <w:rFonts w:asciiTheme="minorHAnsi" w:eastAsia="Calibri" w:hAnsiTheme="minorHAnsi" w:cs="Calibri"/>
          <w:b/>
          <w:sz w:val="24"/>
          <w:szCs w:val="24"/>
        </w:rPr>
        <w:t>Date:</w:t>
      </w:r>
      <w:r w:rsidRPr="001D0641">
        <w:rPr>
          <w:rFonts w:asciiTheme="minorHAnsi" w:eastAsia="Calibri" w:hAnsiTheme="minorHAnsi" w:cs="Calibri"/>
          <w:sz w:val="24"/>
          <w:szCs w:val="24"/>
        </w:rPr>
        <w:t xml:space="preserve"> </w:t>
      </w:r>
      <w:r w:rsidR="00F87F09">
        <w:rPr>
          <w:rFonts w:asciiTheme="minorHAnsi" w:eastAsia="Calibri" w:hAnsiTheme="minorHAnsi" w:cs="Calibri"/>
          <w:sz w:val="24"/>
          <w:szCs w:val="24"/>
        </w:rPr>
        <w:t>J</w:t>
      </w:r>
      <w:r w:rsidR="00062D5D">
        <w:rPr>
          <w:rFonts w:asciiTheme="minorHAnsi" w:eastAsia="Calibri" w:hAnsiTheme="minorHAnsi" w:cs="Calibri"/>
          <w:sz w:val="24"/>
          <w:szCs w:val="24"/>
        </w:rPr>
        <w:t>uly</w:t>
      </w:r>
      <w:r w:rsidR="00EA1CA5">
        <w:rPr>
          <w:rFonts w:asciiTheme="minorHAnsi" w:eastAsia="Calibri" w:hAnsiTheme="minorHAnsi" w:cs="Calibri"/>
          <w:sz w:val="24"/>
          <w:szCs w:val="24"/>
        </w:rPr>
        <w:t xml:space="preserve"> 14</w:t>
      </w:r>
      <w:r w:rsidR="00B63F9B">
        <w:rPr>
          <w:rFonts w:asciiTheme="minorHAnsi" w:eastAsia="Calibri" w:hAnsiTheme="minorHAnsi" w:cs="Calibri"/>
          <w:sz w:val="24"/>
          <w:szCs w:val="24"/>
        </w:rPr>
        <w:t>,</w:t>
      </w:r>
      <w:r w:rsidR="00F87F09">
        <w:rPr>
          <w:rFonts w:asciiTheme="minorHAnsi" w:eastAsia="Calibri" w:hAnsiTheme="minorHAnsi" w:cs="Calibri"/>
          <w:sz w:val="24"/>
          <w:szCs w:val="24"/>
        </w:rPr>
        <w:t xml:space="preserve"> 2016</w:t>
      </w:r>
    </w:p>
    <w:p w:rsidR="00E00D5A" w:rsidRPr="001D0641" w:rsidRDefault="00601486" w:rsidP="00181650">
      <w:pPr>
        <w:spacing w:before="120" w:after="120"/>
        <w:rPr>
          <w:rFonts w:asciiTheme="minorHAnsi" w:hAnsiTheme="minorHAnsi"/>
          <w:sz w:val="24"/>
          <w:szCs w:val="24"/>
        </w:rPr>
      </w:pPr>
      <w:r w:rsidRPr="001D0641">
        <w:rPr>
          <w:rFonts w:asciiTheme="minorHAnsi" w:eastAsia="Calibri" w:hAnsiTheme="minorHAnsi" w:cs="Calibri"/>
          <w:sz w:val="24"/>
          <w:szCs w:val="24"/>
        </w:rPr>
        <w:t>______________________________________________________________________________</w:t>
      </w:r>
    </w:p>
    <w:p w:rsidR="00846323" w:rsidRPr="003B0362" w:rsidRDefault="00601486" w:rsidP="003B0362">
      <w:pPr>
        <w:pStyle w:val="Heading2"/>
        <w:rPr>
          <w:rFonts w:asciiTheme="majorHAnsi" w:hAnsiTheme="majorHAnsi"/>
          <w:b w:val="0"/>
        </w:rPr>
      </w:pPr>
      <w:r w:rsidRPr="001D0641">
        <w:rPr>
          <w:rFonts w:asciiTheme="minorHAnsi" w:eastAsia="Calibri" w:hAnsiTheme="minorHAnsi" w:cs="Calibri"/>
          <w:sz w:val="24"/>
          <w:szCs w:val="24"/>
        </w:rPr>
        <w:t xml:space="preserve"> </w:t>
      </w:r>
      <w:r w:rsidR="00846323" w:rsidRPr="003B0362">
        <w:rPr>
          <w:rFonts w:asciiTheme="majorHAnsi" w:hAnsiTheme="majorHAnsi"/>
          <w:b w:val="0"/>
        </w:rPr>
        <w:t xml:space="preserve">Purpose  </w:t>
      </w:r>
    </w:p>
    <w:p w:rsidR="000F01D2" w:rsidRDefault="00846323" w:rsidP="00181650">
      <w:pPr>
        <w:spacing w:before="120" w:after="120"/>
        <w:rPr>
          <w:rFonts w:asciiTheme="minorHAnsi" w:eastAsia="Calibri" w:hAnsiTheme="minorHAnsi" w:cs="Calibri"/>
          <w:sz w:val="24"/>
          <w:szCs w:val="24"/>
        </w:rPr>
      </w:pPr>
      <w:r w:rsidRPr="001D0641">
        <w:rPr>
          <w:rFonts w:asciiTheme="minorHAnsi" w:eastAsia="Calibri" w:hAnsiTheme="minorHAnsi" w:cs="Calibri"/>
          <w:sz w:val="24"/>
          <w:szCs w:val="24"/>
        </w:rPr>
        <w:t>The purpose of this advisory is to</w:t>
      </w:r>
      <w:r w:rsidR="00F47775">
        <w:rPr>
          <w:rFonts w:asciiTheme="minorHAnsi" w:eastAsia="Calibri" w:hAnsiTheme="minorHAnsi" w:cs="Calibri"/>
          <w:sz w:val="24"/>
          <w:szCs w:val="24"/>
        </w:rPr>
        <w:t xml:space="preserve"> help school districts improve outcomes for students with IEPs</w:t>
      </w:r>
      <w:r w:rsidR="0071203A">
        <w:rPr>
          <w:rFonts w:asciiTheme="minorHAnsi" w:eastAsia="Calibri" w:hAnsiTheme="minorHAnsi" w:cs="Calibri"/>
          <w:sz w:val="24"/>
          <w:szCs w:val="24"/>
        </w:rPr>
        <w:t xml:space="preserve"> and to promote compliance with state and federal special education law</w:t>
      </w:r>
      <w:r w:rsidR="00F47775">
        <w:rPr>
          <w:rFonts w:asciiTheme="minorHAnsi" w:eastAsia="Calibri" w:hAnsiTheme="minorHAnsi" w:cs="Calibri"/>
          <w:sz w:val="24"/>
          <w:szCs w:val="24"/>
        </w:rPr>
        <w:t xml:space="preserve"> by highlighting three</w:t>
      </w:r>
      <w:r>
        <w:rPr>
          <w:rFonts w:asciiTheme="minorHAnsi" w:eastAsia="Calibri" w:hAnsiTheme="minorHAnsi" w:cs="Calibri"/>
          <w:sz w:val="24"/>
          <w:szCs w:val="24"/>
        </w:rPr>
        <w:t xml:space="preserve"> </w:t>
      </w:r>
      <w:r w:rsidR="00D3229A">
        <w:rPr>
          <w:rFonts w:asciiTheme="minorHAnsi" w:eastAsia="Calibri" w:hAnsiTheme="minorHAnsi" w:cs="Calibri"/>
          <w:sz w:val="24"/>
          <w:szCs w:val="24"/>
        </w:rPr>
        <w:t>characteristic</w:t>
      </w:r>
      <w:r>
        <w:rPr>
          <w:rFonts w:asciiTheme="minorHAnsi" w:eastAsia="Calibri" w:hAnsiTheme="minorHAnsi" w:cs="Calibri"/>
          <w:sz w:val="24"/>
          <w:szCs w:val="24"/>
        </w:rPr>
        <w:t xml:space="preserve">s of </w:t>
      </w:r>
      <w:r w:rsidR="001C3D97">
        <w:rPr>
          <w:rFonts w:asciiTheme="minorHAnsi" w:eastAsia="Calibri" w:hAnsiTheme="minorHAnsi" w:cs="Calibri"/>
          <w:sz w:val="24"/>
          <w:szCs w:val="24"/>
        </w:rPr>
        <w:t xml:space="preserve">appropriate </w:t>
      </w:r>
      <w:r w:rsidR="00771738">
        <w:rPr>
          <w:rFonts w:asciiTheme="minorHAnsi" w:eastAsia="Calibri" w:hAnsiTheme="minorHAnsi" w:cs="Calibri"/>
          <w:sz w:val="24"/>
          <w:szCs w:val="24"/>
        </w:rPr>
        <w:t xml:space="preserve">high quality </w:t>
      </w:r>
      <w:r>
        <w:rPr>
          <w:rFonts w:asciiTheme="minorHAnsi" w:eastAsia="Calibri" w:hAnsiTheme="minorHAnsi" w:cs="Calibri"/>
          <w:sz w:val="24"/>
          <w:szCs w:val="24"/>
        </w:rPr>
        <w:t>secondary transition service delivery</w:t>
      </w:r>
      <w:r w:rsidR="000F01D2">
        <w:rPr>
          <w:rFonts w:asciiTheme="minorHAnsi" w:eastAsia="Calibri" w:hAnsiTheme="minorHAnsi" w:cs="Calibri"/>
          <w:sz w:val="24"/>
          <w:szCs w:val="24"/>
        </w:rPr>
        <w:t>:</w:t>
      </w:r>
    </w:p>
    <w:p w:rsidR="0077613A" w:rsidRPr="00553971" w:rsidRDefault="000F01D2" w:rsidP="0077613A">
      <w:pPr>
        <w:pStyle w:val="ListParagraph"/>
        <w:numPr>
          <w:ilvl w:val="0"/>
          <w:numId w:val="8"/>
        </w:numPr>
        <w:spacing w:before="120" w:after="120"/>
        <w:rPr>
          <w:rFonts w:asciiTheme="minorHAnsi" w:eastAsia="Calibri" w:hAnsiTheme="minorHAnsi" w:cs="Calibri"/>
          <w:sz w:val="24"/>
          <w:szCs w:val="24"/>
        </w:rPr>
      </w:pPr>
      <w:r w:rsidRPr="00553971">
        <w:rPr>
          <w:rFonts w:asciiTheme="minorHAnsi" w:eastAsia="Calibri" w:hAnsiTheme="minorHAnsi" w:cs="Calibri"/>
          <w:sz w:val="24"/>
          <w:szCs w:val="24"/>
        </w:rPr>
        <w:t>Transition Services should be coordinated.</w:t>
      </w:r>
    </w:p>
    <w:p w:rsidR="0077613A" w:rsidRPr="00553971" w:rsidRDefault="000F01D2" w:rsidP="0077613A">
      <w:pPr>
        <w:pStyle w:val="ListParagraph"/>
        <w:numPr>
          <w:ilvl w:val="0"/>
          <w:numId w:val="8"/>
        </w:numPr>
        <w:spacing w:before="120" w:after="120"/>
        <w:rPr>
          <w:rFonts w:asciiTheme="minorHAnsi" w:eastAsia="Calibri" w:hAnsiTheme="minorHAnsi" w:cs="Calibri"/>
          <w:sz w:val="24"/>
          <w:szCs w:val="24"/>
        </w:rPr>
      </w:pPr>
      <w:r w:rsidRPr="00553971">
        <w:rPr>
          <w:rFonts w:asciiTheme="minorHAnsi" w:eastAsia="Calibri" w:hAnsiTheme="minorHAnsi" w:cs="Calibri"/>
          <w:sz w:val="24"/>
          <w:szCs w:val="24"/>
        </w:rPr>
        <w:t>Transition services should be provided based on the needs, strengths, preferences</w:t>
      </w:r>
      <w:r w:rsidR="00A145B3">
        <w:rPr>
          <w:rFonts w:asciiTheme="minorHAnsi" w:eastAsia="Calibri" w:hAnsiTheme="minorHAnsi" w:cs="Calibri"/>
          <w:sz w:val="24"/>
          <w:szCs w:val="24"/>
        </w:rPr>
        <w:t>,</w:t>
      </w:r>
      <w:r w:rsidRPr="00553971">
        <w:rPr>
          <w:rFonts w:asciiTheme="minorHAnsi" w:eastAsia="Calibri" w:hAnsiTheme="minorHAnsi" w:cs="Calibri"/>
          <w:sz w:val="24"/>
          <w:szCs w:val="24"/>
        </w:rPr>
        <w:t xml:space="preserve"> and interests of individual students.</w:t>
      </w:r>
    </w:p>
    <w:p w:rsidR="00976729" w:rsidRPr="00553971" w:rsidRDefault="00250C43">
      <w:pPr>
        <w:pStyle w:val="ListParagraph"/>
        <w:numPr>
          <w:ilvl w:val="0"/>
          <w:numId w:val="8"/>
        </w:numPr>
        <w:spacing w:before="120" w:after="120"/>
        <w:contextualSpacing w:val="0"/>
        <w:rPr>
          <w:rFonts w:asciiTheme="minorHAnsi" w:eastAsia="Calibri" w:hAnsiTheme="minorHAnsi" w:cs="Calibri"/>
          <w:sz w:val="24"/>
          <w:szCs w:val="24"/>
        </w:rPr>
      </w:pPr>
      <w:r w:rsidRPr="00553971">
        <w:rPr>
          <w:rFonts w:asciiTheme="minorHAnsi" w:eastAsia="Calibri" w:hAnsiTheme="minorHAnsi" w:cs="Calibri"/>
          <w:sz w:val="24"/>
          <w:szCs w:val="24"/>
        </w:rPr>
        <w:t>Transition services should be results</w:t>
      </w:r>
      <w:r w:rsidR="00E365E0" w:rsidRPr="00553971">
        <w:rPr>
          <w:rFonts w:asciiTheme="minorHAnsi" w:eastAsia="Calibri" w:hAnsiTheme="minorHAnsi" w:cs="Calibri"/>
          <w:sz w:val="24"/>
          <w:szCs w:val="24"/>
        </w:rPr>
        <w:t xml:space="preserve"> </w:t>
      </w:r>
      <w:r w:rsidRPr="00553971">
        <w:rPr>
          <w:rFonts w:asciiTheme="minorHAnsi" w:eastAsia="Calibri" w:hAnsiTheme="minorHAnsi" w:cs="Calibri"/>
          <w:sz w:val="24"/>
          <w:szCs w:val="24"/>
        </w:rPr>
        <w:t>oriented</w:t>
      </w:r>
      <w:r w:rsidR="0077613A" w:rsidRPr="00553971">
        <w:rPr>
          <w:rFonts w:asciiTheme="minorHAnsi" w:eastAsia="Calibri" w:hAnsiTheme="minorHAnsi" w:cs="Calibri"/>
          <w:sz w:val="24"/>
          <w:szCs w:val="24"/>
        </w:rPr>
        <w:t xml:space="preserve">. </w:t>
      </w:r>
    </w:p>
    <w:p w:rsidR="0077613A" w:rsidRPr="0077613A" w:rsidRDefault="0077613A" w:rsidP="0077613A">
      <w:pPr>
        <w:pStyle w:val="ListParagraph"/>
        <w:spacing w:before="120" w:after="120"/>
        <w:ind w:left="0"/>
        <w:rPr>
          <w:rFonts w:asciiTheme="minorHAnsi" w:eastAsia="Calibri" w:hAnsiTheme="minorHAnsi" w:cs="Calibri"/>
          <w:sz w:val="24"/>
          <w:szCs w:val="24"/>
        </w:rPr>
      </w:pPr>
      <w:r w:rsidRPr="0077613A">
        <w:rPr>
          <w:rFonts w:asciiTheme="minorHAnsi" w:eastAsia="Calibri" w:hAnsiTheme="minorHAnsi" w:cs="Calibri"/>
          <w:sz w:val="24"/>
          <w:szCs w:val="24"/>
        </w:rPr>
        <w:t>This advisory complements the Department of Elementary and Secondary Education (ESE)’s previously-issued advisories regarding transition goals, transition assessment, and self-determination,</w:t>
      </w:r>
      <w:r w:rsidR="00846323" w:rsidRPr="001D0641">
        <w:rPr>
          <w:vertAlign w:val="superscript"/>
        </w:rPr>
        <w:endnoteReference w:id="1"/>
      </w:r>
      <w:r w:rsidRPr="0077613A">
        <w:rPr>
          <w:rFonts w:asciiTheme="minorHAnsi" w:eastAsia="Calibri" w:hAnsiTheme="minorHAnsi" w:cs="Calibri"/>
          <w:sz w:val="24"/>
          <w:szCs w:val="24"/>
        </w:rPr>
        <w:t xml:space="preserve"> and aligns with the federal Office of Special Education Programs (OSEP)’s prioritization of </w:t>
      </w:r>
      <w:r w:rsidRPr="0077613A">
        <w:rPr>
          <w:rFonts w:asciiTheme="minorHAnsi" w:eastAsia="Calibri" w:hAnsiTheme="minorHAnsi" w:cs="Calibri"/>
          <w:i/>
          <w:sz w:val="24"/>
          <w:szCs w:val="24"/>
        </w:rPr>
        <w:t>Results Driven Accountability</w:t>
      </w:r>
      <w:r w:rsidRPr="0077613A">
        <w:rPr>
          <w:rFonts w:asciiTheme="minorHAnsi" w:eastAsia="Calibri" w:hAnsiTheme="minorHAnsi" w:cs="Calibri"/>
          <w:sz w:val="24"/>
          <w:szCs w:val="24"/>
        </w:rPr>
        <w:t>.</w:t>
      </w:r>
      <w:r w:rsidR="00846323" w:rsidRPr="001D0641">
        <w:rPr>
          <w:vertAlign w:val="superscript"/>
        </w:rPr>
        <w:endnoteReference w:id="2"/>
      </w:r>
      <w:r w:rsidRPr="0077613A">
        <w:rPr>
          <w:rFonts w:asciiTheme="minorHAnsi" w:eastAsia="Calibri" w:hAnsiTheme="minorHAnsi" w:cs="Calibri"/>
          <w:sz w:val="24"/>
          <w:szCs w:val="24"/>
        </w:rPr>
        <w:t xml:space="preserve"> It also aligns with the Commonwealth’s goal of college and career readiness for all students.</w:t>
      </w:r>
      <w:r w:rsidR="00AC17B7">
        <w:rPr>
          <w:rStyle w:val="EndnoteReference"/>
          <w:rFonts w:asciiTheme="minorHAnsi" w:eastAsia="Calibri" w:hAnsiTheme="minorHAnsi" w:cs="Calibri"/>
          <w:sz w:val="24"/>
          <w:szCs w:val="24"/>
        </w:rPr>
        <w:endnoteReference w:id="3"/>
      </w:r>
    </w:p>
    <w:p w:rsidR="00204F5A" w:rsidRPr="004C35B1" w:rsidRDefault="00477526" w:rsidP="004C35B1">
      <w:pPr>
        <w:pStyle w:val="Heading2"/>
        <w:rPr>
          <w:rFonts w:asciiTheme="majorHAnsi" w:hAnsiTheme="majorHAnsi"/>
          <w:b w:val="0"/>
        </w:rPr>
      </w:pPr>
      <w:r w:rsidRPr="004C35B1">
        <w:rPr>
          <w:rFonts w:asciiTheme="majorHAnsi" w:hAnsiTheme="majorHAnsi"/>
          <w:b w:val="0"/>
        </w:rPr>
        <w:t>Background</w:t>
      </w:r>
    </w:p>
    <w:p w:rsidR="0010299F" w:rsidRDefault="00846323" w:rsidP="00DD4EFD">
      <w:pPr>
        <w:spacing w:before="120" w:after="240"/>
        <w:rPr>
          <w:rFonts w:asciiTheme="minorHAnsi" w:eastAsia="Calibri" w:hAnsiTheme="minorHAnsi" w:cs="Calibri"/>
          <w:sz w:val="24"/>
          <w:szCs w:val="24"/>
        </w:rPr>
      </w:pPr>
      <w:r>
        <w:rPr>
          <w:rFonts w:asciiTheme="minorHAnsi" w:eastAsia="Calibri" w:hAnsiTheme="minorHAnsi" w:cs="Calibri"/>
          <w:sz w:val="24"/>
          <w:szCs w:val="24"/>
        </w:rPr>
        <w:t xml:space="preserve">Secondary </w:t>
      </w:r>
      <w:r w:rsidR="00477526">
        <w:rPr>
          <w:rFonts w:asciiTheme="minorHAnsi" w:eastAsia="Calibri" w:hAnsiTheme="minorHAnsi" w:cs="Calibri"/>
          <w:sz w:val="24"/>
          <w:szCs w:val="24"/>
        </w:rPr>
        <w:t xml:space="preserve">Transition services </w:t>
      </w:r>
      <w:r w:rsidR="00477526" w:rsidRPr="001D0641">
        <w:rPr>
          <w:rFonts w:asciiTheme="minorHAnsi" w:eastAsia="Calibri" w:hAnsiTheme="minorHAnsi" w:cs="Calibri"/>
          <w:sz w:val="24"/>
          <w:szCs w:val="24"/>
        </w:rPr>
        <w:t xml:space="preserve">are </w:t>
      </w:r>
      <w:r w:rsidR="00477526">
        <w:rPr>
          <w:rFonts w:asciiTheme="minorHAnsi" w:eastAsia="Calibri" w:hAnsiTheme="minorHAnsi" w:cs="Calibri"/>
          <w:sz w:val="24"/>
          <w:szCs w:val="24"/>
        </w:rPr>
        <w:t xml:space="preserve">defined in IDEA as </w:t>
      </w:r>
      <w:r w:rsidR="001A7129">
        <w:rPr>
          <w:rFonts w:asciiTheme="minorHAnsi" w:eastAsia="Calibri" w:hAnsiTheme="minorHAnsi" w:cs="Calibri"/>
          <w:sz w:val="24"/>
          <w:szCs w:val="24"/>
        </w:rPr>
        <w:t>a</w:t>
      </w:r>
      <w:r w:rsidR="00477526" w:rsidRPr="001D0641">
        <w:rPr>
          <w:rFonts w:asciiTheme="minorHAnsi" w:eastAsia="Calibri" w:hAnsiTheme="minorHAnsi" w:cs="Calibri"/>
          <w:sz w:val="24"/>
          <w:szCs w:val="24"/>
        </w:rPr>
        <w:t xml:space="preserve"> coordinate</w:t>
      </w:r>
      <w:r w:rsidR="001A7129">
        <w:rPr>
          <w:rFonts w:asciiTheme="minorHAnsi" w:eastAsia="Calibri" w:hAnsiTheme="minorHAnsi" w:cs="Calibri"/>
          <w:sz w:val="24"/>
          <w:szCs w:val="24"/>
        </w:rPr>
        <w:t xml:space="preserve">d set of </w:t>
      </w:r>
      <w:r w:rsidR="00477526" w:rsidRPr="001D0641">
        <w:rPr>
          <w:rFonts w:asciiTheme="minorHAnsi" w:eastAsia="Calibri" w:hAnsiTheme="minorHAnsi" w:cs="Calibri"/>
          <w:sz w:val="24"/>
          <w:szCs w:val="24"/>
        </w:rPr>
        <w:t xml:space="preserve">activities </w:t>
      </w:r>
      <w:r w:rsidR="001A7129">
        <w:rPr>
          <w:rFonts w:asciiTheme="minorHAnsi" w:eastAsia="Calibri" w:hAnsiTheme="minorHAnsi" w:cs="Calibri"/>
          <w:sz w:val="24"/>
          <w:szCs w:val="24"/>
        </w:rPr>
        <w:t>within a</w:t>
      </w:r>
      <w:r w:rsidR="00111925">
        <w:rPr>
          <w:rFonts w:asciiTheme="minorHAnsi" w:eastAsia="Calibri" w:hAnsiTheme="minorHAnsi" w:cs="Calibri"/>
          <w:sz w:val="24"/>
          <w:szCs w:val="24"/>
        </w:rPr>
        <w:t>n individualized,</w:t>
      </w:r>
      <w:r w:rsidR="001A7129">
        <w:rPr>
          <w:rFonts w:asciiTheme="minorHAnsi" w:eastAsia="Calibri" w:hAnsiTheme="minorHAnsi" w:cs="Calibri"/>
          <w:sz w:val="24"/>
          <w:szCs w:val="24"/>
        </w:rPr>
        <w:t xml:space="preserve"> results oriented process </w:t>
      </w:r>
      <w:r w:rsidR="00C20B33">
        <w:rPr>
          <w:rFonts w:asciiTheme="minorHAnsi" w:eastAsia="Calibri" w:hAnsiTheme="minorHAnsi" w:cs="Calibri"/>
          <w:sz w:val="24"/>
          <w:szCs w:val="24"/>
        </w:rPr>
        <w:t>designed</w:t>
      </w:r>
      <w:r w:rsidR="009972C8">
        <w:rPr>
          <w:rFonts w:asciiTheme="minorHAnsi" w:eastAsia="Calibri" w:hAnsiTheme="minorHAnsi" w:cs="Calibri"/>
          <w:sz w:val="24"/>
          <w:szCs w:val="24"/>
        </w:rPr>
        <w:t xml:space="preserve"> to</w:t>
      </w:r>
      <w:r w:rsidR="00C20B33">
        <w:rPr>
          <w:rFonts w:asciiTheme="minorHAnsi" w:eastAsia="Calibri" w:hAnsiTheme="minorHAnsi" w:cs="Calibri"/>
          <w:sz w:val="24"/>
          <w:szCs w:val="24"/>
        </w:rPr>
        <w:t xml:space="preserve"> </w:t>
      </w:r>
      <w:r w:rsidR="00B326EA">
        <w:rPr>
          <w:rFonts w:asciiTheme="minorHAnsi" w:eastAsia="Calibri" w:hAnsiTheme="minorHAnsi" w:cs="Calibri"/>
          <w:sz w:val="24"/>
          <w:szCs w:val="24"/>
        </w:rPr>
        <w:t xml:space="preserve">improve </w:t>
      </w:r>
      <w:r w:rsidR="00FA4704">
        <w:rPr>
          <w:rFonts w:asciiTheme="minorHAnsi" w:eastAsia="Calibri" w:hAnsiTheme="minorHAnsi" w:cs="Calibri"/>
          <w:sz w:val="24"/>
          <w:szCs w:val="24"/>
        </w:rPr>
        <w:t xml:space="preserve">students’ </w:t>
      </w:r>
      <w:r w:rsidR="00B326EA">
        <w:rPr>
          <w:rFonts w:asciiTheme="minorHAnsi" w:eastAsia="Calibri" w:hAnsiTheme="minorHAnsi" w:cs="Calibri"/>
          <w:sz w:val="24"/>
          <w:szCs w:val="24"/>
        </w:rPr>
        <w:t xml:space="preserve">academic and functional achievement and </w:t>
      </w:r>
      <w:r w:rsidR="00111925">
        <w:rPr>
          <w:rFonts w:asciiTheme="minorHAnsi" w:eastAsia="Calibri" w:hAnsiTheme="minorHAnsi" w:cs="Calibri"/>
          <w:sz w:val="24"/>
          <w:szCs w:val="24"/>
        </w:rPr>
        <w:t>thus</w:t>
      </w:r>
      <w:r w:rsidR="00B326EA">
        <w:rPr>
          <w:rFonts w:asciiTheme="minorHAnsi" w:eastAsia="Calibri" w:hAnsiTheme="minorHAnsi" w:cs="Calibri"/>
          <w:sz w:val="24"/>
          <w:szCs w:val="24"/>
        </w:rPr>
        <w:t xml:space="preserve"> </w:t>
      </w:r>
      <w:r w:rsidR="009972C8">
        <w:rPr>
          <w:rFonts w:asciiTheme="minorHAnsi" w:eastAsia="Calibri" w:hAnsiTheme="minorHAnsi" w:cs="Calibri"/>
          <w:sz w:val="24"/>
          <w:szCs w:val="24"/>
        </w:rPr>
        <w:t>prepare them</w:t>
      </w:r>
      <w:r w:rsidR="00B326EA">
        <w:rPr>
          <w:rFonts w:asciiTheme="minorHAnsi" w:eastAsia="Calibri" w:hAnsiTheme="minorHAnsi" w:cs="Calibri"/>
          <w:sz w:val="24"/>
          <w:szCs w:val="24"/>
        </w:rPr>
        <w:t xml:space="preserve"> for life</w:t>
      </w:r>
      <w:r w:rsidR="003B3969">
        <w:rPr>
          <w:rFonts w:asciiTheme="minorHAnsi" w:eastAsia="Calibri" w:hAnsiTheme="minorHAnsi" w:cs="Calibri"/>
          <w:sz w:val="24"/>
          <w:szCs w:val="24"/>
        </w:rPr>
        <w:t xml:space="preserve"> after high school</w:t>
      </w:r>
      <w:r w:rsidR="00B326EA">
        <w:rPr>
          <w:rFonts w:asciiTheme="minorHAnsi" w:eastAsia="Calibri" w:hAnsiTheme="minorHAnsi" w:cs="Calibri"/>
          <w:sz w:val="24"/>
          <w:szCs w:val="24"/>
        </w:rPr>
        <w:t>.</w:t>
      </w:r>
      <w:r w:rsidR="00477526" w:rsidRPr="001D0641">
        <w:rPr>
          <w:rFonts w:asciiTheme="minorHAnsi" w:eastAsia="Calibri" w:hAnsiTheme="minorHAnsi" w:cs="Calibri"/>
          <w:sz w:val="24"/>
          <w:szCs w:val="24"/>
          <w:vertAlign w:val="superscript"/>
        </w:rPr>
        <w:endnoteReference w:id="4"/>
      </w:r>
      <w:r w:rsidR="00477526" w:rsidRPr="001D0641">
        <w:rPr>
          <w:rFonts w:asciiTheme="minorHAnsi" w:eastAsia="Calibri" w:hAnsiTheme="minorHAnsi" w:cs="Calibri"/>
          <w:sz w:val="24"/>
          <w:szCs w:val="24"/>
        </w:rPr>
        <w:t xml:space="preserve"> </w:t>
      </w:r>
      <w:r>
        <w:rPr>
          <w:rFonts w:asciiTheme="minorHAnsi" w:eastAsia="Calibri" w:hAnsiTheme="minorHAnsi" w:cs="Calibri"/>
          <w:sz w:val="24"/>
          <w:szCs w:val="24"/>
        </w:rPr>
        <w:t>Transition</w:t>
      </w:r>
      <w:r w:rsidR="00111925">
        <w:rPr>
          <w:rFonts w:asciiTheme="minorHAnsi" w:eastAsia="Calibri" w:hAnsiTheme="minorHAnsi" w:cs="Calibri"/>
          <w:sz w:val="24"/>
          <w:szCs w:val="24"/>
        </w:rPr>
        <w:t xml:space="preserve"> services help </w:t>
      </w:r>
      <w:r w:rsidR="003B3969">
        <w:rPr>
          <w:rFonts w:asciiTheme="minorHAnsi" w:eastAsia="Calibri" w:hAnsiTheme="minorHAnsi" w:cs="Calibri"/>
          <w:sz w:val="24"/>
          <w:szCs w:val="24"/>
        </w:rPr>
        <w:t>students with</w:t>
      </w:r>
      <w:r w:rsidR="0099128D">
        <w:rPr>
          <w:rFonts w:asciiTheme="minorHAnsi" w:eastAsia="Calibri" w:hAnsiTheme="minorHAnsi" w:cs="Calibri"/>
          <w:sz w:val="24"/>
          <w:szCs w:val="24"/>
        </w:rPr>
        <w:t xml:space="preserve"> IEPs</w:t>
      </w:r>
      <w:r w:rsidR="003B3969">
        <w:rPr>
          <w:rFonts w:asciiTheme="minorHAnsi" w:eastAsia="Calibri" w:hAnsiTheme="minorHAnsi" w:cs="Calibri"/>
          <w:sz w:val="24"/>
          <w:szCs w:val="24"/>
        </w:rPr>
        <w:t xml:space="preserve"> build the skills they will need to live successful lives as adult learners, workers, and </w:t>
      </w:r>
      <w:proofErr w:type="gramStart"/>
      <w:r w:rsidR="003B3969">
        <w:rPr>
          <w:rFonts w:asciiTheme="minorHAnsi" w:eastAsia="Calibri" w:hAnsiTheme="minorHAnsi" w:cs="Calibri"/>
          <w:sz w:val="24"/>
          <w:szCs w:val="24"/>
        </w:rPr>
        <w:t>community</w:t>
      </w:r>
      <w:proofErr w:type="gramEnd"/>
      <w:r w:rsidR="003B3969">
        <w:rPr>
          <w:rFonts w:asciiTheme="minorHAnsi" w:eastAsia="Calibri" w:hAnsiTheme="minorHAnsi" w:cs="Calibri"/>
          <w:sz w:val="24"/>
          <w:szCs w:val="24"/>
        </w:rPr>
        <w:t xml:space="preserve"> members.</w:t>
      </w:r>
      <w:r w:rsidR="004A26C0">
        <w:rPr>
          <w:rFonts w:asciiTheme="minorHAnsi" w:eastAsia="Calibri" w:hAnsiTheme="minorHAnsi" w:cs="Calibri"/>
          <w:sz w:val="24"/>
          <w:szCs w:val="24"/>
        </w:rPr>
        <w:t xml:space="preserve"> </w:t>
      </w:r>
      <w:r w:rsidR="0099128D">
        <w:rPr>
          <w:rFonts w:asciiTheme="minorHAnsi" w:eastAsia="Calibri" w:hAnsiTheme="minorHAnsi" w:cs="Calibri"/>
          <w:sz w:val="24"/>
          <w:szCs w:val="24"/>
        </w:rPr>
        <w:t xml:space="preserve"> </w:t>
      </w:r>
      <w:r w:rsidR="00ED0B96">
        <w:rPr>
          <w:rFonts w:asciiTheme="minorHAnsi" w:eastAsia="Calibri" w:hAnsiTheme="minorHAnsi" w:cs="Calibri"/>
          <w:sz w:val="24"/>
          <w:szCs w:val="24"/>
        </w:rPr>
        <w:t>Each year from age 14</w:t>
      </w:r>
      <w:r w:rsidR="00F12E72">
        <w:rPr>
          <w:rFonts w:asciiTheme="minorHAnsi" w:eastAsia="Calibri" w:hAnsiTheme="minorHAnsi" w:cs="Calibri"/>
          <w:sz w:val="24"/>
          <w:szCs w:val="24"/>
        </w:rPr>
        <w:t xml:space="preserve"> (or earlier)</w:t>
      </w:r>
      <w:r w:rsidR="00ED0B96">
        <w:rPr>
          <w:rFonts w:asciiTheme="minorHAnsi" w:eastAsia="Calibri" w:hAnsiTheme="minorHAnsi" w:cs="Calibri"/>
          <w:sz w:val="24"/>
          <w:szCs w:val="24"/>
        </w:rPr>
        <w:t xml:space="preserve"> onward,</w:t>
      </w:r>
      <w:r w:rsidR="00ED0B96">
        <w:rPr>
          <w:rStyle w:val="EndnoteReference"/>
          <w:rFonts w:asciiTheme="minorHAnsi" w:eastAsia="Calibri" w:hAnsiTheme="minorHAnsi" w:cs="Calibri"/>
          <w:sz w:val="24"/>
          <w:szCs w:val="24"/>
        </w:rPr>
        <w:endnoteReference w:id="5"/>
      </w:r>
      <w:r w:rsidR="00ED0B96">
        <w:rPr>
          <w:rFonts w:asciiTheme="minorHAnsi" w:eastAsia="Calibri" w:hAnsiTheme="minorHAnsi" w:cs="Calibri"/>
          <w:sz w:val="24"/>
          <w:szCs w:val="24"/>
        </w:rPr>
        <w:t xml:space="preserve"> </w:t>
      </w:r>
      <w:r w:rsidR="00FA4704">
        <w:rPr>
          <w:rFonts w:asciiTheme="minorHAnsi" w:eastAsia="Calibri" w:hAnsiTheme="minorHAnsi" w:cs="Calibri"/>
          <w:sz w:val="24"/>
          <w:szCs w:val="24"/>
        </w:rPr>
        <w:t xml:space="preserve">the IEP team helps </w:t>
      </w:r>
      <w:r w:rsidR="00FF1DDE">
        <w:rPr>
          <w:rFonts w:asciiTheme="minorHAnsi" w:eastAsia="Calibri" w:hAnsiTheme="minorHAnsi" w:cs="Calibri"/>
          <w:sz w:val="24"/>
          <w:szCs w:val="24"/>
        </w:rPr>
        <w:t>each</w:t>
      </w:r>
      <w:r w:rsidR="00FA4704">
        <w:rPr>
          <w:rFonts w:asciiTheme="minorHAnsi" w:eastAsia="Calibri" w:hAnsiTheme="minorHAnsi" w:cs="Calibri"/>
          <w:sz w:val="24"/>
          <w:szCs w:val="24"/>
        </w:rPr>
        <w:t xml:space="preserve"> student to understand their needs, strengths, preferences, and interests, and to refine </w:t>
      </w:r>
      <w:r w:rsidR="00457EA5">
        <w:rPr>
          <w:rFonts w:asciiTheme="minorHAnsi" w:eastAsia="Calibri" w:hAnsiTheme="minorHAnsi" w:cs="Calibri"/>
          <w:sz w:val="24"/>
          <w:szCs w:val="24"/>
        </w:rPr>
        <w:t>their postsecondary goals</w:t>
      </w:r>
      <w:r w:rsidR="00ED0B96" w:rsidRPr="00ED0B96">
        <w:rPr>
          <w:rFonts w:asciiTheme="minorHAnsi" w:eastAsia="Calibri" w:hAnsiTheme="minorHAnsi" w:cs="Calibri"/>
          <w:sz w:val="24"/>
          <w:szCs w:val="24"/>
        </w:rPr>
        <w:t xml:space="preserve"> </w:t>
      </w:r>
      <w:r w:rsidR="00ED0B96">
        <w:rPr>
          <w:rFonts w:asciiTheme="minorHAnsi" w:eastAsia="Calibri" w:hAnsiTheme="minorHAnsi" w:cs="Calibri"/>
          <w:sz w:val="24"/>
          <w:szCs w:val="24"/>
        </w:rPr>
        <w:t xml:space="preserve">(i.e., vision) </w:t>
      </w:r>
      <w:r w:rsidR="00ED0B96" w:rsidRPr="00EB1BC2">
        <w:rPr>
          <w:rFonts w:asciiTheme="minorHAnsi" w:eastAsia="Calibri" w:hAnsiTheme="minorHAnsi" w:cs="Calibri"/>
          <w:color w:val="auto"/>
          <w:sz w:val="24"/>
          <w:szCs w:val="24"/>
        </w:rPr>
        <w:t xml:space="preserve">through </w:t>
      </w:r>
      <w:r w:rsidR="00EB1BC2">
        <w:rPr>
          <w:rFonts w:asciiTheme="minorHAnsi" w:eastAsia="Calibri" w:hAnsiTheme="minorHAnsi" w:cs="Calibri"/>
          <w:color w:val="auto"/>
          <w:sz w:val="24"/>
          <w:szCs w:val="24"/>
        </w:rPr>
        <w:t xml:space="preserve">ongoing </w:t>
      </w:r>
      <w:r w:rsidR="00ED0B96" w:rsidRPr="00EB1BC2">
        <w:rPr>
          <w:rFonts w:asciiTheme="minorHAnsi" w:eastAsia="Calibri" w:hAnsiTheme="minorHAnsi" w:cs="Calibri"/>
          <w:color w:val="auto"/>
          <w:sz w:val="24"/>
          <w:szCs w:val="24"/>
        </w:rPr>
        <w:t>age-appropriate transition assessment</w:t>
      </w:r>
      <w:r w:rsidR="00457EA5">
        <w:rPr>
          <w:rFonts w:asciiTheme="minorHAnsi" w:eastAsia="Calibri" w:hAnsiTheme="minorHAnsi" w:cs="Calibri"/>
          <w:sz w:val="24"/>
          <w:szCs w:val="24"/>
        </w:rPr>
        <w:t>.</w:t>
      </w:r>
      <w:r w:rsidR="00F313F2">
        <w:rPr>
          <w:rStyle w:val="EndnoteReference"/>
          <w:rFonts w:asciiTheme="minorHAnsi" w:eastAsia="Calibri" w:hAnsiTheme="minorHAnsi" w:cs="Calibri"/>
          <w:sz w:val="24"/>
          <w:szCs w:val="24"/>
        </w:rPr>
        <w:endnoteReference w:id="6"/>
      </w:r>
      <w:r w:rsidR="00457EA5">
        <w:rPr>
          <w:rFonts w:asciiTheme="minorHAnsi" w:eastAsia="Calibri" w:hAnsiTheme="minorHAnsi" w:cs="Calibri"/>
          <w:sz w:val="24"/>
          <w:szCs w:val="24"/>
        </w:rPr>
        <w:t xml:space="preserve"> The team then develops measurable annual IEP goals</w:t>
      </w:r>
      <w:r w:rsidR="00181650">
        <w:rPr>
          <w:rFonts w:asciiTheme="minorHAnsi" w:eastAsia="Calibri" w:hAnsiTheme="minorHAnsi" w:cs="Calibri"/>
          <w:sz w:val="24"/>
          <w:szCs w:val="24"/>
        </w:rPr>
        <w:t xml:space="preserve"> and designates transition services</w:t>
      </w:r>
      <w:r w:rsidR="00457EA5">
        <w:rPr>
          <w:rFonts w:asciiTheme="minorHAnsi" w:eastAsia="Calibri" w:hAnsiTheme="minorHAnsi" w:cs="Calibri"/>
          <w:sz w:val="24"/>
          <w:szCs w:val="24"/>
        </w:rPr>
        <w:t xml:space="preserve"> to address the student’s disability-related needs and build skills </w:t>
      </w:r>
      <w:r w:rsidR="00F12E72">
        <w:rPr>
          <w:rFonts w:asciiTheme="minorHAnsi" w:eastAsia="Calibri" w:hAnsiTheme="minorHAnsi" w:cs="Calibri"/>
          <w:sz w:val="24"/>
          <w:szCs w:val="24"/>
        </w:rPr>
        <w:t xml:space="preserve">in an additive fashion, </w:t>
      </w:r>
      <w:r w:rsidR="00502809" w:rsidRPr="00F87F09">
        <w:rPr>
          <w:rFonts w:asciiTheme="minorHAnsi" w:eastAsia="Calibri" w:hAnsiTheme="minorHAnsi" w:cs="Calibri"/>
          <w:sz w:val="24"/>
          <w:szCs w:val="24"/>
        </w:rPr>
        <w:t>moving the student closer each year toward achieving their postsecondary goals.</w:t>
      </w:r>
      <w:r w:rsidR="00457EA5">
        <w:rPr>
          <w:rFonts w:asciiTheme="minorHAnsi" w:eastAsia="Calibri" w:hAnsiTheme="minorHAnsi" w:cs="Calibri"/>
          <w:sz w:val="24"/>
          <w:szCs w:val="24"/>
        </w:rPr>
        <w:t xml:space="preserve"> </w:t>
      </w:r>
    </w:p>
    <w:p w:rsidR="00254329" w:rsidRPr="004C35B1" w:rsidRDefault="00D3229A" w:rsidP="004C35B1">
      <w:pPr>
        <w:pStyle w:val="Heading3"/>
        <w:rPr>
          <w:rFonts w:asciiTheme="majorHAnsi" w:hAnsiTheme="majorHAnsi"/>
          <w:color w:val="1F497D" w:themeColor="text2"/>
        </w:rPr>
      </w:pPr>
      <w:r>
        <w:rPr>
          <w:rFonts w:asciiTheme="majorHAnsi" w:hAnsiTheme="majorHAnsi"/>
          <w:color w:val="1F497D" w:themeColor="text2"/>
        </w:rPr>
        <w:t>Characteristic</w:t>
      </w:r>
      <w:r w:rsidR="0077613A" w:rsidRPr="004C35B1">
        <w:rPr>
          <w:rFonts w:asciiTheme="majorHAnsi" w:hAnsiTheme="majorHAnsi"/>
          <w:color w:val="1F497D" w:themeColor="text2"/>
        </w:rPr>
        <w:t xml:space="preserve"> #1: Transition services should be coordinated.</w:t>
      </w:r>
    </w:p>
    <w:p w:rsidR="00254329" w:rsidRDefault="00254329" w:rsidP="00254329">
      <w:pPr>
        <w:spacing w:before="120" w:after="120"/>
        <w:rPr>
          <w:rFonts w:asciiTheme="minorHAnsi" w:eastAsia="Calibri" w:hAnsiTheme="minorHAnsi" w:cs="Calibri"/>
          <w:sz w:val="24"/>
          <w:szCs w:val="24"/>
        </w:rPr>
      </w:pPr>
      <w:r>
        <w:rPr>
          <w:rFonts w:asciiTheme="minorHAnsi" w:hAnsiTheme="minorHAnsi"/>
          <w:sz w:val="24"/>
          <w:szCs w:val="24"/>
        </w:rPr>
        <w:t xml:space="preserve">Transition </w:t>
      </w:r>
      <w:r w:rsidRPr="001D0641">
        <w:rPr>
          <w:rFonts w:asciiTheme="minorHAnsi" w:eastAsia="Calibri" w:hAnsiTheme="minorHAnsi" w:cs="Calibri"/>
          <w:sz w:val="24"/>
          <w:szCs w:val="24"/>
        </w:rPr>
        <w:t>s</w:t>
      </w:r>
      <w:r w:rsidR="00F12E72">
        <w:rPr>
          <w:rFonts w:asciiTheme="minorHAnsi" w:eastAsia="Calibri" w:hAnsiTheme="minorHAnsi" w:cs="Calibri"/>
          <w:sz w:val="24"/>
          <w:szCs w:val="24"/>
        </w:rPr>
        <w:t>ervices should be coordinated both at a systems and individual level</w:t>
      </w:r>
      <w:r w:rsidRPr="001D0641">
        <w:rPr>
          <w:rFonts w:asciiTheme="minorHAnsi" w:eastAsia="Calibri" w:hAnsiTheme="minorHAnsi" w:cs="Calibri"/>
          <w:sz w:val="24"/>
          <w:szCs w:val="24"/>
        </w:rPr>
        <w:t xml:space="preserve"> as part of a purposeful, sequential, developmental IEP process</w:t>
      </w:r>
      <w:r w:rsidR="00F12E72">
        <w:rPr>
          <w:rFonts w:asciiTheme="minorHAnsi" w:eastAsia="Calibri" w:hAnsiTheme="minorHAnsi" w:cs="Calibri"/>
          <w:sz w:val="24"/>
          <w:szCs w:val="24"/>
        </w:rPr>
        <w:t>.</w:t>
      </w:r>
    </w:p>
    <w:p w:rsidR="00254329" w:rsidRPr="00AC5934" w:rsidRDefault="00254329" w:rsidP="00AC5934">
      <w:pPr>
        <w:pStyle w:val="Subtitle"/>
        <w:spacing w:after="120" w:line="240" w:lineRule="auto"/>
        <w:rPr>
          <w:rFonts w:asciiTheme="minorHAnsi" w:hAnsiTheme="minorHAnsi"/>
          <w:b/>
          <w:sz w:val="24"/>
          <w:szCs w:val="24"/>
        </w:rPr>
      </w:pPr>
      <w:r w:rsidRPr="00AC5934">
        <w:rPr>
          <w:rFonts w:asciiTheme="minorHAnsi" w:hAnsiTheme="minorHAnsi"/>
          <w:b/>
          <w:sz w:val="24"/>
          <w:szCs w:val="24"/>
        </w:rPr>
        <w:lastRenderedPageBreak/>
        <w:t>Systems Level Coordination</w:t>
      </w:r>
    </w:p>
    <w:p w:rsidR="00FF7E75" w:rsidRPr="00365441" w:rsidRDefault="00254329" w:rsidP="00FF7E75">
      <w:pPr>
        <w:spacing w:before="120" w:after="120"/>
        <w:rPr>
          <w:rFonts w:asciiTheme="minorHAnsi" w:hAnsiTheme="minorHAnsi"/>
          <w:sz w:val="24"/>
          <w:szCs w:val="24"/>
        </w:rPr>
      </w:pPr>
      <w:r w:rsidRPr="001D0641">
        <w:rPr>
          <w:rFonts w:asciiTheme="minorHAnsi" w:eastAsia="Calibri" w:hAnsiTheme="minorHAnsi" w:cs="Calibri"/>
          <w:sz w:val="24"/>
          <w:szCs w:val="24"/>
        </w:rPr>
        <w:t xml:space="preserve">School districts </w:t>
      </w:r>
      <w:r w:rsidR="00771738">
        <w:rPr>
          <w:rFonts w:asciiTheme="minorHAnsi" w:eastAsia="Calibri" w:hAnsiTheme="minorHAnsi" w:cs="Calibri"/>
          <w:sz w:val="24"/>
          <w:szCs w:val="24"/>
        </w:rPr>
        <w:t>should</w:t>
      </w:r>
      <w:r w:rsidRPr="001D0641">
        <w:rPr>
          <w:rFonts w:asciiTheme="minorHAnsi" w:eastAsia="Calibri" w:hAnsiTheme="minorHAnsi" w:cs="Calibri"/>
          <w:sz w:val="24"/>
          <w:szCs w:val="24"/>
        </w:rPr>
        <w:t xml:space="preserve"> provide a sufficient range and continuum of coordinated transition services to meet </w:t>
      </w:r>
      <w:r w:rsidR="00796298">
        <w:rPr>
          <w:rFonts w:asciiTheme="minorHAnsi" w:eastAsia="Calibri" w:hAnsiTheme="minorHAnsi" w:cs="Calibri"/>
          <w:sz w:val="24"/>
          <w:szCs w:val="24"/>
        </w:rPr>
        <w:t xml:space="preserve">the full range of </w:t>
      </w:r>
      <w:r w:rsidRPr="001D0641">
        <w:rPr>
          <w:rFonts w:asciiTheme="minorHAnsi" w:eastAsia="Calibri" w:hAnsiTheme="minorHAnsi" w:cs="Calibri"/>
          <w:sz w:val="24"/>
          <w:szCs w:val="24"/>
        </w:rPr>
        <w:t>students’ needs across the age span of 14 to 22 years.</w:t>
      </w:r>
      <w:r w:rsidRPr="001D0641">
        <w:rPr>
          <w:rFonts w:asciiTheme="minorHAnsi" w:eastAsia="Calibri" w:hAnsiTheme="minorHAnsi" w:cs="Calibri"/>
          <w:sz w:val="24"/>
          <w:szCs w:val="24"/>
          <w:vertAlign w:val="superscript"/>
        </w:rPr>
        <w:endnoteReference w:id="7"/>
      </w:r>
      <w:r w:rsidRPr="001D0641">
        <w:rPr>
          <w:rFonts w:asciiTheme="minorHAnsi" w:eastAsia="Calibri" w:hAnsiTheme="minorHAnsi" w:cs="Calibri"/>
          <w:sz w:val="24"/>
          <w:szCs w:val="24"/>
        </w:rPr>
        <w:t xml:space="preserve"> </w:t>
      </w:r>
      <w:r w:rsidR="00FF7E75" w:rsidRPr="00365441">
        <w:rPr>
          <w:rFonts w:asciiTheme="minorHAnsi" w:eastAsia="Calibri" w:hAnsiTheme="minorHAnsi" w:cs="Calibri"/>
          <w:sz w:val="24"/>
          <w:szCs w:val="24"/>
        </w:rPr>
        <w:t xml:space="preserve">For older students (18-22), </w:t>
      </w:r>
      <w:r w:rsidR="00BB1487">
        <w:rPr>
          <w:rFonts w:asciiTheme="minorHAnsi" w:eastAsia="Calibri" w:hAnsiTheme="minorHAnsi" w:cs="Calibri"/>
          <w:sz w:val="24"/>
          <w:szCs w:val="24"/>
        </w:rPr>
        <w:t>s</w:t>
      </w:r>
      <w:r w:rsidR="00FF7E75" w:rsidRPr="00365441">
        <w:rPr>
          <w:rFonts w:asciiTheme="minorHAnsi" w:eastAsia="Calibri" w:hAnsiTheme="minorHAnsi" w:cs="Calibri"/>
          <w:sz w:val="24"/>
          <w:szCs w:val="24"/>
        </w:rPr>
        <w:t xml:space="preserve">chool districts must have available a sufficient breadth of transition services to teach these transition skills to all students who need them:  </w:t>
      </w:r>
    </w:p>
    <w:p w:rsidR="00FF7E75" w:rsidRPr="00365441" w:rsidRDefault="00FF7E75" w:rsidP="00FF7E75">
      <w:pPr>
        <w:numPr>
          <w:ilvl w:val="0"/>
          <w:numId w:val="2"/>
        </w:numPr>
        <w:spacing w:before="120" w:after="120"/>
        <w:ind w:hanging="360"/>
        <w:contextualSpacing/>
        <w:rPr>
          <w:rFonts w:asciiTheme="minorHAnsi" w:hAnsiTheme="minorHAnsi"/>
          <w:sz w:val="24"/>
          <w:szCs w:val="24"/>
        </w:rPr>
      </w:pPr>
      <w:r w:rsidRPr="00365441">
        <w:rPr>
          <w:rFonts w:asciiTheme="minorHAnsi" w:eastAsia="Calibri" w:hAnsiTheme="minorHAnsi" w:cs="Calibri"/>
          <w:sz w:val="24"/>
          <w:szCs w:val="24"/>
        </w:rPr>
        <w:t>skills necessary for postsecondary education</w:t>
      </w:r>
      <w:r w:rsidR="00257D03" w:rsidRPr="00365441">
        <w:rPr>
          <w:rFonts w:asciiTheme="minorHAnsi" w:eastAsia="Calibri" w:hAnsiTheme="minorHAnsi" w:cs="Calibri"/>
          <w:sz w:val="24"/>
          <w:szCs w:val="24"/>
        </w:rPr>
        <w:t xml:space="preserve"> and/or training</w:t>
      </w:r>
      <w:r w:rsidRPr="00365441">
        <w:rPr>
          <w:rFonts w:asciiTheme="minorHAnsi" w:eastAsia="Calibri" w:hAnsiTheme="minorHAnsi" w:cs="Calibri"/>
          <w:sz w:val="24"/>
          <w:szCs w:val="24"/>
        </w:rPr>
        <w:t>,</w:t>
      </w:r>
    </w:p>
    <w:p w:rsidR="00FF7E75" w:rsidRPr="00365441" w:rsidRDefault="00FF7E75" w:rsidP="00FF7E75">
      <w:pPr>
        <w:numPr>
          <w:ilvl w:val="0"/>
          <w:numId w:val="2"/>
        </w:numPr>
        <w:spacing w:before="120" w:after="120"/>
        <w:ind w:hanging="360"/>
        <w:contextualSpacing/>
        <w:rPr>
          <w:rFonts w:asciiTheme="minorHAnsi" w:hAnsiTheme="minorHAnsi"/>
          <w:sz w:val="24"/>
          <w:szCs w:val="24"/>
        </w:rPr>
      </w:pPr>
      <w:r w:rsidRPr="00365441">
        <w:rPr>
          <w:rFonts w:asciiTheme="minorHAnsi" w:eastAsia="Calibri" w:hAnsiTheme="minorHAnsi" w:cs="Calibri"/>
          <w:sz w:val="24"/>
          <w:szCs w:val="24"/>
        </w:rPr>
        <w:t>skills needed to seek, obtain and maintain employment,</w:t>
      </w:r>
    </w:p>
    <w:p w:rsidR="00FF7E75" w:rsidRPr="00365441" w:rsidRDefault="00FF7E75" w:rsidP="00FF7E75">
      <w:pPr>
        <w:numPr>
          <w:ilvl w:val="0"/>
          <w:numId w:val="2"/>
        </w:numPr>
        <w:spacing w:before="120" w:after="120"/>
        <w:ind w:hanging="360"/>
        <w:contextualSpacing/>
        <w:rPr>
          <w:rFonts w:asciiTheme="minorHAnsi" w:hAnsiTheme="minorHAnsi"/>
          <w:sz w:val="24"/>
          <w:szCs w:val="24"/>
        </w:rPr>
      </w:pPr>
      <w:r w:rsidRPr="00365441">
        <w:rPr>
          <w:rFonts w:asciiTheme="minorHAnsi" w:eastAsia="Calibri" w:hAnsiTheme="minorHAnsi" w:cs="Calibri"/>
          <w:sz w:val="24"/>
          <w:szCs w:val="24"/>
        </w:rPr>
        <w:t>skills necessary for independent living,</w:t>
      </w:r>
    </w:p>
    <w:p w:rsidR="00FF7E75" w:rsidRPr="00365441" w:rsidRDefault="00FF7E75" w:rsidP="00FF7E75">
      <w:pPr>
        <w:numPr>
          <w:ilvl w:val="0"/>
          <w:numId w:val="2"/>
        </w:numPr>
        <w:spacing w:before="120" w:after="120"/>
        <w:ind w:hanging="360"/>
        <w:contextualSpacing/>
        <w:rPr>
          <w:rFonts w:asciiTheme="minorHAnsi" w:hAnsiTheme="minorHAnsi"/>
          <w:sz w:val="24"/>
          <w:szCs w:val="24"/>
        </w:rPr>
      </w:pPr>
      <w:r w:rsidRPr="00365441">
        <w:rPr>
          <w:rFonts w:asciiTheme="minorHAnsi" w:eastAsia="Calibri" w:hAnsiTheme="minorHAnsi" w:cs="Calibri"/>
          <w:sz w:val="24"/>
          <w:szCs w:val="24"/>
        </w:rPr>
        <w:t>skills needed to access community services, and</w:t>
      </w:r>
    </w:p>
    <w:p w:rsidR="00FF7E75" w:rsidRPr="00365441" w:rsidRDefault="00FF7E75" w:rsidP="00FF7E75">
      <w:pPr>
        <w:numPr>
          <w:ilvl w:val="0"/>
          <w:numId w:val="2"/>
        </w:numPr>
        <w:spacing w:before="120" w:after="120"/>
        <w:ind w:hanging="360"/>
        <w:rPr>
          <w:rFonts w:asciiTheme="minorHAnsi" w:hAnsiTheme="minorHAnsi"/>
          <w:sz w:val="24"/>
          <w:szCs w:val="24"/>
        </w:rPr>
      </w:pPr>
      <w:proofErr w:type="gramStart"/>
      <w:r w:rsidRPr="00365441">
        <w:rPr>
          <w:rFonts w:asciiTheme="minorHAnsi" w:eastAsia="Calibri" w:hAnsiTheme="minorHAnsi" w:cs="Calibri"/>
          <w:sz w:val="24"/>
          <w:szCs w:val="24"/>
        </w:rPr>
        <w:t>skills</w:t>
      </w:r>
      <w:proofErr w:type="gramEnd"/>
      <w:r w:rsidRPr="00365441">
        <w:rPr>
          <w:rFonts w:asciiTheme="minorHAnsi" w:eastAsia="Calibri" w:hAnsiTheme="minorHAnsi" w:cs="Calibri"/>
          <w:sz w:val="24"/>
          <w:szCs w:val="24"/>
        </w:rPr>
        <w:t xml:space="preserve"> used to self-manage medical and other personal needs.</w:t>
      </w:r>
      <w:r w:rsidR="00250C43" w:rsidRPr="00250C43">
        <w:rPr>
          <w:rFonts w:asciiTheme="minorHAnsi" w:eastAsia="Calibri" w:hAnsiTheme="minorHAnsi" w:cs="Calibri"/>
          <w:sz w:val="24"/>
          <w:szCs w:val="24"/>
          <w:vertAlign w:val="superscript"/>
        </w:rPr>
        <w:t xml:space="preserve"> </w:t>
      </w:r>
      <w:r w:rsidR="00250C43" w:rsidRPr="00365441">
        <w:rPr>
          <w:rFonts w:asciiTheme="minorHAnsi" w:eastAsia="Calibri" w:hAnsiTheme="minorHAnsi" w:cs="Calibri"/>
          <w:sz w:val="24"/>
          <w:szCs w:val="24"/>
          <w:vertAlign w:val="superscript"/>
        </w:rPr>
        <w:endnoteReference w:id="8"/>
      </w:r>
    </w:p>
    <w:p w:rsidR="00254329" w:rsidRPr="001D0641" w:rsidRDefault="00254329" w:rsidP="00254329">
      <w:pPr>
        <w:spacing w:before="120" w:after="120"/>
        <w:rPr>
          <w:rFonts w:asciiTheme="minorHAnsi" w:hAnsiTheme="minorHAnsi"/>
          <w:sz w:val="24"/>
          <w:szCs w:val="24"/>
        </w:rPr>
      </w:pPr>
      <w:r w:rsidRPr="001D0641">
        <w:rPr>
          <w:rFonts w:asciiTheme="minorHAnsi" w:eastAsia="Calibri" w:hAnsiTheme="minorHAnsi" w:cs="Calibri"/>
          <w:sz w:val="24"/>
          <w:szCs w:val="24"/>
        </w:rPr>
        <w:t xml:space="preserve">When developing </w:t>
      </w:r>
      <w:r w:rsidR="00FF7E75">
        <w:rPr>
          <w:rFonts w:asciiTheme="minorHAnsi" w:eastAsia="Calibri" w:hAnsiTheme="minorHAnsi" w:cs="Calibri"/>
          <w:sz w:val="24"/>
          <w:szCs w:val="24"/>
        </w:rPr>
        <w:t>a</w:t>
      </w:r>
      <w:r w:rsidRPr="001D0641">
        <w:rPr>
          <w:rFonts w:asciiTheme="minorHAnsi" w:eastAsia="Calibri" w:hAnsiTheme="minorHAnsi" w:cs="Calibri"/>
          <w:sz w:val="24"/>
          <w:szCs w:val="24"/>
        </w:rPr>
        <w:t xml:space="preserve"> continuum</w:t>
      </w:r>
      <w:r w:rsidR="00FF7E75">
        <w:rPr>
          <w:rFonts w:asciiTheme="minorHAnsi" w:eastAsia="Calibri" w:hAnsiTheme="minorHAnsi" w:cs="Calibri"/>
          <w:sz w:val="24"/>
          <w:szCs w:val="24"/>
        </w:rPr>
        <w:t xml:space="preserve"> of services for students from age 14 onward</w:t>
      </w:r>
      <w:r w:rsidRPr="001D0641">
        <w:rPr>
          <w:rFonts w:asciiTheme="minorHAnsi" w:eastAsia="Calibri" w:hAnsiTheme="minorHAnsi" w:cs="Calibri"/>
          <w:sz w:val="24"/>
          <w:szCs w:val="24"/>
        </w:rPr>
        <w:t xml:space="preserve">, districts should consider </w:t>
      </w:r>
      <w:r w:rsidR="0077613A" w:rsidRPr="0077613A">
        <w:rPr>
          <w:rFonts w:asciiTheme="minorHAnsi" w:eastAsia="Calibri" w:hAnsiTheme="minorHAnsi" w:cs="Calibri"/>
          <w:b/>
          <w:sz w:val="24"/>
          <w:szCs w:val="24"/>
        </w:rPr>
        <w:t>integrating special education services with the experiences and opportunities available to students without disabilities</w:t>
      </w:r>
      <w:r w:rsidRPr="001D0641">
        <w:rPr>
          <w:rFonts w:asciiTheme="minorHAnsi" w:eastAsia="Calibri" w:hAnsiTheme="minorHAnsi" w:cs="Calibri"/>
          <w:sz w:val="24"/>
          <w:szCs w:val="24"/>
        </w:rPr>
        <w:t>.</w:t>
      </w:r>
      <w:r w:rsidRPr="001D0641">
        <w:rPr>
          <w:rFonts w:asciiTheme="minorHAnsi" w:eastAsia="Calibri" w:hAnsiTheme="minorHAnsi" w:cs="Calibri"/>
          <w:sz w:val="24"/>
          <w:szCs w:val="24"/>
          <w:vertAlign w:val="superscript"/>
        </w:rPr>
        <w:endnoteReference w:id="9"/>
      </w:r>
      <w:r w:rsidRPr="001D0641">
        <w:rPr>
          <w:rFonts w:asciiTheme="minorHAnsi" w:eastAsia="Calibri" w:hAnsiTheme="minorHAnsi" w:cs="Calibri"/>
          <w:sz w:val="24"/>
          <w:szCs w:val="24"/>
        </w:rPr>
        <w:t xml:space="preserve"> </w:t>
      </w:r>
      <w:r w:rsidRPr="0054065C">
        <w:rPr>
          <w:rFonts w:asciiTheme="minorHAnsi" w:eastAsia="Calibri" w:hAnsiTheme="minorHAnsi" w:cs="Calibri"/>
          <w:sz w:val="24"/>
          <w:szCs w:val="24"/>
        </w:rPr>
        <w:t xml:space="preserve">For example, how might guidance counselors, work-and-learning coordinators, faculty sponsors of student clubs, athletics coaches, art and music instructors, and others collaborate with special educators to </w:t>
      </w:r>
      <w:r w:rsidR="00117459">
        <w:rPr>
          <w:rFonts w:asciiTheme="minorHAnsi" w:eastAsia="Calibri" w:hAnsiTheme="minorHAnsi" w:cs="Calibri"/>
          <w:sz w:val="24"/>
          <w:szCs w:val="24"/>
        </w:rPr>
        <w:t xml:space="preserve">build systems to </w:t>
      </w:r>
      <w:r w:rsidRPr="0054065C">
        <w:rPr>
          <w:rFonts w:asciiTheme="minorHAnsi" w:eastAsia="Calibri" w:hAnsiTheme="minorHAnsi" w:cs="Calibri"/>
          <w:sz w:val="24"/>
          <w:szCs w:val="24"/>
        </w:rPr>
        <w:t>provide experiences that align with students’ needs, strengths, preferences, and interests?</w:t>
      </w:r>
      <w:r>
        <w:rPr>
          <w:rFonts w:asciiTheme="minorHAnsi" w:eastAsia="Calibri" w:hAnsiTheme="minorHAnsi" w:cs="Calibri"/>
          <w:sz w:val="24"/>
          <w:szCs w:val="24"/>
        </w:rPr>
        <w:t xml:space="preserve"> </w:t>
      </w:r>
      <w:r w:rsidRPr="001D0641">
        <w:rPr>
          <w:rFonts w:asciiTheme="minorHAnsi" w:eastAsia="Calibri" w:hAnsiTheme="minorHAnsi" w:cs="Calibri"/>
          <w:sz w:val="24"/>
          <w:szCs w:val="24"/>
        </w:rPr>
        <w:t xml:space="preserve">School districts should also explore how students with disabilities can gain work skills through </w:t>
      </w:r>
      <w:r w:rsidR="006D73B5">
        <w:rPr>
          <w:rFonts w:asciiTheme="minorHAnsi" w:eastAsia="Calibri" w:hAnsiTheme="minorHAnsi" w:cs="Calibri"/>
          <w:sz w:val="24"/>
          <w:szCs w:val="24"/>
        </w:rPr>
        <w:t>whole s</w:t>
      </w:r>
      <w:r w:rsidR="00C04796">
        <w:rPr>
          <w:rFonts w:asciiTheme="minorHAnsi" w:eastAsia="Calibri" w:hAnsiTheme="minorHAnsi" w:cs="Calibri"/>
          <w:sz w:val="24"/>
          <w:szCs w:val="24"/>
        </w:rPr>
        <w:t>chool</w:t>
      </w:r>
      <w:r w:rsidRPr="001D0641">
        <w:rPr>
          <w:rFonts w:asciiTheme="minorHAnsi" w:eastAsia="Calibri" w:hAnsiTheme="minorHAnsi" w:cs="Calibri"/>
          <w:sz w:val="24"/>
          <w:szCs w:val="24"/>
        </w:rPr>
        <w:t xml:space="preserve"> supports and services such as Connecting Activities,</w:t>
      </w:r>
      <w:r w:rsidRPr="001D0641">
        <w:rPr>
          <w:rFonts w:asciiTheme="minorHAnsi" w:eastAsia="Calibri" w:hAnsiTheme="minorHAnsi" w:cs="Calibri"/>
          <w:sz w:val="24"/>
          <w:szCs w:val="24"/>
          <w:vertAlign w:val="superscript"/>
        </w:rPr>
        <w:endnoteReference w:id="10"/>
      </w:r>
      <w:r w:rsidRPr="001D0641">
        <w:rPr>
          <w:rFonts w:asciiTheme="minorHAnsi" w:eastAsia="Calibri" w:hAnsiTheme="minorHAnsi" w:cs="Calibri"/>
          <w:sz w:val="24"/>
          <w:szCs w:val="24"/>
          <w:vertAlign w:val="superscript"/>
        </w:rPr>
        <w:t xml:space="preserve"> </w:t>
      </w:r>
      <w:r w:rsidRPr="001D0641">
        <w:rPr>
          <w:rFonts w:asciiTheme="minorHAnsi" w:eastAsia="Calibri" w:hAnsiTheme="minorHAnsi" w:cs="Calibri"/>
          <w:sz w:val="24"/>
          <w:szCs w:val="24"/>
        </w:rPr>
        <w:t>the Massachusetts Work-Based Learning Plan,</w:t>
      </w:r>
      <w:r w:rsidRPr="001D0641">
        <w:rPr>
          <w:rFonts w:asciiTheme="minorHAnsi" w:eastAsia="Calibri" w:hAnsiTheme="minorHAnsi" w:cs="Calibri"/>
          <w:sz w:val="24"/>
          <w:szCs w:val="24"/>
          <w:vertAlign w:val="superscript"/>
        </w:rPr>
        <w:endnoteReference w:id="11"/>
      </w:r>
      <w:r w:rsidRPr="001D0641">
        <w:rPr>
          <w:rFonts w:asciiTheme="minorHAnsi" w:eastAsia="Calibri" w:hAnsiTheme="minorHAnsi" w:cs="Calibri"/>
          <w:sz w:val="24"/>
          <w:szCs w:val="24"/>
        </w:rPr>
        <w:t xml:space="preserve"> and Individual Learning Plans.</w:t>
      </w:r>
      <w:r w:rsidRPr="001D0641">
        <w:rPr>
          <w:rFonts w:asciiTheme="minorHAnsi" w:eastAsia="Calibri" w:hAnsiTheme="minorHAnsi" w:cs="Calibri"/>
          <w:sz w:val="24"/>
          <w:szCs w:val="24"/>
          <w:vertAlign w:val="superscript"/>
        </w:rPr>
        <w:endnoteReference w:id="12"/>
      </w:r>
    </w:p>
    <w:p w:rsidR="00254329" w:rsidRPr="001D0641" w:rsidRDefault="0077613A" w:rsidP="00693A2C">
      <w:pPr>
        <w:spacing w:before="120" w:after="120"/>
        <w:rPr>
          <w:rFonts w:asciiTheme="minorHAnsi" w:eastAsia="Calibri" w:hAnsiTheme="minorHAnsi" w:cs="Calibri"/>
          <w:sz w:val="24"/>
          <w:szCs w:val="24"/>
        </w:rPr>
      </w:pPr>
      <w:r w:rsidRPr="0077613A">
        <w:rPr>
          <w:rFonts w:asciiTheme="minorHAnsi" w:eastAsia="Calibri" w:hAnsiTheme="minorHAnsi" w:cs="Calibri"/>
          <w:b/>
          <w:sz w:val="24"/>
          <w:szCs w:val="24"/>
        </w:rPr>
        <w:t>Partnerships</w:t>
      </w:r>
      <w:r w:rsidR="00254329" w:rsidRPr="001D0641">
        <w:rPr>
          <w:rFonts w:asciiTheme="minorHAnsi" w:eastAsia="Calibri" w:hAnsiTheme="minorHAnsi" w:cs="Calibri"/>
          <w:sz w:val="24"/>
          <w:szCs w:val="24"/>
        </w:rPr>
        <w:t xml:space="preserve"> </w:t>
      </w:r>
      <w:r w:rsidR="00B272E1">
        <w:rPr>
          <w:rFonts w:asciiTheme="minorHAnsi" w:eastAsia="Calibri" w:hAnsiTheme="minorHAnsi" w:cs="Calibri"/>
          <w:sz w:val="24"/>
          <w:szCs w:val="24"/>
        </w:rPr>
        <w:t>enhance</w:t>
      </w:r>
      <w:r w:rsidR="00B60A04">
        <w:rPr>
          <w:rFonts w:asciiTheme="minorHAnsi" w:eastAsia="Calibri" w:hAnsiTheme="minorHAnsi" w:cs="Calibri"/>
          <w:sz w:val="24"/>
          <w:szCs w:val="24"/>
        </w:rPr>
        <w:t xml:space="preserve"> districts’ ability to provide</w:t>
      </w:r>
      <w:r w:rsidR="00254329" w:rsidRPr="001D0641">
        <w:rPr>
          <w:rFonts w:asciiTheme="minorHAnsi" w:eastAsia="Calibri" w:hAnsiTheme="minorHAnsi" w:cs="Calibri"/>
          <w:sz w:val="24"/>
          <w:szCs w:val="24"/>
        </w:rPr>
        <w:t xml:space="preserve"> a sufficient range and continuum of transition services.</w:t>
      </w:r>
      <w:r w:rsidR="00C04796">
        <w:rPr>
          <w:rFonts w:asciiTheme="minorHAnsi" w:eastAsia="Calibri" w:hAnsiTheme="minorHAnsi" w:cs="Calibri"/>
          <w:sz w:val="24"/>
          <w:szCs w:val="24"/>
        </w:rPr>
        <w:t xml:space="preserve"> S</w:t>
      </w:r>
      <w:r w:rsidR="00254329" w:rsidRPr="001D0641">
        <w:rPr>
          <w:rFonts w:asciiTheme="minorHAnsi" w:eastAsia="Calibri" w:hAnsiTheme="minorHAnsi" w:cs="Calibri"/>
          <w:sz w:val="24"/>
          <w:szCs w:val="24"/>
        </w:rPr>
        <w:t xml:space="preserve">chool districts can effectively implement appropriate transition services by </w:t>
      </w:r>
      <w:r w:rsidRPr="0077613A">
        <w:rPr>
          <w:rFonts w:asciiTheme="minorHAnsi" w:eastAsia="Calibri" w:hAnsiTheme="minorHAnsi" w:cs="Calibri"/>
          <w:b/>
          <w:sz w:val="24"/>
          <w:szCs w:val="24"/>
        </w:rPr>
        <w:t>collaborating with community entities</w:t>
      </w:r>
      <w:r w:rsidR="00254329" w:rsidRPr="001D0641">
        <w:rPr>
          <w:rFonts w:asciiTheme="minorHAnsi" w:eastAsia="Calibri" w:hAnsiTheme="minorHAnsi" w:cs="Calibri"/>
          <w:sz w:val="24"/>
          <w:szCs w:val="24"/>
        </w:rPr>
        <w:t xml:space="preserve"> such as </w:t>
      </w:r>
      <w:r w:rsidR="00254329" w:rsidRPr="00365441">
        <w:rPr>
          <w:rFonts w:asciiTheme="minorHAnsi" w:eastAsia="Calibri" w:hAnsiTheme="minorHAnsi" w:cs="Calibri"/>
          <w:sz w:val="24"/>
          <w:szCs w:val="24"/>
        </w:rPr>
        <w:t xml:space="preserve">institutions of higher education, employers, workforce investment boards, </w:t>
      </w:r>
      <w:r w:rsidR="00365441" w:rsidRPr="00365441">
        <w:rPr>
          <w:rFonts w:asciiTheme="minorHAnsi" w:eastAsia="Calibri" w:hAnsiTheme="minorHAnsi" w:cs="Calibri"/>
          <w:sz w:val="24"/>
          <w:szCs w:val="24"/>
        </w:rPr>
        <w:t xml:space="preserve">independent living centers, </w:t>
      </w:r>
      <w:r w:rsidR="00254329" w:rsidRPr="00365441">
        <w:rPr>
          <w:rFonts w:asciiTheme="minorHAnsi" w:eastAsia="Calibri" w:hAnsiTheme="minorHAnsi" w:cs="Calibri"/>
          <w:sz w:val="24"/>
          <w:szCs w:val="24"/>
        </w:rPr>
        <w:t xml:space="preserve">adult agencies, YMCAs, </w:t>
      </w:r>
      <w:r w:rsidR="00011751" w:rsidRPr="00365441">
        <w:rPr>
          <w:rFonts w:asciiTheme="minorHAnsi" w:eastAsia="Calibri" w:hAnsiTheme="minorHAnsi" w:cs="Calibri"/>
          <w:sz w:val="24"/>
          <w:szCs w:val="24"/>
        </w:rPr>
        <w:t xml:space="preserve">and </w:t>
      </w:r>
      <w:r w:rsidR="00254329" w:rsidRPr="00365441">
        <w:rPr>
          <w:rFonts w:asciiTheme="minorHAnsi" w:eastAsia="Calibri" w:hAnsiTheme="minorHAnsi" w:cs="Calibri"/>
          <w:sz w:val="24"/>
          <w:szCs w:val="24"/>
        </w:rPr>
        <w:t>adult education programs</w:t>
      </w:r>
      <w:r w:rsidR="00011751" w:rsidRPr="00365441">
        <w:rPr>
          <w:rFonts w:asciiTheme="minorHAnsi" w:eastAsia="Calibri" w:hAnsiTheme="minorHAnsi" w:cs="Calibri"/>
          <w:sz w:val="24"/>
          <w:szCs w:val="24"/>
        </w:rPr>
        <w:t xml:space="preserve">. </w:t>
      </w:r>
      <w:r w:rsidR="0005120B" w:rsidRPr="00365441">
        <w:rPr>
          <w:rFonts w:asciiTheme="minorHAnsi" w:eastAsia="Calibri" w:hAnsiTheme="minorHAnsi" w:cs="Calibri"/>
          <w:sz w:val="24"/>
          <w:szCs w:val="24"/>
        </w:rPr>
        <w:t>Many districts already have</w:t>
      </w:r>
      <w:r w:rsidR="0005120B">
        <w:rPr>
          <w:rFonts w:asciiTheme="minorHAnsi" w:eastAsia="Calibri" w:hAnsiTheme="minorHAnsi" w:cs="Calibri"/>
          <w:sz w:val="24"/>
          <w:szCs w:val="24"/>
        </w:rPr>
        <w:t xml:space="preserve"> connections to local career one-stops and businesses through work-and-learning programs for all students; special educators can improve transition services by </w:t>
      </w:r>
      <w:r w:rsidR="00117459">
        <w:rPr>
          <w:rFonts w:asciiTheme="minorHAnsi" w:eastAsia="Calibri" w:hAnsiTheme="minorHAnsi" w:cs="Calibri"/>
          <w:sz w:val="24"/>
          <w:szCs w:val="24"/>
        </w:rPr>
        <w:t>partnering with</w:t>
      </w:r>
      <w:r w:rsidR="0005120B">
        <w:rPr>
          <w:rFonts w:asciiTheme="minorHAnsi" w:eastAsia="Calibri" w:hAnsiTheme="minorHAnsi" w:cs="Calibri"/>
          <w:sz w:val="24"/>
          <w:szCs w:val="24"/>
        </w:rPr>
        <w:t xml:space="preserve"> these systems. </w:t>
      </w:r>
      <w:r w:rsidR="00595613">
        <w:rPr>
          <w:rFonts w:asciiTheme="minorHAnsi" w:eastAsia="Calibri" w:hAnsiTheme="minorHAnsi" w:cs="Calibri"/>
          <w:sz w:val="24"/>
          <w:szCs w:val="24"/>
        </w:rPr>
        <w:t xml:space="preserve">The </w:t>
      </w:r>
      <w:r w:rsidR="00490F72">
        <w:rPr>
          <w:rFonts w:asciiTheme="minorHAnsi" w:eastAsia="Calibri" w:hAnsiTheme="minorHAnsi" w:cs="Calibri"/>
          <w:sz w:val="24"/>
          <w:szCs w:val="24"/>
        </w:rPr>
        <w:t xml:space="preserve">2014 </w:t>
      </w:r>
      <w:r w:rsidR="00595613">
        <w:rPr>
          <w:rFonts w:asciiTheme="minorHAnsi" w:eastAsia="Calibri" w:hAnsiTheme="minorHAnsi" w:cs="Calibri"/>
          <w:sz w:val="24"/>
          <w:szCs w:val="24"/>
        </w:rPr>
        <w:t>federal Workforce Innovation and Opportunity Act (WIOA)</w:t>
      </w:r>
      <w:r w:rsidR="003C7F11">
        <w:rPr>
          <w:rStyle w:val="EndnoteReference"/>
          <w:rFonts w:asciiTheme="minorHAnsi" w:eastAsia="Calibri" w:hAnsiTheme="minorHAnsi" w:cs="Calibri"/>
          <w:sz w:val="24"/>
          <w:szCs w:val="24"/>
        </w:rPr>
        <w:endnoteReference w:id="13"/>
      </w:r>
      <w:r w:rsidR="00490F72">
        <w:rPr>
          <w:rFonts w:asciiTheme="minorHAnsi" w:eastAsia="Calibri" w:hAnsiTheme="minorHAnsi" w:cs="Calibri"/>
          <w:sz w:val="24"/>
          <w:szCs w:val="24"/>
        </w:rPr>
        <w:t xml:space="preserve"> </w:t>
      </w:r>
      <w:proofErr w:type="gramStart"/>
      <w:r w:rsidR="00490F72">
        <w:rPr>
          <w:rFonts w:asciiTheme="minorHAnsi" w:eastAsia="Calibri" w:hAnsiTheme="minorHAnsi" w:cs="Calibri"/>
          <w:sz w:val="24"/>
          <w:szCs w:val="24"/>
        </w:rPr>
        <w:t>encourages</w:t>
      </w:r>
      <w:proofErr w:type="gramEnd"/>
      <w:r w:rsidR="00490F72">
        <w:rPr>
          <w:rFonts w:asciiTheme="minorHAnsi" w:eastAsia="Calibri" w:hAnsiTheme="minorHAnsi" w:cs="Calibri"/>
          <w:sz w:val="24"/>
          <w:szCs w:val="24"/>
        </w:rPr>
        <w:t xml:space="preserve"> a </w:t>
      </w:r>
      <w:r w:rsidR="0005120B">
        <w:rPr>
          <w:rFonts w:asciiTheme="minorHAnsi" w:eastAsia="Calibri" w:hAnsiTheme="minorHAnsi" w:cs="Calibri"/>
          <w:sz w:val="24"/>
          <w:szCs w:val="24"/>
        </w:rPr>
        <w:t>f</w:t>
      </w:r>
      <w:r w:rsidR="00490F72">
        <w:rPr>
          <w:rFonts w:asciiTheme="minorHAnsi" w:eastAsia="Calibri" w:hAnsiTheme="minorHAnsi" w:cs="Calibri"/>
          <w:sz w:val="24"/>
          <w:szCs w:val="24"/>
        </w:rPr>
        <w:t xml:space="preserve">ully integrated workforce system with services to in-school youth with </w:t>
      </w:r>
      <w:r w:rsidR="005879B2">
        <w:rPr>
          <w:rFonts w:asciiTheme="minorHAnsi" w:eastAsia="Calibri" w:hAnsiTheme="minorHAnsi" w:cs="Calibri"/>
          <w:sz w:val="24"/>
          <w:szCs w:val="24"/>
        </w:rPr>
        <w:t xml:space="preserve">the full range of </w:t>
      </w:r>
      <w:r w:rsidR="00490F72">
        <w:rPr>
          <w:rFonts w:asciiTheme="minorHAnsi" w:eastAsia="Calibri" w:hAnsiTheme="minorHAnsi" w:cs="Calibri"/>
          <w:sz w:val="24"/>
          <w:szCs w:val="24"/>
        </w:rPr>
        <w:t>disabilities</w:t>
      </w:r>
      <w:r w:rsidR="003C7F11">
        <w:rPr>
          <w:rFonts w:asciiTheme="minorHAnsi" w:eastAsia="Calibri" w:hAnsiTheme="minorHAnsi" w:cs="Calibri"/>
          <w:sz w:val="24"/>
          <w:szCs w:val="24"/>
        </w:rPr>
        <w:t>, including</w:t>
      </w:r>
      <w:r w:rsidR="00BA275F">
        <w:rPr>
          <w:rFonts w:asciiTheme="minorHAnsi" w:eastAsia="Calibri" w:hAnsiTheme="minorHAnsi" w:cs="Calibri"/>
          <w:sz w:val="24"/>
          <w:szCs w:val="24"/>
        </w:rPr>
        <w:t xml:space="preserve"> </w:t>
      </w:r>
      <w:r w:rsidR="004108D3">
        <w:rPr>
          <w:rFonts w:asciiTheme="minorHAnsi" w:eastAsia="Calibri" w:hAnsiTheme="minorHAnsi" w:cs="Calibri"/>
          <w:sz w:val="24"/>
          <w:szCs w:val="24"/>
        </w:rPr>
        <w:t>closer</w:t>
      </w:r>
      <w:r w:rsidR="00BA275F">
        <w:rPr>
          <w:rFonts w:asciiTheme="minorHAnsi" w:eastAsia="Calibri" w:hAnsiTheme="minorHAnsi" w:cs="Calibri"/>
          <w:sz w:val="24"/>
          <w:szCs w:val="24"/>
        </w:rPr>
        <w:t xml:space="preserve"> </w:t>
      </w:r>
      <w:r w:rsidR="0005120B">
        <w:rPr>
          <w:rFonts w:asciiTheme="minorHAnsi" w:eastAsia="Calibri" w:hAnsiTheme="minorHAnsi" w:cs="Calibri"/>
          <w:sz w:val="24"/>
          <w:szCs w:val="24"/>
        </w:rPr>
        <w:t>relationships</w:t>
      </w:r>
      <w:r w:rsidR="00BA275F">
        <w:rPr>
          <w:rFonts w:asciiTheme="minorHAnsi" w:eastAsia="Calibri" w:hAnsiTheme="minorHAnsi" w:cs="Calibri"/>
          <w:sz w:val="24"/>
          <w:szCs w:val="24"/>
        </w:rPr>
        <w:t xml:space="preserve"> </w:t>
      </w:r>
      <w:r w:rsidR="00BA275F" w:rsidRPr="00365441">
        <w:rPr>
          <w:rFonts w:asciiTheme="minorHAnsi" w:eastAsia="Calibri" w:hAnsiTheme="minorHAnsi" w:cs="Calibri"/>
          <w:sz w:val="24"/>
          <w:szCs w:val="24"/>
        </w:rPr>
        <w:t xml:space="preserve">between </w:t>
      </w:r>
      <w:r w:rsidRPr="0077613A">
        <w:rPr>
          <w:rFonts w:asciiTheme="minorHAnsi" w:eastAsia="Calibri" w:hAnsiTheme="minorHAnsi" w:cs="Calibri"/>
          <w:b/>
          <w:sz w:val="24"/>
          <w:szCs w:val="24"/>
        </w:rPr>
        <w:t>vocational rehabilitation agencies and schools</w:t>
      </w:r>
      <w:r w:rsidR="00BA275F" w:rsidRPr="0072287D">
        <w:rPr>
          <w:rFonts w:asciiTheme="minorHAnsi" w:eastAsia="Calibri" w:hAnsiTheme="minorHAnsi" w:cs="Calibri"/>
          <w:sz w:val="24"/>
          <w:szCs w:val="24"/>
        </w:rPr>
        <w:t>.</w:t>
      </w:r>
      <w:r w:rsidR="003C7F11" w:rsidRPr="0072287D">
        <w:rPr>
          <w:rFonts w:asciiTheme="minorHAnsi" w:eastAsia="Calibri" w:hAnsiTheme="minorHAnsi" w:cs="Calibri"/>
          <w:sz w:val="24"/>
          <w:szCs w:val="24"/>
        </w:rPr>
        <w:t xml:space="preserve"> </w:t>
      </w:r>
      <w:r w:rsidR="000F5991" w:rsidRPr="0072287D">
        <w:rPr>
          <w:rFonts w:asciiTheme="minorHAnsi" w:eastAsia="Calibri" w:hAnsiTheme="minorHAnsi" w:cs="Calibri"/>
          <w:sz w:val="24"/>
          <w:szCs w:val="24"/>
        </w:rPr>
        <w:t>As part of this initiative, d</w:t>
      </w:r>
      <w:r w:rsidR="00BA275F" w:rsidRPr="0072287D">
        <w:rPr>
          <w:rFonts w:asciiTheme="minorHAnsi" w:eastAsia="Calibri" w:hAnsiTheme="minorHAnsi" w:cs="Calibri"/>
          <w:sz w:val="24"/>
          <w:szCs w:val="24"/>
        </w:rPr>
        <w:t xml:space="preserve">istricts are urged to </w:t>
      </w:r>
      <w:r w:rsidR="006D0D2C" w:rsidRPr="0072287D">
        <w:rPr>
          <w:rFonts w:asciiTheme="minorHAnsi" w:eastAsia="Calibri" w:hAnsiTheme="minorHAnsi" w:cs="Calibri"/>
          <w:sz w:val="24"/>
          <w:szCs w:val="24"/>
        </w:rPr>
        <w:t>strengthen partnerships with</w:t>
      </w:r>
      <w:r w:rsidR="00BA275F" w:rsidRPr="0072287D">
        <w:rPr>
          <w:rFonts w:asciiTheme="minorHAnsi" w:eastAsia="Calibri" w:hAnsiTheme="minorHAnsi" w:cs="Calibri"/>
          <w:sz w:val="24"/>
          <w:szCs w:val="24"/>
        </w:rPr>
        <w:t xml:space="preserve"> the Massachusetts Commission for the Blind (MCB)</w:t>
      </w:r>
      <w:r w:rsidR="002A21BE" w:rsidRPr="002A21BE">
        <w:rPr>
          <w:rFonts w:asciiTheme="minorHAnsi" w:eastAsia="Calibri" w:hAnsiTheme="minorHAnsi" w:cs="Calibri"/>
          <w:sz w:val="24"/>
          <w:szCs w:val="24"/>
        </w:rPr>
        <w:t xml:space="preserve"> </w:t>
      </w:r>
      <w:r w:rsidR="002A21BE">
        <w:rPr>
          <w:rFonts w:asciiTheme="minorHAnsi" w:eastAsia="Calibri" w:hAnsiTheme="minorHAnsi" w:cs="Calibri"/>
          <w:sz w:val="24"/>
          <w:szCs w:val="24"/>
        </w:rPr>
        <w:t xml:space="preserve">and the </w:t>
      </w:r>
      <w:r w:rsidR="002A21BE" w:rsidRPr="0072287D">
        <w:rPr>
          <w:rFonts w:asciiTheme="minorHAnsi" w:eastAsia="Calibri" w:hAnsiTheme="minorHAnsi" w:cs="Calibri"/>
          <w:sz w:val="24"/>
          <w:szCs w:val="24"/>
        </w:rPr>
        <w:t>Massachusetts Rehabilitation Commission (MRC</w:t>
      </w:r>
      <w:r w:rsidR="00A17AC8" w:rsidRPr="0072287D">
        <w:rPr>
          <w:rFonts w:asciiTheme="minorHAnsi" w:eastAsia="Calibri" w:hAnsiTheme="minorHAnsi" w:cs="Calibri"/>
          <w:sz w:val="24"/>
          <w:szCs w:val="24"/>
        </w:rPr>
        <w:t>)</w:t>
      </w:r>
      <w:r w:rsidR="00A17AC8">
        <w:rPr>
          <w:rFonts w:asciiTheme="minorHAnsi" w:eastAsia="Calibri" w:hAnsiTheme="minorHAnsi" w:cs="Calibri"/>
          <w:sz w:val="24"/>
          <w:szCs w:val="24"/>
        </w:rPr>
        <w:t xml:space="preserve">; both of these agencies </w:t>
      </w:r>
      <w:r w:rsidR="002A21BE">
        <w:rPr>
          <w:rFonts w:asciiTheme="minorHAnsi" w:eastAsia="Calibri" w:hAnsiTheme="minorHAnsi" w:cs="Calibri"/>
          <w:sz w:val="24"/>
          <w:szCs w:val="24"/>
        </w:rPr>
        <w:t xml:space="preserve">can provide services such as job exploration counseling, workplace readiness training, work-based learning experiences, self-advocacy training, and </w:t>
      </w:r>
      <w:r w:rsidR="005879B2">
        <w:rPr>
          <w:rFonts w:asciiTheme="minorHAnsi" w:eastAsia="Calibri" w:hAnsiTheme="minorHAnsi" w:cs="Calibri"/>
          <w:sz w:val="24"/>
          <w:szCs w:val="24"/>
        </w:rPr>
        <w:t xml:space="preserve">support </w:t>
      </w:r>
      <w:r w:rsidR="00A473EC">
        <w:rPr>
          <w:rFonts w:asciiTheme="minorHAnsi" w:eastAsia="Calibri" w:hAnsiTheme="minorHAnsi" w:cs="Calibri"/>
          <w:sz w:val="24"/>
          <w:szCs w:val="24"/>
        </w:rPr>
        <w:t>for</w:t>
      </w:r>
      <w:r w:rsidR="002A21BE">
        <w:rPr>
          <w:rFonts w:asciiTheme="minorHAnsi" w:eastAsia="Calibri" w:hAnsiTheme="minorHAnsi" w:cs="Calibri"/>
          <w:sz w:val="24"/>
          <w:szCs w:val="24"/>
        </w:rPr>
        <w:t xml:space="preserve"> enrollment in postsecondary education programs.</w:t>
      </w:r>
      <w:r w:rsidR="006D0D2C" w:rsidRPr="0072287D">
        <w:rPr>
          <w:rFonts w:asciiTheme="minorHAnsi" w:eastAsia="Calibri" w:hAnsiTheme="minorHAnsi" w:cs="Calibri"/>
          <w:sz w:val="24"/>
          <w:szCs w:val="24"/>
        </w:rPr>
        <w:t xml:space="preserve"> </w:t>
      </w:r>
      <w:r w:rsidR="002D68DC" w:rsidRPr="0072287D">
        <w:rPr>
          <w:rFonts w:asciiTheme="minorHAnsi" w:eastAsia="Calibri" w:hAnsiTheme="minorHAnsi" w:cs="Calibri"/>
          <w:sz w:val="24"/>
          <w:szCs w:val="24"/>
        </w:rPr>
        <w:t xml:space="preserve">School districts can also explore </w:t>
      </w:r>
      <w:r w:rsidR="00561375" w:rsidRPr="0072287D">
        <w:rPr>
          <w:rFonts w:asciiTheme="minorHAnsi" w:eastAsia="Calibri" w:hAnsiTheme="minorHAnsi" w:cs="Calibri"/>
          <w:sz w:val="24"/>
          <w:szCs w:val="24"/>
        </w:rPr>
        <w:t xml:space="preserve">innovative </w:t>
      </w:r>
      <w:r w:rsidR="002D68DC" w:rsidRPr="0072287D">
        <w:rPr>
          <w:rFonts w:asciiTheme="minorHAnsi" w:eastAsia="Calibri" w:hAnsiTheme="minorHAnsi" w:cs="Calibri"/>
          <w:sz w:val="24"/>
          <w:szCs w:val="24"/>
        </w:rPr>
        <w:t xml:space="preserve">partnerships with </w:t>
      </w:r>
      <w:r w:rsidRPr="0077613A">
        <w:rPr>
          <w:rFonts w:asciiTheme="minorHAnsi" w:eastAsia="Calibri" w:hAnsiTheme="minorHAnsi" w:cs="Calibri"/>
          <w:b/>
          <w:sz w:val="24"/>
          <w:szCs w:val="24"/>
        </w:rPr>
        <w:t xml:space="preserve">special education </w:t>
      </w:r>
      <w:proofErr w:type="spellStart"/>
      <w:r w:rsidRPr="0077613A">
        <w:rPr>
          <w:rFonts w:asciiTheme="minorHAnsi" w:eastAsia="Calibri" w:hAnsiTheme="minorHAnsi" w:cs="Calibri"/>
          <w:b/>
          <w:sz w:val="24"/>
          <w:szCs w:val="24"/>
        </w:rPr>
        <w:t>collaboratives</w:t>
      </w:r>
      <w:proofErr w:type="spellEnd"/>
      <w:r w:rsidR="002D68DC" w:rsidRPr="0072287D">
        <w:rPr>
          <w:rFonts w:asciiTheme="minorHAnsi" w:eastAsia="Calibri" w:hAnsiTheme="minorHAnsi" w:cs="Calibri"/>
          <w:sz w:val="24"/>
          <w:szCs w:val="24"/>
        </w:rPr>
        <w:t>, which</w:t>
      </w:r>
      <w:r w:rsidR="002D68DC">
        <w:rPr>
          <w:rFonts w:asciiTheme="minorHAnsi" w:eastAsia="Calibri" w:hAnsiTheme="minorHAnsi" w:cs="Calibri"/>
          <w:sz w:val="24"/>
          <w:szCs w:val="24"/>
        </w:rPr>
        <w:t xml:space="preserve"> can offer resour</w:t>
      </w:r>
      <w:r w:rsidR="004108D3">
        <w:rPr>
          <w:rFonts w:asciiTheme="minorHAnsi" w:eastAsia="Calibri" w:hAnsiTheme="minorHAnsi" w:cs="Calibri"/>
          <w:sz w:val="24"/>
          <w:szCs w:val="24"/>
        </w:rPr>
        <w:t xml:space="preserve">ces such as </w:t>
      </w:r>
      <w:r w:rsidR="0072287D">
        <w:rPr>
          <w:rFonts w:asciiTheme="minorHAnsi" w:eastAsia="Calibri" w:hAnsiTheme="minorHAnsi" w:cs="Calibri"/>
          <w:sz w:val="24"/>
          <w:szCs w:val="24"/>
        </w:rPr>
        <w:t>professional development</w:t>
      </w:r>
      <w:r w:rsidR="004108D3">
        <w:rPr>
          <w:rFonts w:asciiTheme="minorHAnsi" w:eastAsia="Calibri" w:hAnsiTheme="minorHAnsi" w:cs="Calibri"/>
          <w:sz w:val="24"/>
          <w:szCs w:val="24"/>
        </w:rPr>
        <w:t xml:space="preserve"> and staffing</w:t>
      </w:r>
      <w:r w:rsidR="0072287D">
        <w:rPr>
          <w:rFonts w:asciiTheme="minorHAnsi" w:eastAsia="Calibri" w:hAnsiTheme="minorHAnsi" w:cs="Calibri"/>
          <w:sz w:val="24"/>
          <w:szCs w:val="24"/>
        </w:rPr>
        <w:t xml:space="preserve"> (e.g., transition specialists or job coaches)</w:t>
      </w:r>
      <w:r w:rsidR="002D68DC">
        <w:rPr>
          <w:rFonts w:asciiTheme="minorHAnsi" w:eastAsia="Calibri" w:hAnsiTheme="minorHAnsi" w:cs="Calibri"/>
          <w:sz w:val="24"/>
          <w:szCs w:val="24"/>
        </w:rPr>
        <w:t xml:space="preserve">. </w:t>
      </w:r>
      <w:r w:rsidR="00011751">
        <w:rPr>
          <w:rFonts w:asciiTheme="minorHAnsi" w:eastAsia="Calibri" w:hAnsiTheme="minorHAnsi" w:cs="Calibri"/>
          <w:sz w:val="24"/>
          <w:szCs w:val="24"/>
        </w:rPr>
        <w:t>In this way,</w:t>
      </w:r>
      <w:r w:rsidR="00254329" w:rsidRPr="001D0641">
        <w:rPr>
          <w:rFonts w:asciiTheme="minorHAnsi" w:eastAsia="Calibri" w:hAnsiTheme="minorHAnsi" w:cs="Calibri"/>
          <w:sz w:val="24"/>
          <w:szCs w:val="24"/>
        </w:rPr>
        <w:t xml:space="preserve"> </w:t>
      </w:r>
      <w:r w:rsidR="00011751">
        <w:rPr>
          <w:rFonts w:asciiTheme="minorHAnsi" w:eastAsia="Calibri" w:hAnsiTheme="minorHAnsi" w:cs="Calibri"/>
          <w:sz w:val="24"/>
          <w:szCs w:val="24"/>
        </w:rPr>
        <w:t>school districts are able to</w:t>
      </w:r>
      <w:r w:rsidR="00561375">
        <w:rPr>
          <w:rFonts w:asciiTheme="minorHAnsi" w:eastAsia="Calibri" w:hAnsiTheme="minorHAnsi" w:cs="Calibri"/>
          <w:sz w:val="24"/>
          <w:szCs w:val="24"/>
        </w:rPr>
        <w:t xml:space="preserve"> expand services beyond </w:t>
      </w:r>
      <w:r w:rsidR="009B1335">
        <w:rPr>
          <w:rFonts w:asciiTheme="minorHAnsi" w:eastAsia="Calibri" w:hAnsiTheme="minorHAnsi" w:cs="Calibri"/>
          <w:sz w:val="24"/>
          <w:szCs w:val="24"/>
        </w:rPr>
        <w:t>those available within</w:t>
      </w:r>
      <w:r w:rsidR="00254329" w:rsidRPr="001D0641">
        <w:rPr>
          <w:rFonts w:asciiTheme="minorHAnsi" w:eastAsia="Calibri" w:hAnsiTheme="minorHAnsi" w:cs="Calibri"/>
          <w:sz w:val="24"/>
          <w:szCs w:val="24"/>
        </w:rPr>
        <w:t xml:space="preserve"> </w:t>
      </w:r>
      <w:r w:rsidR="00DA6EAF">
        <w:rPr>
          <w:rFonts w:asciiTheme="minorHAnsi" w:eastAsia="Calibri" w:hAnsiTheme="minorHAnsi" w:cs="Calibri"/>
          <w:sz w:val="24"/>
          <w:szCs w:val="24"/>
        </w:rPr>
        <w:t>the high school</w:t>
      </w:r>
      <w:r w:rsidR="006B15C4">
        <w:rPr>
          <w:rFonts w:asciiTheme="minorHAnsi" w:eastAsia="Calibri" w:hAnsiTheme="minorHAnsi" w:cs="Calibri"/>
          <w:sz w:val="24"/>
          <w:szCs w:val="24"/>
        </w:rPr>
        <w:t xml:space="preserve"> walls.</w:t>
      </w:r>
    </w:p>
    <w:p w:rsidR="00254329" w:rsidRPr="001D0641" w:rsidRDefault="0077613A" w:rsidP="00254329">
      <w:pPr>
        <w:spacing w:before="120" w:after="120"/>
        <w:rPr>
          <w:rFonts w:asciiTheme="minorHAnsi" w:hAnsiTheme="minorHAnsi"/>
          <w:sz w:val="24"/>
          <w:szCs w:val="24"/>
        </w:rPr>
      </w:pPr>
      <w:r w:rsidRPr="0077613A">
        <w:rPr>
          <w:rFonts w:asciiTheme="minorHAnsi" w:eastAsia="Calibri" w:hAnsiTheme="minorHAnsi" w:cs="Calibri"/>
          <w:b/>
          <w:sz w:val="24"/>
          <w:szCs w:val="24"/>
        </w:rPr>
        <w:t>Institutions of higher education</w:t>
      </w:r>
      <w:r w:rsidR="00254329" w:rsidRPr="001D0641">
        <w:rPr>
          <w:rFonts w:asciiTheme="minorHAnsi" w:eastAsia="Calibri" w:hAnsiTheme="minorHAnsi" w:cs="Calibri"/>
          <w:sz w:val="24"/>
          <w:szCs w:val="24"/>
        </w:rPr>
        <w:t xml:space="preserve"> can </w:t>
      </w:r>
      <w:r w:rsidR="009F4406">
        <w:rPr>
          <w:rFonts w:asciiTheme="minorHAnsi" w:eastAsia="Calibri" w:hAnsiTheme="minorHAnsi" w:cs="Calibri"/>
          <w:sz w:val="24"/>
          <w:szCs w:val="24"/>
        </w:rPr>
        <w:t xml:space="preserve">also </w:t>
      </w:r>
      <w:r w:rsidR="00254329" w:rsidRPr="001D0641">
        <w:rPr>
          <w:rFonts w:asciiTheme="minorHAnsi" w:eastAsia="Calibri" w:hAnsiTheme="minorHAnsi" w:cs="Calibri"/>
          <w:sz w:val="24"/>
          <w:szCs w:val="24"/>
        </w:rPr>
        <w:t>provide important community learning opportunities</w:t>
      </w:r>
      <w:r w:rsidR="00894990">
        <w:rPr>
          <w:rFonts w:asciiTheme="minorHAnsi" w:eastAsia="Calibri" w:hAnsiTheme="minorHAnsi" w:cs="Calibri"/>
          <w:sz w:val="24"/>
          <w:szCs w:val="24"/>
        </w:rPr>
        <w:t>.</w:t>
      </w:r>
      <w:r w:rsidR="007E52C1">
        <w:rPr>
          <w:rFonts w:asciiTheme="minorHAnsi" w:eastAsia="Calibri" w:hAnsiTheme="minorHAnsi" w:cs="Calibri"/>
          <w:sz w:val="24"/>
          <w:szCs w:val="24"/>
        </w:rPr>
        <w:t xml:space="preserve"> The landscape of Early College options for all students, including those with disabilities, is rich </w:t>
      </w:r>
      <w:r w:rsidR="007E52C1">
        <w:rPr>
          <w:rFonts w:asciiTheme="minorHAnsi" w:eastAsia="Calibri" w:hAnsiTheme="minorHAnsi" w:cs="Calibri"/>
          <w:sz w:val="24"/>
          <w:szCs w:val="24"/>
        </w:rPr>
        <w:lastRenderedPageBreak/>
        <w:t>and varied. Innovative programming</w:t>
      </w:r>
      <w:r w:rsidR="002965CD">
        <w:rPr>
          <w:rFonts w:asciiTheme="minorHAnsi" w:eastAsia="Calibri" w:hAnsiTheme="minorHAnsi" w:cs="Calibri"/>
          <w:sz w:val="24"/>
          <w:szCs w:val="24"/>
        </w:rPr>
        <w:t xml:space="preserve"> flourishes</w:t>
      </w:r>
      <w:r w:rsidR="007E52C1">
        <w:rPr>
          <w:rFonts w:asciiTheme="minorHAnsi" w:eastAsia="Calibri" w:hAnsiTheme="minorHAnsi" w:cs="Calibri"/>
          <w:sz w:val="24"/>
          <w:szCs w:val="24"/>
        </w:rPr>
        <w:t xml:space="preserve"> across the state, </w:t>
      </w:r>
      <w:r w:rsidR="00EF453B">
        <w:rPr>
          <w:rFonts w:asciiTheme="minorHAnsi" w:eastAsia="Calibri" w:hAnsiTheme="minorHAnsi" w:cs="Calibri"/>
          <w:sz w:val="24"/>
          <w:szCs w:val="24"/>
        </w:rPr>
        <w:t xml:space="preserve">from </w:t>
      </w:r>
      <w:r w:rsidR="00B272E1">
        <w:rPr>
          <w:rFonts w:asciiTheme="minorHAnsi" w:eastAsia="Calibri" w:hAnsiTheme="minorHAnsi" w:cs="Calibri"/>
          <w:sz w:val="24"/>
          <w:szCs w:val="24"/>
        </w:rPr>
        <w:t xml:space="preserve">unique partnerships </w:t>
      </w:r>
      <w:r w:rsidR="007E52C1">
        <w:rPr>
          <w:rFonts w:asciiTheme="minorHAnsi" w:eastAsia="Calibri" w:hAnsiTheme="minorHAnsi" w:cs="Calibri"/>
          <w:sz w:val="24"/>
          <w:szCs w:val="24"/>
        </w:rPr>
        <w:t>between one high school and one college</w:t>
      </w:r>
      <w:r w:rsidR="00FF1DDE">
        <w:rPr>
          <w:rFonts w:asciiTheme="minorHAnsi" w:eastAsia="Calibri" w:hAnsiTheme="minorHAnsi" w:cs="Calibri"/>
          <w:sz w:val="24"/>
          <w:szCs w:val="24"/>
        </w:rPr>
        <w:t>,</w:t>
      </w:r>
      <w:r w:rsidR="007E52C1">
        <w:rPr>
          <w:rFonts w:asciiTheme="minorHAnsi" w:eastAsia="Calibri" w:hAnsiTheme="minorHAnsi" w:cs="Calibri"/>
          <w:sz w:val="24"/>
          <w:szCs w:val="24"/>
        </w:rPr>
        <w:t xml:space="preserve"> </w:t>
      </w:r>
      <w:r w:rsidR="00EF453B">
        <w:rPr>
          <w:rFonts w:asciiTheme="minorHAnsi" w:eastAsia="Calibri" w:hAnsiTheme="minorHAnsi" w:cs="Calibri"/>
          <w:sz w:val="24"/>
          <w:szCs w:val="24"/>
        </w:rPr>
        <w:t xml:space="preserve">to </w:t>
      </w:r>
      <w:r w:rsidR="00B272E1">
        <w:rPr>
          <w:rFonts w:asciiTheme="minorHAnsi" w:eastAsia="Calibri" w:hAnsiTheme="minorHAnsi" w:cs="Calibri"/>
          <w:sz w:val="24"/>
          <w:szCs w:val="24"/>
        </w:rPr>
        <w:t>statewide systems</w:t>
      </w:r>
      <w:r w:rsidR="007E52C1">
        <w:rPr>
          <w:rFonts w:asciiTheme="minorHAnsi" w:eastAsia="Calibri" w:hAnsiTheme="minorHAnsi" w:cs="Calibri"/>
          <w:sz w:val="24"/>
          <w:szCs w:val="24"/>
        </w:rPr>
        <w:t xml:space="preserve"> such as the Commonwealth Dual Enrollment Partnership</w:t>
      </w:r>
      <w:r w:rsidR="007E52C1">
        <w:rPr>
          <w:rStyle w:val="EndnoteReference"/>
          <w:rFonts w:asciiTheme="minorHAnsi" w:eastAsia="Calibri" w:hAnsiTheme="minorHAnsi" w:cs="Calibri"/>
          <w:sz w:val="24"/>
          <w:szCs w:val="24"/>
        </w:rPr>
        <w:endnoteReference w:id="14"/>
      </w:r>
      <w:r w:rsidR="00D13A90">
        <w:rPr>
          <w:rFonts w:asciiTheme="minorHAnsi" w:eastAsia="Calibri" w:hAnsiTheme="minorHAnsi" w:cs="Calibri"/>
          <w:sz w:val="24"/>
          <w:szCs w:val="24"/>
        </w:rPr>
        <w:t xml:space="preserve">, </w:t>
      </w:r>
      <w:r w:rsidR="002965CD">
        <w:rPr>
          <w:rFonts w:asciiTheme="minorHAnsi" w:eastAsia="Calibri" w:hAnsiTheme="minorHAnsi" w:cs="Calibri"/>
          <w:sz w:val="24"/>
          <w:szCs w:val="24"/>
        </w:rPr>
        <w:t>Gateway to College</w:t>
      </w:r>
      <w:r w:rsidR="000A7233">
        <w:rPr>
          <w:rStyle w:val="EndnoteReference"/>
          <w:rFonts w:asciiTheme="minorHAnsi" w:eastAsia="Calibri" w:hAnsiTheme="minorHAnsi" w:cs="Calibri"/>
          <w:sz w:val="24"/>
          <w:szCs w:val="24"/>
        </w:rPr>
        <w:endnoteReference w:id="15"/>
      </w:r>
      <w:r w:rsidR="00D13A90">
        <w:rPr>
          <w:rFonts w:asciiTheme="minorHAnsi" w:eastAsia="Calibri" w:hAnsiTheme="minorHAnsi" w:cs="Calibri"/>
          <w:sz w:val="24"/>
          <w:szCs w:val="24"/>
        </w:rPr>
        <w:t xml:space="preserve">, or the </w:t>
      </w:r>
      <w:r w:rsidR="00DA6EAF" w:rsidRPr="00894990">
        <w:rPr>
          <w:rFonts w:asciiTheme="minorHAnsi" w:eastAsia="Calibri" w:hAnsiTheme="minorHAnsi" w:cs="Calibri"/>
          <w:sz w:val="24"/>
          <w:szCs w:val="24"/>
        </w:rPr>
        <w:t>Inclusive Concurrent Enrollment Initiative (ICEI)</w:t>
      </w:r>
      <w:r w:rsidR="00D13A90">
        <w:rPr>
          <w:rStyle w:val="EndnoteReference"/>
          <w:rFonts w:asciiTheme="minorHAnsi" w:eastAsia="Calibri" w:hAnsiTheme="minorHAnsi" w:cs="Calibri"/>
          <w:sz w:val="24"/>
          <w:szCs w:val="24"/>
        </w:rPr>
        <w:endnoteReference w:id="16"/>
      </w:r>
      <w:r w:rsidR="007D0980">
        <w:rPr>
          <w:rFonts w:asciiTheme="minorHAnsi" w:eastAsia="Calibri" w:hAnsiTheme="minorHAnsi" w:cs="Calibri"/>
          <w:sz w:val="24"/>
          <w:szCs w:val="24"/>
        </w:rPr>
        <w:t>.</w:t>
      </w:r>
      <w:r w:rsidR="00DA6EAF" w:rsidRPr="00894990">
        <w:rPr>
          <w:rFonts w:asciiTheme="minorHAnsi" w:eastAsia="Calibri" w:hAnsiTheme="minorHAnsi" w:cs="Calibri"/>
          <w:sz w:val="24"/>
          <w:szCs w:val="24"/>
        </w:rPr>
        <w:t xml:space="preserve"> </w:t>
      </w:r>
      <w:r w:rsidR="00254329" w:rsidRPr="00894990">
        <w:rPr>
          <w:rFonts w:asciiTheme="minorHAnsi" w:eastAsia="Calibri" w:hAnsiTheme="minorHAnsi" w:cs="Calibri"/>
          <w:sz w:val="24"/>
          <w:szCs w:val="24"/>
        </w:rPr>
        <w:t xml:space="preserve">In order for </w:t>
      </w:r>
      <w:r w:rsidR="00132F09">
        <w:rPr>
          <w:rFonts w:asciiTheme="minorHAnsi" w:eastAsia="Calibri" w:hAnsiTheme="minorHAnsi" w:cs="Calibri"/>
          <w:sz w:val="24"/>
          <w:szCs w:val="24"/>
        </w:rPr>
        <w:t>opportunities like these</w:t>
      </w:r>
      <w:r w:rsidR="00DA6EAF" w:rsidRPr="00894990">
        <w:rPr>
          <w:rFonts w:asciiTheme="minorHAnsi" w:eastAsia="Calibri" w:hAnsiTheme="minorHAnsi" w:cs="Calibri"/>
          <w:sz w:val="24"/>
          <w:szCs w:val="24"/>
        </w:rPr>
        <w:t xml:space="preserve"> to be provided, </w:t>
      </w:r>
      <w:r w:rsidR="00254329" w:rsidRPr="00894990">
        <w:rPr>
          <w:rFonts w:asciiTheme="minorHAnsi" w:eastAsia="Calibri" w:hAnsiTheme="minorHAnsi" w:cs="Calibri"/>
          <w:sz w:val="24"/>
          <w:szCs w:val="24"/>
        </w:rPr>
        <w:t xml:space="preserve">school districts </w:t>
      </w:r>
      <w:r w:rsidR="007D0980">
        <w:rPr>
          <w:rFonts w:asciiTheme="minorHAnsi" w:eastAsia="Calibri" w:hAnsiTheme="minorHAnsi" w:cs="Calibri"/>
          <w:sz w:val="24"/>
          <w:szCs w:val="24"/>
        </w:rPr>
        <w:t>can</w:t>
      </w:r>
      <w:r w:rsidR="00254329" w:rsidRPr="00894990">
        <w:rPr>
          <w:rFonts w:asciiTheme="minorHAnsi" w:eastAsia="Calibri" w:hAnsiTheme="minorHAnsi" w:cs="Calibri"/>
          <w:sz w:val="24"/>
          <w:szCs w:val="24"/>
        </w:rPr>
        <w:t xml:space="preserve"> establish </w:t>
      </w:r>
      <w:r w:rsidR="00104020">
        <w:rPr>
          <w:rFonts w:asciiTheme="minorHAnsi" w:eastAsia="Calibri" w:hAnsiTheme="minorHAnsi" w:cs="Calibri"/>
          <w:sz w:val="24"/>
          <w:szCs w:val="24"/>
        </w:rPr>
        <w:t>close relationships</w:t>
      </w:r>
      <w:r w:rsidR="00254329" w:rsidRPr="00894990">
        <w:rPr>
          <w:rFonts w:asciiTheme="minorHAnsi" w:eastAsia="Calibri" w:hAnsiTheme="minorHAnsi" w:cs="Calibri"/>
          <w:sz w:val="24"/>
          <w:szCs w:val="24"/>
        </w:rPr>
        <w:t xml:space="preserve"> with local colleges and universities</w:t>
      </w:r>
      <w:r w:rsidR="00DA6EAF" w:rsidRPr="00894990">
        <w:rPr>
          <w:rFonts w:asciiTheme="minorHAnsi" w:eastAsia="Calibri" w:hAnsiTheme="minorHAnsi" w:cs="Calibri"/>
          <w:sz w:val="24"/>
          <w:szCs w:val="24"/>
        </w:rPr>
        <w:t>,</w:t>
      </w:r>
      <w:r w:rsidR="00254329" w:rsidRPr="00894990">
        <w:rPr>
          <w:rFonts w:asciiTheme="minorHAnsi" w:eastAsia="Calibri" w:hAnsiTheme="minorHAnsi" w:cs="Calibri"/>
          <w:sz w:val="24"/>
          <w:szCs w:val="24"/>
        </w:rPr>
        <w:t xml:space="preserve"> </w:t>
      </w:r>
      <w:r w:rsidR="007C689C">
        <w:rPr>
          <w:rFonts w:asciiTheme="minorHAnsi" w:eastAsia="Calibri" w:hAnsiTheme="minorHAnsi" w:cs="Calibri"/>
          <w:sz w:val="24"/>
          <w:szCs w:val="24"/>
        </w:rPr>
        <w:t>other</w:t>
      </w:r>
      <w:r w:rsidR="00455EE0">
        <w:rPr>
          <w:rFonts w:asciiTheme="minorHAnsi" w:eastAsia="Calibri" w:hAnsiTheme="minorHAnsi" w:cs="Calibri"/>
          <w:sz w:val="24"/>
          <w:szCs w:val="24"/>
        </w:rPr>
        <w:t xml:space="preserve"> school districts, and </w:t>
      </w:r>
      <w:proofErr w:type="spellStart"/>
      <w:r w:rsidR="00455EE0">
        <w:rPr>
          <w:rFonts w:asciiTheme="minorHAnsi" w:eastAsia="Calibri" w:hAnsiTheme="minorHAnsi" w:cs="Calibri"/>
          <w:sz w:val="24"/>
          <w:szCs w:val="24"/>
        </w:rPr>
        <w:t>collaboratives</w:t>
      </w:r>
      <w:proofErr w:type="spellEnd"/>
      <w:r w:rsidR="00FF1DDE">
        <w:rPr>
          <w:rFonts w:asciiTheme="minorHAnsi" w:eastAsia="Calibri" w:hAnsiTheme="minorHAnsi" w:cs="Calibri"/>
          <w:sz w:val="24"/>
          <w:szCs w:val="24"/>
        </w:rPr>
        <w:t>.</w:t>
      </w:r>
    </w:p>
    <w:p w:rsidR="00717663" w:rsidRDefault="00254329" w:rsidP="004821CE">
      <w:pPr>
        <w:spacing w:before="120" w:after="240"/>
        <w:rPr>
          <w:rFonts w:asciiTheme="minorHAnsi" w:eastAsia="Calibri" w:hAnsiTheme="minorHAnsi" w:cs="Calibri"/>
          <w:sz w:val="24"/>
          <w:szCs w:val="24"/>
        </w:rPr>
      </w:pPr>
      <w:r w:rsidRPr="001D0641">
        <w:rPr>
          <w:rFonts w:asciiTheme="minorHAnsi" w:eastAsia="Calibri" w:hAnsiTheme="minorHAnsi" w:cs="Calibri"/>
          <w:sz w:val="24"/>
          <w:szCs w:val="24"/>
        </w:rPr>
        <w:t xml:space="preserve">School districts </w:t>
      </w:r>
      <w:r>
        <w:rPr>
          <w:rFonts w:asciiTheme="minorHAnsi" w:eastAsia="Calibri" w:hAnsiTheme="minorHAnsi" w:cs="Calibri"/>
          <w:sz w:val="24"/>
          <w:szCs w:val="24"/>
        </w:rPr>
        <w:t>can</w:t>
      </w:r>
      <w:r w:rsidRPr="001D0641">
        <w:rPr>
          <w:rFonts w:asciiTheme="minorHAnsi" w:eastAsia="Calibri" w:hAnsiTheme="minorHAnsi" w:cs="Calibri"/>
          <w:sz w:val="24"/>
          <w:szCs w:val="24"/>
        </w:rPr>
        <w:t xml:space="preserve"> also consider developing </w:t>
      </w:r>
      <w:r w:rsidR="00553971">
        <w:rPr>
          <w:rFonts w:asciiTheme="minorHAnsi" w:eastAsia="Calibri" w:hAnsiTheme="minorHAnsi" w:cs="Calibri"/>
          <w:sz w:val="24"/>
          <w:szCs w:val="24"/>
        </w:rPr>
        <w:t>i</w:t>
      </w:r>
      <w:r w:rsidRPr="001D0641">
        <w:rPr>
          <w:rFonts w:asciiTheme="minorHAnsi" w:eastAsia="Calibri" w:hAnsiTheme="minorHAnsi" w:cs="Calibri"/>
          <w:sz w:val="24"/>
          <w:szCs w:val="24"/>
        </w:rPr>
        <w:t xml:space="preserve">nteragency </w:t>
      </w:r>
      <w:r w:rsidR="00553971">
        <w:rPr>
          <w:rFonts w:asciiTheme="minorHAnsi" w:eastAsia="Calibri" w:hAnsiTheme="minorHAnsi" w:cs="Calibri"/>
          <w:sz w:val="24"/>
          <w:szCs w:val="24"/>
        </w:rPr>
        <w:t>c</w:t>
      </w:r>
      <w:r w:rsidRPr="001D0641">
        <w:rPr>
          <w:rFonts w:asciiTheme="minorHAnsi" w:eastAsia="Calibri" w:hAnsiTheme="minorHAnsi" w:cs="Calibri"/>
          <w:sz w:val="24"/>
          <w:szCs w:val="24"/>
        </w:rPr>
        <w:t xml:space="preserve">ouncils to promote seamless student transition into adult life. Interagency </w:t>
      </w:r>
      <w:r w:rsidR="00055315">
        <w:rPr>
          <w:rFonts w:asciiTheme="minorHAnsi" w:eastAsia="Calibri" w:hAnsiTheme="minorHAnsi" w:cs="Calibri"/>
          <w:sz w:val="24"/>
          <w:szCs w:val="24"/>
        </w:rPr>
        <w:t>c</w:t>
      </w:r>
      <w:r w:rsidRPr="001D0641">
        <w:rPr>
          <w:rFonts w:asciiTheme="minorHAnsi" w:eastAsia="Calibri" w:hAnsiTheme="minorHAnsi" w:cs="Calibri"/>
          <w:sz w:val="24"/>
          <w:szCs w:val="24"/>
        </w:rPr>
        <w:t xml:space="preserve">ouncils have been created by school districts to include (and coordinate between) school </w:t>
      </w:r>
      <w:r w:rsidRPr="006A714C">
        <w:rPr>
          <w:rFonts w:asciiTheme="minorHAnsi" w:eastAsia="Calibri" w:hAnsiTheme="minorHAnsi" w:cs="Calibri"/>
          <w:sz w:val="24"/>
          <w:szCs w:val="24"/>
        </w:rPr>
        <w:t xml:space="preserve">districts, adult human service agencies, employers and employer representatives (such as a workforce investment board or Rotary), local colleges and universities, special education </w:t>
      </w:r>
      <w:proofErr w:type="spellStart"/>
      <w:r w:rsidRPr="006A714C">
        <w:rPr>
          <w:rFonts w:asciiTheme="minorHAnsi" w:eastAsia="Calibri" w:hAnsiTheme="minorHAnsi" w:cs="Calibri"/>
          <w:sz w:val="24"/>
          <w:szCs w:val="24"/>
        </w:rPr>
        <w:t>collaboratives</w:t>
      </w:r>
      <w:proofErr w:type="spellEnd"/>
      <w:r w:rsidRPr="006A714C">
        <w:rPr>
          <w:rFonts w:asciiTheme="minorHAnsi" w:eastAsia="Calibri" w:hAnsiTheme="minorHAnsi" w:cs="Calibri"/>
          <w:sz w:val="24"/>
          <w:szCs w:val="24"/>
        </w:rPr>
        <w:t>, families</w:t>
      </w:r>
      <w:r w:rsidRPr="001D0641">
        <w:rPr>
          <w:rFonts w:asciiTheme="minorHAnsi" w:eastAsia="Calibri" w:hAnsiTheme="minorHAnsi" w:cs="Calibri"/>
          <w:sz w:val="24"/>
          <w:szCs w:val="24"/>
        </w:rPr>
        <w:t xml:space="preserve">, students, and other community members.  Interagency </w:t>
      </w:r>
      <w:r w:rsidR="00055315">
        <w:rPr>
          <w:rFonts w:asciiTheme="minorHAnsi" w:eastAsia="Calibri" w:hAnsiTheme="minorHAnsi" w:cs="Calibri"/>
          <w:sz w:val="24"/>
          <w:szCs w:val="24"/>
        </w:rPr>
        <w:t>c</w:t>
      </w:r>
      <w:r w:rsidRPr="001D0641">
        <w:rPr>
          <w:rFonts w:asciiTheme="minorHAnsi" w:eastAsia="Calibri" w:hAnsiTheme="minorHAnsi" w:cs="Calibri"/>
          <w:sz w:val="24"/>
          <w:szCs w:val="24"/>
        </w:rPr>
        <w:t>ouncils support communication and collaboration, and connect students with resources that might not otherwise be readily available.</w:t>
      </w:r>
    </w:p>
    <w:p w:rsidR="00796298" w:rsidRPr="00AC5934" w:rsidRDefault="00796298" w:rsidP="00AC5934">
      <w:pPr>
        <w:pStyle w:val="Subtitle"/>
        <w:spacing w:after="120" w:line="240" w:lineRule="auto"/>
        <w:rPr>
          <w:rFonts w:asciiTheme="minorHAnsi" w:hAnsiTheme="minorHAnsi"/>
          <w:b/>
          <w:sz w:val="24"/>
          <w:szCs w:val="24"/>
        </w:rPr>
      </w:pPr>
      <w:r w:rsidRPr="00AC5934">
        <w:rPr>
          <w:rFonts w:asciiTheme="minorHAnsi" w:hAnsiTheme="minorHAnsi"/>
          <w:b/>
          <w:sz w:val="24"/>
          <w:szCs w:val="24"/>
        </w:rPr>
        <w:t>Individual Level Coordination</w:t>
      </w:r>
    </w:p>
    <w:p w:rsidR="005949C0" w:rsidRDefault="00745985" w:rsidP="00254329">
      <w:pPr>
        <w:spacing w:before="120" w:after="120"/>
        <w:rPr>
          <w:rFonts w:asciiTheme="minorHAnsi" w:hAnsiTheme="minorHAnsi"/>
          <w:sz w:val="24"/>
          <w:szCs w:val="24"/>
        </w:rPr>
      </w:pPr>
      <w:r>
        <w:rPr>
          <w:rFonts w:asciiTheme="minorHAnsi" w:hAnsiTheme="minorHAnsi"/>
          <w:sz w:val="24"/>
          <w:szCs w:val="24"/>
        </w:rPr>
        <w:t xml:space="preserve">Transition services for each individual student with an IEP should be provided in a well-thought-out, stepwise, developmental progression so that each year students build new skills that move </w:t>
      </w:r>
      <w:r w:rsidRPr="00F87F09">
        <w:rPr>
          <w:rFonts w:asciiTheme="minorHAnsi" w:hAnsiTheme="minorHAnsi"/>
          <w:sz w:val="24"/>
          <w:szCs w:val="24"/>
        </w:rPr>
        <w:t>them closer toward achieving</w:t>
      </w:r>
      <w:r>
        <w:rPr>
          <w:rFonts w:asciiTheme="minorHAnsi" w:hAnsiTheme="minorHAnsi"/>
          <w:sz w:val="24"/>
          <w:szCs w:val="24"/>
        </w:rPr>
        <w:t xml:space="preserve"> their postsecondary goals. When the student is age 14</w:t>
      </w:r>
      <w:r w:rsidR="004065D6">
        <w:rPr>
          <w:rFonts w:asciiTheme="minorHAnsi" w:hAnsiTheme="minorHAnsi"/>
          <w:sz w:val="24"/>
          <w:szCs w:val="24"/>
        </w:rPr>
        <w:t xml:space="preserve"> (or earlier), the IEP team </w:t>
      </w:r>
      <w:r w:rsidR="006A714C">
        <w:rPr>
          <w:rFonts w:asciiTheme="minorHAnsi" w:hAnsiTheme="minorHAnsi"/>
          <w:sz w:val="24"/>
          <w:szCs w:val="24"/>
        </w:rPr>
        <w:t>uses</w:t>
      </w:r>
      <w:r w:rsidR="005E3EA8">
        <w:rPr>
          <w:rFonts w:asciiTheme="minorHAnsi" w:hAnsiTheme="minorHAnsi"/>
          <w:sz w:val="24"/>
          <w:szCs w:val="24"/>
        </w:rPr>
        <w:t xml:space="preserve"> the Transition Planning Form (TPF)</w:t>
      </w:r>
      <w:r w:rsidR="005E3EA8">
        <w:rPr>
          <w:rStyle w:val="EndnoteReference"/>
          <w:rFonts w:asciiTheme="minorHAnsi" w:hAnsiTheme="minorHAnsi"/>
          <w:sz w:val="24"/>
          <w:szCs w:val="24"/>
        </w:rPr>
        <w:endnoteReference w:id="17"/>
      </w:r>
      <w:r>
        <w:rPr>
          <w:rFonts w:asciiTheme="minorHAnsi" w:hAnsiTheme="minorHAnsi"/>
          <w:sz w:val="24"/>
          <w:szCs w:val="24"/>
        </w:rPr>
        <w:t xml:space="preserve"> </w:t>
      </w:r>
      <w:r w:rsidR="003453CC">
        <w:rPr>
          <w:rFonts w:asciiTheme="minorHAnsi" w:hAnsiTheme="minorHAnsi"/>
          <w:sz w:val="24"/>
          <w:szCs w:val="24"/>
        </w:rPr>
        <w:t xml:space="preserve">to map out the opportunities the student will experience that year in the areas of instruction, employment, </w:t>
      </w:r>
      <w:r w:rsidR="003453CC" w:rsidRPr="006A714C">
        <w:rPr>
          <w:rFonts w:asciiTheme="minorHAnsi" w:hAnsiTheme="minorHAnsi"/>
          <w:sz w:val="24"/>
          <w:szCs w:val="24"/>
        </w:rPr>
        <w:t xml:space="preserve">and community </w:t>
      </w:r>
      <w:r w:rsidR="004065D6" w:rsidRPr="006A714C">
        <w:rPr>
          <w:rFonts w:asciiTheme="minorHAnsi" w:hAnsiTheme="minorHAnsi"/>
          <w:sz w:val="24"/>
          <w:szCs w:val="24"/>
        </w:rPr>
        <w:t>participation –</w:t>
      </w:r>
      <w:r w:rsidR="004065D6">
        <w:rPr>
          <w:rFonts w:asciiTheme="minorHAnsi" w:hAnsiTheme="minorHAnsi"/>
          <w:sz w:val="24"/>
          <w:szCs w:val="24"/>
        </w:rPr>
        <w:t xml:space="preserve"> opportunities that can be provided by the school, families, employers, community members, and other stakeholders in the student’s life. The IEP team decides which </w:t>
      </w:r>
      <w:r w:rsidR="00037152">
        <w:rPr>
          <w:rFonts w:asciiTheme="minorHAnsi" w:hAnsiTheme="minorHAnsi"/>
          <w:sz w:val="24"/>
          <w:szCs w:val="24"/>
        </w:rPr>
        <w:t>transition services</w:t>
      </w:r>
      <w:r w:rsidR="004065D6">
        <w:rPr>
          <w:rFonts w:asciiTheme="minorHAnsi" w:hAnsiTheme="minorHAnsi"/>
          <w:sz w:val="24"/>
          <w:szCs w:val="24"/>
        </w:rPr>
        <w:t xml:space="preserve"> the school will provide, and these are recorded in the IEP.</w:t>
      </w:r>
      <w:r w:rsidR="00342AB0">
        <w:rPr>
          <w:rStyle w:val="EndnoteReference"/>
          <w:rFonts w:asciiTheme="minorHAnsi" w:hAnsiTheme="minorHAnsi"/>
          <w:sz w:val="24"/>
          <w:szCs w:val="24"/>
        </w:rPr>
        <w:endnoteReference w:id="18"/>
      </w:r>
    </w:p>
    <w:p w:rsidR="00254329" w:rsidRDefault="004065D6" w:rsidP="007025D6">
      <w:pPr>
        <w:spacing w:before="120" w:after="120"/>
        <w:rPr>
          <w:rFonts w:asciiTheme="minorHAnsi" w:hAnsiTheme="minorHAnsi"/>
          <w:sz w:val="24"/>
          <w:szCs w:val="24"/>
        </w:rPr>
      </w:pPr>
      <w:r>
        <w:rPr>
          <w:rFonts w:asciiTheme="minorHAnsi" w:hAnsiTheme="minorHAnsi"/>
          <w:sz w:val="24"/>
          <w:szCs w:val="24"/>
        </w:rPr>
        <w:t>Each subsequent year until the student exits school, the team should look back at the previous years’ TPFs and IEPs</w:t>
      </w:r>
      <w:r w:rsidR="000960BE">
        <w:rPr>
          <w:rFonts w:asciiTheme="minorHAnsi" w:hAnsiTheme="minorHAnsi"/>
          <w:sz w:val="24"/>
          <w:szCs w:val="24"/>
        </w:rPr>
        <w:t xml:space="preserve"> to </w:t>
      </w:r>
      <w:r w:rsidR="00D80923">
        <w:rPr>
          <w:rFonts w:asciiTheme="minorHAnsi" w:hAnsiTheme="minorHAnsi"/>
          <w:sz w:val="24"/>
          <w:szCs w:val="24"/>
        </w:rPr>
        <w:t>track</w:t>
      </w:r>
      <w:r w:rsidR="000960BE">
        <w:rPr>
          <w:rFonts w:asciiTheme="minorHAnsi" w:hAnsiTheme="minorHAnsi"/>
          <w:sz w:val="24"/>
          <w:szCs w:val="24"/>
        </w:rPr>
        <w:t xml:space="preserve"> progress. </w:t>
      </w:r>
      <w:r w:rsidR="005949C0" w:rsidRPr="008C2BDD">
        <w:rPr>
          <w:rFonts w:asciiTheme="minorHAnsi" w:hAnsiTheme="minorHAnsi"/>
          <w:sz w:val="24"/>
          <w:szCs w:val="24"/>
        </w:rPr>
        <w:t>The TPF is a discussion guide, and nothing recorded on it</w:t>
      </w:r>
      <w:r w:rsidR="00AA4D27">
        <w:rPr>
          <w:rFonts w:asciiTheme="minorHAnsi" w:hAnsiTheme="minorHAnsi"/>
          <w:sz w:val="24"/>
          <w:szCs w:val="24"/>
        </w:rPr>
        <w:t xml:space="preserve"> that is not recorded in the IEP</w:t>
      </w:r>
      <w:r w:rsidR="005949C0" w:rsidRPr="008C2BDD">
        <w:rPr>
          <w:rFonts w:asciiTheme="minorHAnsi" w:hAnsiTheme="minorHAnsi"/>
          <w:sz w:val="24"/>
          <w:szCs w:val="24"/>
        </w:rPr>
        <w:t xml:space="preserve"> is required</w:t>
      </w:r>
      <w:r w:rsidR="00257F6D">
        <w:rPr>
          <w:rFonts w:asciiTheme="minorHAnsi" w:hAnsiTheme="minorHAnsi"/>
          <w:sz w:val="24"/>
          <w:szCs w:val="24"/>
        </w:rPr>
        <w:t xml:space="preserve"> by law</w:t>
      </w:r>
      <w:r w:rsidR="005949C0" w:rsidRPr="008C2BDD">
        <w:rPr>
          <w:rFonts w:asciiTheme="minorHAnsi" w:hAnsiTheme="minorHAnsi"/>
          <w:sz w:val="24"/>
          <w:szCs w:val="24"/>
        </w:rPr>
        <w:t xml:space="preserve"> to occur. If actions steps outlined on the TPF did in fact not occur in the previous year, why not? </w:t>
      </w:r>
      <w:r w:rsidR="000960BE" w:rsidRPr="008C2BDD">
        <w:rPr>
          <w:rFonts w:asciiTheme="minorHAnsi" w:hAnsiTheme="minorHAnsi"/>
          <w:sz w:val="24"/>
          <w:szCs w:val="24"/>
        </w:rPr>
        <w:t xml:space="preserve">What meaningful and </w:t>
      </w:r>
      <w:r w:rsidR="00154142">
        <w:rPr>
          <w:rFonts w:asciiTheme="minorHAnsi" w:hAnsiTheme="minorHAnsi"/>
          <w:sz w:val="24"/>
          <w:szCs w:val="24"/>
        </w:rPr>
        <w:t>feasible</w:t>
      </w:r>
      <w:r w:rsidR="000960BE" w:rsidRPr="008C2BDD">
        <w:rPr>
          <w:rFonts w:asciiTheme="minorHAnsi" w:hAnsiTheme="minorHAnsi"/>
          <w:sz w:val="24"/>
          <w:szCs w:val="24"/>
        </w:rPr>
        <w:t xml:space="preserve"> action steps can the team develop this year? </w:t>
      </w:r>
    </w:p>
    <w:p w:rsidR="00257F6D" w:rsidRPr="00F87F09" w:rsidRDefault="00257F6D" w:rsidP="00257F6D">
      <w:pPr>
        <w:spacing w:before="120" w:after="120"/>
        <w:rPr>
          <w:rFonts w:asciiTheme="minorHAnsi" w:hAnsiTheme="minorHAnsi"/>
          <w:sz w:val="24"/>
          <w:szCs w:val="24"/>
        </w:rPr>
      </w:pPr>
      <w:r w:rsidRPr="00F87F09">
        <w:rPr>
          <w:rFonts w:asciiTheme="minorHAnsi" w:hAnsiTheme="minorHAnsi"/>
          <w:sz w:val="24"/>
          <w:szCs w:val="24"/>
        </w:rPr>
        <w:t>For the IEP:</w:t>
      </w:r>
    </w:p>
    <w:p w:rsidR="00257F6D" w:rsidRPr="00F87F09" w:rsidRDefault="00257F6D" w:rsidP="00257F6D">
      <w:pPr>
        <w:pStyle w:val="ListParagraph"/>
        <w:numPr>
          <w:ilvl w:val="0"/>
          <w:numId w:val="7"/>
        </w:numPr>
        <w:spacing w:before="120" w:after="120"/>
        <w:rPr>
          <w:rFonts w:asciiTheme="minorHAnsi" w:hAnsiTheme="minorHAnsi"/>
          <w:sz w:val="24"/>
          <w:szCs w:val="24"/>
        </w:rPr>
      </w:pPr>
      <w:r w:rsidRPr="00F87F09">
        <w:rPr>
          <w:rFonts w:asciiTheme="minorHAnsi" w:hAnsiTheme="minorHAnsi"/>
          <w:sz w:val="24"/>
          <w:szCs w:val="24"/>
        </w:rPr>
        <w:t xml:space="preserve">Which specific skills did the student gain through last year’s transition services? </w:t>
      </w:r>
    </w:p>
    <w:p w:rsidR="00257F6D" w:rsidRPr="00F87F09" w:rsidRDefault="00257F6D" w:rsidP="00257F6D">
      <w:pPr>
        <w:pStyle w:val="ListParagraph"/>
        <w:numPr>
          <w:ilvl w:val="0"/>
          <w:numId w:val="7"/>
        </w:numPr>
        <w:spacing w:before="120" w:after="120"/>
        <w:rPr>
          <w:rFonts w:asciiTheme="minorHAnsi" w:hAnsiTheme="minorHAnsi"/>
          <w:sz w:val="24"/>
          <w:szCs w:val="24"/>
        </w:rPr>
      </w:pPr>
      <w:r w:rsidRPr="00F87F09">
        <w:rPr>
          <w:rFonts w:asciiTheme="minorHAnsi" w:hAnsiTheme="minorHAnsi"/>
          <w:sz w:val="24"/>
          <w:szCs w:val="24"/>
        </w:rPr>
        <w:t xml:space="preserve">Did the student achieve last year’s measurable annual IEP goals? </w:t>
      </w:r>
      <w:r w:rsidR="00893636" w:rsidRPr="00F87F09">
        <w:rPr>
          <w:rFonts w:asciiTheme="minorHAnsi" w:hAnsiTheme="minorHAnsi"/>
          <w:sz w:val="24"/>
          <w:szCs w:val="24"/>
        </w:rPr>
        <w:t>If not, why not?</w:t>
      </w:r>
    </w:p>
    <w:p w:rsidR="00257F6D" w:rsidRPr="00363CF8" w:rsidRDefault="00257F6D" w:rsidP="00257F6D">
      <w:pPr>
        <w:pStyle w:val="ListParagraph"/>
        <w:numPr>
          <w:ilvl w:val="0"/>
          <w:numId w:val="7"/>
        </w:numPr>
        <w:spacing w:before="120" w:after="120"/>
        <w:rPr>
          <w:rFonts w:asciiTheme="minorHAnsi" w:hAnsiTheme="minorHAnsi"/>
          <w:sz w:val="24"/>
          <w:szCs w:val="24"/>
        </w:rPr>
      </w:pPr>
      <w:r w:rsidRPr="00363CF8">
        <w:rPr>
          <w:rFonts w:asciiTheme="minorHAnsi" w:hAnsiTheme="minorHAnsi"/>
          <w:sz w:val="24"/>
          <w:szCs w:val="24"/>
        </w:rPr>
        <w:t xml:space="preserve">Which measurable annual IEP goals will address this year’s disability-related needs and build </w:t>
      </w:r>
      <w:r w:rsidR="00525FC9" w:rsidRPr="00363CF8">
        <w:rPr>
          <w:rFonts w:asciiTheme="minorHAnsi" w:hAnsiTheme="minorHAnsi"/>
          <w:sz w:val="24"/>
          <w:szCs w:val="24"/>
        </w:rPr>
        <w:t>this year’s</w:t>
      </w:r>
      <w:r w:rsidRPr="00363CF8">
        <w:rPr>
          <w:rFonts w:asciiTheme="minorHAnsi" w:hAnsiTheme="minorHAnsi"/>
          <w:sz w:val="24"/>
          <w:szCs w:val="24"/>
        </w:rPr>
        <w:t xml:space="preserve"> skills</w:t>
      </w:r>
      <w:r w:rsidR="00363CF8" w:rsidRPr="00363CF8">
        <w:rPr>
          <w:rFonts w:asciiTheme="minorHAnsi" w:hAnsiTheme="minorHAnsi"/>
          <w:sz w:val="24"/>
          <w:szCs w:val="24"/>
        </w:rPr>
        <w:t>, to assist the student i</w:t>
      </w:r>
      <w:r w:rsidR="00363CF8">
        <w:rPr>
          <w:rFonts w:asciiTheme="minorHAnsi" w:hAnsiTheme="minorHAnsi"/>
          <w:sz w:val="24"/>
          <w:szCs w:val="24"/>
        </w:rPr>
        <w:t>n meeting their measurable post</w:t>
      </w:r>
      <w:r w:rsidR="00363CF8" w:rsidRPr="00363CF8">
        <w:rPr>
          <w:rFonts w:asciiTheme="minorHAnsi" w:hAnsiTheme="minorHAnsi"/>
          <w:sz w:val="24"/>
          <w:szCs w:val="24"/>
        </w:rPr>
        <w:t>secondary goals?</w:t>
      </w:r>
    </w:p>
    <w:p w:rsidR="00257F6D" w:rsidRPr="00F87F09" w:rsidRDefault="00257F6D" w:rsidP="007025D6">
      <w:pPr>
        <w:pStyle w:val="ListParagraph"/>
        <w:numPr>
          <w:ilvl w:val="0"/>
          <w:numId w:val="7"/>
        </w:numPr>
        <w:spacing w:before="120" w:after="120"/>
        <w:rPr>
          <w:rFonts w:asciiTheme="minorHAnsi" w:hAnsiTheme="minorHAnsi"/>
          <w:sz w:val="24"/>
          <w:szCs w:val="24"/>
        </w:rPr>
      </w:pPr>
      <w:r w:rsidRPr="00F87F09">
        <w:rPr>
          <w:rFonts w:asciiTheme="minorHAnsi" w:hAnsiTheme="minorHAnsi"/>
          <w:sz w:val="24"/>
          <w:szCs w:val="24"/>
        </w:rPr>
        <w:t xml:space="preserve">Which transition services </w:t>
      </w:r>
      <w:r w:rsidR="00AA4D27">
        <w:rPr>
          <w:rFonts w:asciiTheme="minorHAnsi" w:hAnsiTheme="minorHAnsi"/>
          <w:sz w:val="24"/>
          <w:szCs w:val="24"/>
        </w:rPr>
        <w:t>does the student need, recorded in the IEP,</w:t>
      </w:r>
      <w:r w:rsidRPr="00F87F09">
        <w:rPr>
          <w:rFonts w:asciiTheme="minorHAnsi" w:hAnsiTheme="minorHAnsi"/>
          <w:sz w:val="24"/>
          <w:szCs w:val="24"/>
        </w:rPr>
        <w:t xml:space="preserve"> to promote the accomplishment of this year’s measurable annual IEP goals and move the student closer </w:t>
      </w:r>
      <w:r w:rsidR="00F87F09">
        <w:rPr>
          <w:rFonts w:asciiTheme="minorHAnsi" w:hAnsiTheme="minorHAnsi"/>
          <w:sz w:val="24"/>
          <w:szCs w:val="24"/>
        </w:rPr>
        <w:t xml:space="preserve">each year </w:t>
      </w:r>
      <w:r w:rsidRPr="00F87F09">
        <w:rPr>
          <w:rFonts w:asciiTheme="minorHAnsi" w:hAnsiTheme="minorHAnsi"/>
          <w:sz w:val="24"/>
          <w:szCs w:val="24"/>
        </w:rPr>
        <w:t>toward achieving the postsecondary goals?</w:t>
      </w:r>
    </w:p>
    <w:p w:rsidR="00717663" w:rsidRPr="00745985" w:rsidRDefault="00867143" w:rsidP="00C85D15">
      <w:pPr>
        <w:spacing w:before="120" w:after="240"/>
        <w:rPr>
          <w:rFonts w:asciiTheme="minorHAnsi" w:hAnsiTheme="minorHAnsi"/>
          <w:sz w:val="24"/>
          <w:szCs w:val="24"/>
        </w:rPr>
      </w:pPr>
      <w:r w:rsidRPr="00F87F09">
        <w:rPr>
          <w:rFonts w:asciiTheme="minorHAnsi" w:hAnsiTheme="minorHAnsi"/>
          <w:sz w:val="24"/>
          <w:szCs w:val="24"/>
        </w:rPr>
        <w:t xml:space="preserve">As the IEP team looks backwards and forwards, it should </w:t>
      </w:r>
      <w:r w:rsidR="007F0D1A" w:rsidRPr="00F87F09">
        <w:rPr>
          <w:rFonts w:asciiTheme="minorHAnsi" w:hAnsiTheme="minorHAnsi"/>
          <w:sz w:val="24"/>
          <w:szCs w:val="24"/>
        </w:rPr>
        <w:t>be informed by</w:t>
      </w:r>
      <w:r w:rsidRPr="00F87F09">
        <w:rPr>
          <w:rFonts w:asciiTheme="minorHAnsi" w:hAnsiTheme="minorHAnsi"/>
          <w:sz w:val="24"/>
          <w:szCs w:val="24"/>
        </w:rPr>
        <w:t xml:space="preserve"> the results of transition assessment</w:t>
      </w:r>
      <w:r w:rsidR="001C0AFD" w:rsidRPr="00F87F09">
        <w:rPr>
          <w:rFonts w:asciiTheme="minorHAnsi" w:hAnsiTheme="minorHAnsi"/>
          <w:sz w:val="24"/>
          <w:szCs w:val="24"/>
        </w:rPr>
        <w:t xml:space="preserve"> such as</w:t>
      </w:r>
      <w:r w:rsidRPr="00F87F09">
        <w:rPr>
          <w:rFonts w:asciiTheme="minorHAnsi" w:hAnsiTheme="minorHAnsi"/>
          <w:sz w:val="24"/>
          <w:szCs w:val="24"/>
        </w:rPr>
        <w:t xml:space="preserve"> classroom and community observations, interviews, formal </w:t>
      </w:r>
      <w:r w:rsidRPr="00F87F09">
        <w:rPr>
          <w:rFonts w:asciiTheme="minorHAnsi" w:hAnsiTheme="minorHAnsi"/>
          <w:sz w:val="24"/>
          <w:szCs w:val="24"/>
        </w:rPr>
        <w:lastRenderedPageBreak/>
        <w:t xml:space="preserve">assessment, standardized tests, </w:t>
      </w:r>
      <w:r w:rsidR="00E97472" w:rsidRPr="00F87F09">
        <w:rPr>
          <w:rFonts w:asciiTheme="minorHAnsi" w:hAnsiTheme="minorHAnsi"/>
          <w:sz w:val="24"/>
          <w:szCs w:val="24"/>
        </w:rPr>
        <w:t xml:space="preserve">academic assessments, </w:t>
      </w:r>
      <w:r w:rsidRPr="00F87F09">
        <w:rPr>
          <w:rFonts w:asciiTheme="minorHAnsi" w:hAnsiTheme="minorHAnsi"/>
          <w:sz w:val="24"/>
          <w:szCs w:val="24"/>
        </w:rPr>
        <w:t xml:space="preserve">behavioral assessments, </w:t>
      </w:r>
      <w:r w:rsidR="00CC3DF4" w:rsidRPr="00F87F09">
        <w:rPr>
          <w:rFonts w:asciiTheme="minorHAnsi" w:hAnsiTheme="minorHAnsi"/>
          <w:sz w:val="24"/>
          <w:szCs w:val="24"/>
        </w:rPr>
        <w:t xml:space="preserve">self-determination scales, </w:t>
      </w:r>
      <w:r w:rsidRPr="00F87F09">
        <w:rPr>
          <w:rFonts w:asciiTheme="minorHAnsi" w:hAnsiTheme="minorHAnsi"/>
          <w:sz w:val="24"/>
          <w:szCs w:val="24"/>
        </w:rPr>
        <w:t>the Massachusetts W</w:t>
      </w:r>
      <w:r w:rsidR="001C0AFD" w:rsidRPr="00F87F09">
        <w:rPr>
          <w:rFonts w:asciiTheme="minorHAnsi" w:hAnsiTheme="minorHAnsi"/>
          <w:sz w:val="24"/>
          <w:szCs w:val="24"/>
        </w:rPr>
        <w:t xml:space="preserve">ork-Based Learning Plan (WBLP), </w:t>
      </w:r>
      <w:r w:rsidR="00825D01" w:rsidRPr="00F87F09">
        <w:rPr>
          <w:rFonts w:asciiTheme="minorHAnsi" w:hAnsiTheme="minorHAnsi"/>
          <w:sz w:val="24"/>
          <w:szCs w:val="24"/>
        </w:rPr>
        <w:t>etc.</w:t>
      </w:r>
      <w:r w:rsidR="00086D7F" w:rsidRPr="00F87F09">
        <w:rPr>
          <w:rStyle w:val="EndnoteReference"/>
          <w:rFonts w:asciiTheme="minorHAnsi" w:hAnsiTheme="minorHAnsi"/>
          <w:sz w:val="24"/>
          <w:szCs w:val="24"/>
        </w:rPr>
        <w:endnoteReference w:id="19"/>
      </w:r>
    </w:p>
    <w:p w:rsidR="00976729" w:rsidRPr="004C35B1" w:rsidRDefault="00D3229A" w:rsidP="00C85D15">
      <w:pPr>
        <w:pStyle w:val="Heading3"/>
        <w:spacing w:line="240" w:lineRule="auto"/>
        <w:rPr>
          <w:rFonts w:asciiTheme="majorHAnsi" w:hAnsiTheme="majorHAnsi"/>
          <w:color w:val="1F497D" w:themeColor="text2"/>
        </w:rPr>
      </w:pPr>
      <w:r>
        <w:rPr>
          <w:rFonts w:asciiTheme="majorHAnsi" w:hAnsiTheme="majorHAnsi"/>
          <w:color w:val="1F497D" w:themeColor="text2"/>
        </w:rPr>
        <w:t>Characteristic</w:t>
      </w:r>
      <w:r w:rsidR="0077613A" w:rsidRPr="004C35B1">
        <w:rPr>
          <w:rFonts w:asciiTheme="majorHAnsi" w:hAnsiTheme="majorHAnsi"/>
          <w:color w:val="1F497D" w:themeColor="text2"/>
        </w:rPr>
        <w:t xml:space="preserve"> # 2:  Transition services should be provided based on the needs, strengths, preferences</w:t>
      </w:r>
      <w:r w:rsidR="004B417C" w:rsidRPr="004C35B1">
        <w:rPr>
          <w:rFonts w:asciiTheme="majorHAnsi" w:hAnsiTheme="majorHAnsi"/>
          <w:color w:val="1F497D" w:themeColor="text2"/>
        </w:rPr>
        <w:t>,</w:t>
      </w:r>
      <w:r w:rsidR="0077613A" w:rsidRPr="004C35B1">
        <w:rPr>
          <w:rFonts w:asciiTheme="majorHAnsi" w:hAnsiTheme="majorHAnsi"/>
          <w:color w:val="1F497D" w:themeColor="text2"/>
        </w:rPr>
        <w:t xml:space="preserve"> and interests of individual students.</w:t>
      </w:r>
    </w:p>
    <w:p w:rsidR="00001551" w:rsidRPr="001D0641" w:rsidRDefault="00844DF0" w:rsidP="00181650">
      <w:pPr>
        <w:spacing w:before="120" w:after="120"/>
        <w:rPr>
          <w:rFonts w:asciiTheme="minorHAnsi" w:eastAsia="Calibri" w:hAnsiTheme="minorHAnsi" w:cs="Calibri"/>
          <w:sz w:val="24"/>
          <w:szCs w:val="24"/>
        </w:rPr>
      </w:pPr>
      <w:r w:rsidRPr="001D0641">
        <w:rPr>
          <w:rFonts w:asciiTheme="minorHAnsi" w:eastAsia="Calibri" w:hAnsiTheme="minorHAnsi" w:cs="Calibri"/>
          <w:sz w:val="24"/>
          <w:szCs w:val="24"/>
        </w:rPr>
        <w:t>Like</w:t>
      </w:r>
      <w:r w:rsidR="00A023AB" w:rsidRPr="001D0641">
        <w:rPr>
          <w:rFonts w:asciiTheme="minorHAnsi" w:eastAsia="Calibri" w:hAnsiTheme="minorHAnsi" w:cs="Calibri"/>
          <w:sz w:val="24"/>
          <w:szCs w:val="24"/>
        </w:rPr>
        <w:t xml:space="preserve"> all</w:t>
      </w:r>
      <w:r w:rsidRPr="001D0641">
        <w:rPr>
          <w:rFonts w:asciiTheme="minorHAnsi" w:eastAsia="Calibri" w:hAnsiTheme="minorHAnsi" w:cs="Calibri"/>
          <w:sz w:val="24"/>
          <w:szCs w:val="24"/>
        </w:rPr>
        <w:t xml:space="preserve"> other special education services, transitio</w:t>
      </w:r>
      <w:r w:rsidR="00832652">
        <w:rPr>
          <w:rFonts w:asciiTheme="minorHAnsi" w:eastAsia="Calibri" w:hAnsiTheme="minorHAnsi" w:cs="Calibri"/>
          <w:sz w:val="24"/>
          <w:szCs w:val="24"/>
        </w:rPr>
        <w:t xml:space="preserve">n services must be individually </w:t>
      </w:r>
      <w:r w:rsidRPr="001D0641">
        <w:rPr>
          <w:rFonts w:asciiTheme="minorHAnsi" w:eastAsia="Calibri" w:hAnsiTheme="minorHAnsi" w:cs="Calibri"/>
          <w:sz w:val="24"/>
          <w:szCs w:val="24"/>
        </w:rPr>
        <w:t>tailored to address each student’s unique needs.</w:t>
      </w:r>
      <w:r w:rsidRPr="001D0641">
        <w:rPr>
          <w:rFonts w:asciiTheme="minorHAnsi" w:eastAsia="Calibri" w:hAnsiTheme="minorHAnsi" w:cs="Calibri"/>
          <w:sz w:val="24"/>
          <w:szCs w:val="24"/>
          <w:vertAlign w:val="superscript"/>
        </w:rPr>
        <w:endnoteReference w:id="20"/>
      </w:r>
      <w:r w:rsidRPr="001D0641">
        <w:rPr>
          <w:rFonts w:asciiTheme="minorHAnsi" w:eastAsia="Calibri" w:hAnsiTheme="minorHAnsi" w:cs="Calibri"/>
          <w:sz w:val="24"/>
          <w:szCs w:val="24"/>
        </w:rPr>
        <w:t xml:space="preserve"> Individualization means that students with similar disability profiles may require very different transition services, because individual students may </w:t>
      </w:r>
      <w:r w:rsidR="00C73B4F" w:rsidRPr="001D0641">
        <w:rPr>
          <w:rFonts w:asciiTheme="minorHAnsi" w:eastAsia="Calibri" w:hAnsiTheme="minorHAnsi" w:cs="Calibri"/>
          <w:sz w:val="24"/>
          <w:szCs w:val="24"/>
        </w:rPr>
        <w:t>have different</w:t>
      </w:r>
      <w:r w:rsidRPr="001D0641">
        <w:rPr>
          <w:rFonts w:asciiTheme="minorHAnsi" w:eastAsia="Calibri" w:hAnsiTheme="minorHAnsi" w:cs="Calibri"/>
          <w:sz w:val="24"/>
          <w:szCs w:val="24"/>
        </w:rPr>
        <w:t xml:space="preserve"> </w:t>
      </w:r>
      <w:r w:rsidR="00A42C48">
        <w:rPr>
          <w:rFonts w:asciiTheme="minorHAnsi" w:eastAsia="Calibri" w:hAnsiTheme="minorHAnsi" w:cs="Calibri"/>
          <w:sz w:val="24"/>
          <w:szCs w:val="24"/>
        </w:rPr>
        <w:t xml:space="preserve">needs, </w:t>
      </w:r>
      <w:r w:rsidR="00A023AB" w:rsidRPr="001D0641">
        <w:rPr>
          <w:rFonts w:asciiTheme="minorHAnsi" w:eastAsia="Calibri" w:hAnsiTheme="minorHAnsi" w:cs="Calibri"/>
          <w:sz w:val="24"/>
          <w:szCs w:val="24"/>
        </w:rPr>
        <w:t xml:space="preserve">strengths, </w:t>
      </w:r>
      <w:r w:rsidR="00A023AB" w:rsidRPr="001C0AFD">
        <w:rPr>
          <w:rFonts w:asciiTheme="minorHAnsi" w:eastAsia="Calibri" w:hAnsiTheme="minorHAnsi" w:cs="Calibri"/>
          <w:sz w:val="24"/>
          <w:szCs w:val="24"/>
        </w:rPr>
        <w:t>preferences</w:t>
      </w:r>
      <w:r w:rsidRPr="001C0AFD">
        <w:rPr>
          <w:rFonts w:asciiTheme="minorHAnsi" w:eastAsia="Calibri" w:hAnsiTheme="minorHAnsi" w:cs="Calibri"/>
          <w:sz w:val="24"/>
          <w:szCs w:val="24"/>
        </w:rPr>
        <w:t>, interests</w:t>
      </w:r>
      <w:r w:rsidR="006B5191" w:rsidRPr="001C0AFD">
        <w:rPr>
          <w:rFonts w:asciiTheme="minorHAnsi" w:eastAsia="Calibri" w:hAnsiTheme="minorHAnsi" w:cs="Calibri"/>
          <w:sz w:val="24"/>
          <w:szCs w:val="24"/>
        </w:rPr>
        <w:t>,</w:t>
      </w:r>
      <w:r w:rsidR="00A023AB" w:rsidRPr="001C0AFD">
        <w:rPr>
          <w:rFonts w:asciiTheme="minorHAnsi" w:eastAsia="Calibri" w:hAnsiTheme="minorHAnsi" w:cs="Calibri"/>
          <w:sz w:val="24"/>
          <w:szCs w:val="24"/>
        </w:rPr>
        <w:t xml:space="preserve"> </w:t>
      </w:r>
      <w:r w:rsidRPr="001C0AFD">
        <w:rPr>
          <w:rFonts w:asciiTheme="minorHAnsi" w:eastAsia="Calibri" w:hAnsiTheme="minorHAnsi" w:cs="Calibri"/>
          <w:sz w:val="24"/>
          <w:szCs w:val="24"/>
        </w:rPr>
        <w:t xml:space="preserve">and postsecondary goals. </w:t>
      </w:r>
      <w:r w:rsidR="00A42C48" w:rsidRPr="001C0AFD">
        <w:rPr>
          <w:rFonts w:asciiTheme="minorHAnsi" w:eastAsia="Calibri" w:hAnsiTheme="minorHAnsi" w:cs="Calibri"/>
          <w:sz w:val="24"/>
          <w:szCs w:val="24"/>
        </w:rPr>
        <w:t>The IEP team</w:t>
      </w:r>
      <w:r w:rsidR="00F313F2" w:rsidRPr="001C0AFD">
        <w:rPr>
          <w:rFonts w:asciiTheme="minorHAnsi" w:eastAsia="Calibri" w:hAnsiTheme="minorHAnsi" w:cs="Calibri"/>
          <w:sz w:val="24"/>
          <w:szCs w:val="24"/>
        </w:rPr>
        <w:t xml:space="preserve"> should</w:t>
      </w:r>
      <w:r w:rsidR="00A42C48" w:rsidRPr="001C0AFD">
        <w:rPr>
          <w:rFonts w:asciiTheme="minorHAnsi" w:eastAsia="Calibri" w:hAnsiTheme="minorHAnsi" w:cs="Calibri"/>
          <w:sz w:val="24"/>
          <w:szCs w:val="24"/>
        </w:rPr>
        <w:t xml:space="preserve"> </w:t>
      </w:r>
      <w:r w:rsidR="00F313F2" w:rsidRPr="001C0AFD">
        <w:rPr>
          <w:rFonts w:asciiTheme="minorHAnsi" w:eastAsia="Calibri" w:hAnsiTheme="minorHAnsi" w:cs="Calibri"/>
          <w:sz w:val="24"/>
          <w:szCs w:val="24"/>
        </w:rPr>
        <w:t>consider a full range of possible se</w:t>
      </w:r>
      <w:r w:rsidR="00A42C48" w:rsidRPr="001C0AFD">
        <w:rPr>
          <w:rFonts w:asciiTheme="minorHAnsi" w:eastAsia="Calibri" w:hAnsiTheme="minorHAnsi" w:cs="Calibri"/>
          <w:sz w:val="24"/>
          <w:szCs w:val="24"/>
        </w:rPr>
        <w:t xml:space="preserve">rvices, not </w:t>
      </w:r>
      <w:r w:rsidR="00086D7F" w:rsidRPr="001C0AFD">
        <w:rPr>
          <w:rFonts w:asciiTheme="minorHAnsi" w:eastAsia="Calibri" w:hAnsiTheme="minorHAnsi" w:cs="Calibri"/>
          <w:sz w:val="24"/>
          <w:szCs w:val="24"/>
        </w:rPr>
        <w:t>limited by existing programming</w:t>
      </w:r>
      <w:r w:rsidR="003E29F2" w:rsidRPr="001C0AFD">
        <w:rPr>
          <w:rFonts w:asciiTheme="minorHAnsi" w:eastAsia="Calibri" w:hAnsiTheme="minorHAnsi" w:cs="Calibri"/>
          <w:sz w:val="24"/>
          <w:szCs w:val="24"/>
        </w:rPr>
        <w:t xml:space="preserve"> or disability type</w:t>
      </w:r>
      <w:r w:rsidR="00086D7F" w:rsidRPr="001C0AFD">
        <w:rPr>
          <w:rFonts w:asciiTheme="minorHAnsi" w:eastAsia="Calibri" w:hAnsiTheme="minorHAnsi" w:cs="Calibri"/>
          <w:sz w:val="24"/>
          <w:szCs w:val="24"/>
        </w:rPr>
        <w:t>.</w:t>
      </w:r>
      <w:r w:rsidR="00A42C48">
        <w:rPr>
          <w:rFonts w:asciiTheme="minorHAnsi" w:eastAsia="Calibri" w:hAnsiTheme="minorHAnsi" w:cs="Calibri"/>
          <w:sz w:val="24"/>
          <w:szCs w:val="24"/>
        </w:rPr>
        <w:t xml:space="preserve"> </w:t>
      </w:r>
    </w:p>
    <w:p w:rsidR="0094430F" w:rsidRPr="0040392C" w:rsidRDefault="006B5191" w:rsidP="00DA570D">
      <w:pPr>
        <w:spacing w:before="120" w:after="120"/>
        <w:rPr>
          <w:rFonts w:asciiTheme="minorHAnsi" w:eastAsia="Calibri" w:hAnsiTheme="minorHAnsi" w:cs="Calibri"/>
          <w:sz w:val="24"/>
          <w:szCs w:val="24"/>
        </w:rPr>
      </w:pPr>
      <w:r>
        <w:rPr>
          <w:rFonts w:asciiTheme="minorHAnsi" w:eastAsia="Calibri" w:hAnsiTheme="minorHAnsi" w:cs="Calibri"/>
          <w:sz w:val="24"/>
          <w:szCs w:val="24"/>
        </w:rPr>
        <w:t xml:space="preserve">All students, with and without disabilities, can benefit from </w:t>
      </w:r>
      <w:r w:rsidR="004466A8">
        <w:rPr>
          <w:rFonts w:asciiTheme="minorHAnsi" w:eastAsia="Calibri" w:hAnsiTheme="minorHAnsi" w:cs="Calibri"/>
          <w:sz w:val="24"/>
          <w:szCs w:val="24"/>
        </w:rPr>
        <w:t>a variety of</w:t>
      </w:r>
      <w:r>
        <w:rPr>
          <w:rFonts w:asciiTheme="minorHAnsi" w:eastAsia="Calibri" w:hAnsiTheme="minorHAnsi" w:cs="Calibri"/>
          <w:sz w:val="24"/>
          <w:szCs w:val="24"/>
        </w:rPr>
        <w:t xml:space="preserve"> experiences. </w:t>
      </w:r>
      <w:r w:rsidR="00846099">
        <w:rPr>
          <w:rFonts w:asciiTheme="minorHAnsi" w:eastAsia="Calibri" w:hAnsiTheme="minorHAnsi" w:cs="Calibri"/>
          <w:sz w:val="24"/>
          <w:szCs w:val="24"/>
        </w:rPr>
        <w:t>For example, the ESE’s Career Development Education framework</w:t>
      </w:r>
      <w:r w:rsidR="00846099">
        <w:rPr>
          <w:rStyle w:val="EndnoteReference"/>
          <w:rFonts w:asciiTheme="minorHAnsi" w:eastAsia="Calibri" w:hAnsiTheme="minorHAnsi" w:cs="Calibri"/>
          <w:sz w:val="24"/>
          <w:szCs w:val="24"/>
        </w:rPr>
        <w:endnoteReference w:id="21"/>
      </w:r>
      <w:r w:rsidR="00846099">
        <w:rPr>
          <w:rFonts w:asciiTheme="minorHAnsi" w:eastAsia="Calibri" w:hAnsiTheme="minorHAnsi" w:cs="Calibri"/>
          <w:sz w:val="24"/>
          <w:szCs w:val="24"/>
        </w:rPr>
        <w:t xml:space="preserve"> recommends that all students experience the full continuum of career awareness, career exploration, and career immersion opportunities during high school. M</w:t>
      </w:r>
      <w:r w:rsidR="004466A8">
        <w:rPr>
          <w:rFonts w:asciiTheme="minorHAnsi" w:eastAsia="Calibri" w:hAnsiTheme="minorHAnsi" w:cs="Calibri"/>
          <w:sz w:val="24"/>
          <w:szCs w:val="24"/>
        </w:rPr>
        <w:t xml:space="preserve">any adults find a career that is a good fit by trying out a range of jobs from their teenage years onward. </w:t>
      </w:r>
      <w:r w:rsidR="001C0AFD">
        <w:rPr>
          <w:rFonts w:asciiTheme="minorHAnsi" w:eastAsia="Calibri" w:hAnsiTheme="minorHAnsi" w:cs="Calibri"/>
          <w:sz w:val="24"/>
          <w:szCs w:val="24"/>
        </w:rPr>
        <w:t>As most adults know from personal experience, e</w:t>
      </w:r>
      <w:r w:rsidR="00CD03E2">
        <w:rPr>
          <w:rFonts w:asciiTheme="minorHAnsi" w:eastAsia="Calibri" w:hAnsiTheme="minorHAnsi" w:cs="Calibri"/>
          <w:sz w:val="24"/>
          <w:szCs w:val="24"/>
        </w:rPr>
        <w:t xml:space="preserve">ven a disliked job can teach much about the rules of the workplace, appropriate personal and social skills, persistence and </w:t>
      </w:r>
      <w:r w:rsidR="00B8550F">
        <w:rPr>
          <w:rFonts w:asciiTheme="minorHAnsi" w:eastAsia="Calibri" w:hAnsiTheme="minorHAnsi" w:cs="Calibri"/>
          <w:sz w:val="24"/>
          <w:szCs w:val="24"/>
        </w:rPr>
        <w:t>mot</w:t>
      </w:r>
      <w:r w:rsidR="00CD03E2">
        <w:rPr>
          <w:rFonts w:asciiTheme="minorHAnsi" w:eastAsia="Calibri" w:hAnsiTheme="minorHAnsi" w:cs="Calibri"/>
          <w:sz w:val="24"/>
          <w:szCs w:val="24"/>
        </w:rPr>
        <w:t>ivation</w:t>
      </w:r>
      <w:r w:rsidR="00CD03E2" w:rsidRPr="001C0AFD">
        <w:rPr>
          <w:rFonts w:asciiTheme="minorHAnsi" w:eastAsia="Calibri" w:hAnsiTheme="minorHAnsi" w:cs="Calibri"/>
          <w:sz w:val="24"/>
          <w:szCs w:val="24"/>
        </w:rPr>
        <w:t>, the dignity of work, and</w:t>
      </w:r>
      <w:r w:rsidR="00CD03E2">
        <w:rPr>
          <w:rFonts w:asciiTheme="minorHAnsi" w:eastAsia="Calibri" w:hAnsiTheme="minorHAnsi" w:cs="Calibri"/>
          <w:sz w:val="24"/>
          <w:szCs w:val="24"/>
        </w:rPr>
        <w:t xml:space="preserve"> one’s own </w:t>
      </w:r>
      <w:r w:rsidR="00AF5D8C">
        <w:rPr>
          <w:rFonts w:asciiTheme="minorHAnsi" w:eastAsia="Calibri" w:hAnsiTheme="minorHAnsi" w:cs="Calibri"/>
          <w:sz w:val="24"/>
          <w:szCs w:val="24"/>
        </w:rPr>
        <w:t>inclinations</w:t>
      </w:r>
      <w:r w:rsidR="00CD03E2">
        <w:rPr>
          <w:rFonts w:asciiTheme="minorHAnsi" w:eastAsia="Calibri" w:hAnsiTheme="minorHAnsi" w:cs="Calibri"/>
          <w:sz w:val="24"/>
          <w:szCs w:val="24"/>
        </w:rPr>
        <w:t xml:space="preserve">. </w:t>
      </w:r>
      <w:r w:rsidR="00846099">
        <w:rPr>
          <w:rFonts w:asciiTheme="minorHAnsi" w:eastAsia="Calibri" w:hAnsiTheme="minorHAnsi" w:cs="Calibri"/>
          <w:sz w:val="24"/>
          <w:szCs w:val="24"/>
        </w:rPr>
        <w:t xml:space="preserve">As much as possible, however, students’ experiences should align with their individual preferences and interests. Students should not </w:t>
      </w:r>
      <w:r w:rsidR="00846099" w:rsidRPr="001C0AFD">
        <w:rPr>
          <w:rFonts w:asciiTheme="minorHAnsi" w:eastAsia="Calibri" w:hAnsiTheme="minorHAnsi" w:cs="Calibri"/>
          <w:sz w:val="24"/>
          <w:szCs w:val="24"/>
        </w:rPr>
        <w:t xml:space="preserve">be placed </w:t>
      </w:r>
      <w:r w:rsidR="00D3620A" w:rsidRPr="001C0AFD">
        <w:rPr>
          <w:rFonts w:asciiTheme="minorHAnsi" w:eastAsia="Calibri" w:hAnsiTheme="minorHAnsi" w:cs="Calibri"/>
          <w:sz w:val="24"/>
          <w:szCs w:val="24"/>
        </w:rPr>
        <w:t>indefinitely</w:t>
      </w:r>
      <w:r w:rsidR="00846099" w:rsidRPr="001C0AFD">
        <w:rPr>
          <w:rFonts w:asciiTheme="minorHAnsi" w:eastAsia="Calibri" w:hAnsiTheme="minorHAnsi" w:cs="Calibri"/>
          <w:sz w:val="24"/>
          <w:szCs w:val="24"/>
        </w:rPr>
        <w:t xml:space="preserve"> in a disliked setting</w:t>
      </w:r>
      <w:r w:rsidR="00590F2D" w:rsidRPr="001C0AFD">
        <w:rPr>
          <w:rFonts w:asciiTheme="minorHAnsi" w:eastAsia="Calibri" w:hAnsiTheme="minorHAnsi" w:cs="Calibri"/>
          <w:sz w:val="24"/>
          <w:szCs w:val="24"/>
        </w:rPr>
        <w:t>, or</w:t>
      </w:r>
      <w:r w:rsidR="00590F2D">
        <w:rPr>
          <w:rFonts w:asciiTheme="minorHAnsi" w:eastAsia="Calibri" w:hAnsiTheme="minorHAnsi" w:cs="Calibri"/>
          <w:sz w:val="24"/>
          <w:szCs w:val="24"/>
        </w:rPr>
        <w:t xml:space="preserve"> in a setting that has no relationship to the student’s postsecondary goals.</w:t>
      </w:r>
      <w:r w:rsidR="00B8550F">
        <w:rPr>
          <w:rFonts w:asciiTheme="minorHAnsi" w:eastAsia="Calibri" w:hAnsiTheme="minorHAnsi" w:cs="Calibri"/>
          <w:sz w:val="24"/>
          <w:szCs w:val="24"/>
        </w:rPr>
        <w:t xml:space="preserve"> </w:t>
      </w:r>
      <w:r w:rsidR="000741C2">
        <w:rPr>
          <w:rFonts w:asciiTheme="minorHAnsi" w:eastAsia="Calibri" w:hAnsiTheme="minorHAnsi" w:cs="Calibri"/>
          <w:sz w:val="24"/>
          <w:szCs w:val="24"/>
        </w:rPr>
        <w:t>Students with disabilities drop out of school</w:t>
      </w:r>
      <w:r w:rsidR="00C16E5A">
        <w:rPr>
          <w:rFonts w:asciiTheme="minorHAnsi" w:eastAsia="Calibri" w:hAnsiTheme="minorHAnsi" w:cs="Calibri"/>
          <w:sz w:val="24"/>
          <w:szCs w:val="24"/>
        </w:rPr>
        <w:t xml:space="preserve"> and fail to graduate</w:t>
      </w:r>
      <w:r w:rsidR="000741C2">
        <w:rPr>
          <w:rFonts w:asciiTheme="minorHAnsi" w:eastAsia="Calibri" w:hAnsiTheme="minorHAnsi" w:cs="Calibri"/>
          <w:sz w:val="24"/>
          <w:szCs w:val="24"/>
        </w:rPr>
        <w:t xml:space="preserve"> at a higher rate than other students</w:t>
      </w:r>
      <w:r w:rsidR="00C16E5A">
        <w:rPr>
          <w:rFonts w:asciiTheme="minorHAnsi" w:eastAsia="Calibri" w:hAnsiTheme="minorHAnsi" w:cs="Calibri"/>
          <w:sz w:val="24"/>
          <w:szCs w:val="24"/>
        </w:rPr>
        <w:t>.</w:t>
      </w:r>
      <w:r w:rsidR="00524D64">
        <w:rPr>
          <w:rStyle w:val="EndnoteReference"/>
          <w:rFonts w:asciiTheme="minorHAnsi" w:eastAsia="Calibri" w:hAnsiTheme="minorHAnsi" w:cs="Calibri"/>
          <w:sz w:val="24"/>
          <w:szCs w:val="24"/>
        </w:rPr>
        <w:endnoteReference w:id="22"/>
      </w:r>
      <w:r w:rsidR="00C16E5A">
        <w:rPr>
          <w:rFonts w:asciiTheme="minorHAnsi" w:eastAsia="Calibri" w:hAnsiTheme="minorHAnsi" w:cs="Calibri"/>
          <w:sz w:val="24"/>
          <w:szCs w:val="24"/>
        </w:rPr>
        <w:t xml:space="preserve"> </w:t>
      </w:r>
      <w:r w:rsidR="001C0AFD">
        <w:rPr>
          <w:rFonts w:asciiTheme="minorHAnsi" w:eastAsia="Calibri" w:hAnsiTheme="minorHAnsi" w:cs="Calibri"/>
          <w:sz w:val="24"/>
          <w:szCs w:val="24"/>
        </w:rPr>
        <w:t>To</w:t>
      </w:r>
      <w:r w:rsidR="00C16E5A">
        <w:rPr>
          <w:rFonts w:asciiTheme="minorHAnsi" w:eastAsia="Calibri" w:hAnsiTheme="minorHAnsi" w:cs="Calibri"/>
          <w:sz w:val="24"/>
          <w:szCs w:val="24"/>
        </w:rPr>
        <w:t xml:space="preserve"> stop this trend, we need to</w:t>
      </w:r>
      <w:r w:rsidR="000741C2">
        <w:rPr>
          <w:rFonts w:asciiTheme="minorHAnsi" w:eastAsia="Calibri" w:hAnsiTheme="minorHAnsi" w:cs="Calibri"/>
          <w:sz w:val="24"/>
          <w:szCs w:val="24"/>
        </w:rPr>
        <w:t xml:space="preserve"> support students’ motivations, aspirations, and investment in their own education. The more</w:t>
      </w:r>
      <w:r w:rsidR="00FE7971">
        <w:rPr>
          <w:rFonts w:asciiTheme="minorHAnsi" w:eastAsia="Calibri" w:hAnsiTheme="minorHAnsi" w:cs="Calibri"/>
          <w:sz w:val="24"/>
          <w:szCs w:val="24"/>
        </w:rPr>
        <w:t xml:space="preserve"> students can determine their own futures, the </w:t>
      </w:r>
      <w:r w:rsidR="00FA708E">
        <w:rPr>
          <w:rFonts w:asciiTheme="minorHAnsi" w:eastAsia="Calibri" w:hAnsiTheme="minorHAnsi" w:cs="Calibri"/>
          <w:sz w:val="24"/>
          <w:szCs w:val="24"/>
        </w:rPr>
        <w:t xml:space="preserve">more </w:t>
      </w:r>
      <w:r w:rsidR="00FE7971">
        <w:rPr>
          <w:rFonts w:asciiTheme="minorHAnsi" w:eastAsia="Calibri" w:hAnsiTheme="minorHAnsi" w:cs="Calibri"/>
          <w:sz w:val="24"/>
          <w:szCs w:val="24"/>
        </w:rPr>
        <w:t xml:space="preserve">promising those futures are likely to be. </w:t>
      </w:r>
      <w:r w:rsidR="00B8550F">
        <w:rPr>
          <w:rFonts w:asciiTheme="minorHAnsi" w:eastAsia="Calibri" w:hAnsiTheme="minorHAnsi" w:cs="Calibri"/>
          <w:sz w:val="24"/>
          <w:szCs w:val="24"/>
        </w:rPr>
        <w:t xml:space="preserve">Of course, </w:t>
      </w:r>
      <w:r w:rsidR="001C0AFD">
        <w:rPr>
          <w:rFonts w:asciiTheme="minorHAnsi" w:eastAsia="Calibri" w:hAnsiTheme="minorHAnsi" w:cs="Calibri"/>
          <w:sz w:val="24"/>
          <w:szCs w:val="24"/>
        </w:rPr>
        <w:t xml:space="preserve">all </w:t>
      </w:r>
      <w:r w:rsidR="00B8550F">
        <w:rPr>
          <w:rFonts w:asciiTheme="minorHAnsi" w:eastAsia="Calibri" w:hAnsiTheme="minorHAnsi" w:cs="Calibri"/>
          <w:sz w:val="24"/>
          <w:szCs w:val="24"/>
        </w:rPr>
        <w:t xml:space="preserve">young people grow and mature each year, and their preferences and interests will change based on their experiences and the natural developmental process. Transition services </w:t>
      </w:r>
      <w:r w:rsidR="00B8550F" w:rsidRPr="0040392C">
        <w:rPr>
          <w:rFonts w:asciiTheme="minorHAnsi" w:eastAsia="Calibri" w:hAnsiTheme="minorHAnsi" w:cs="Calibri"/>
          <w:sz w:val="24"/>
          <w:szCs w:val="24"/>
        </w:rPr>
        <w:t xml:space="preserve">need to change and adapt </w:t>
      </w:r>
      <w:r w:rsidR="0067192F" w:rsidRPr="0040392C">
        <w:rPr>
          <w:rFonts w:asciiTheme="minorHAnsi" w:eastAsia="Calibri" w:hAnsiTheme="minorHAnsi" w:cs="Calibri"/>
          <w:sz w:val="24"/>
          <w:szCs w:val="24"/>
        </w:rPr>
        <w:t>with them</w:t>
      </w:r>
      <w:r w:rsidR="00B8550F" w:rsidRPr="0040392C">
        <w:rPr>
          <w:rFonts w:asciiTheme="minorHAnsi" w:eastAsia="Calibri" w:hAnsiTheme="minorHAnsi" w:cs="Calibri"/>
          <w:sz w:val="24"/>
          <w:szCs w:val="24"/>
        </w:rPr>
        <w:t>.</w:t>
      </w:r>
    </w:p>
    <w:p w:rsidR="00525FC9" w:rsidRDefault="00844DF0" w:rsidP="00C85D15">
      <w:pPr>
        <w:spacing w:before="120" w:after="240"/>
        <w:rPr>
          <w:rFonts w:asciiTheme="minorHAnsi" w:eastAsia="Calibri" w:hAnsiTheme="minorHAnsi" w:cs="Calibri"/>
          <w:sz w:val="24"/>
          <w:szCs w:val="24"/>
        </w:rPr>
      </w:pPr>
      <w:r w:rsidRPr="001D0641">
        <w:rPr>
          <w:rFonts w:asciiTheme="minorHAnsi" w:eastAsia="Calibri" w:hAnsiTheme="minorHAnsi" w:cs="Calibri"/>
          <w:sz w:val="24"/>
          <w:szCs w:val="24"/>
        </w:rPr>
        <w:t xml:space="preserve">Addressing each student’s individual needs </w:t>
      </w:r>
      <w:r w:rsidR="00BE3F13" w:rsidRPr="001D0641">
        <w:rPr>
          <w:rFonts w:asciiTheme="minorHAnsi" w:eastAsia="Calibri" w:hAnsiTheme="minorHAnsi" w:cs="Calibri"/>
          <w:sz w:val="24"/>
          <w:szCs w:val="24"/>
        </w:rPr>
        <w:t xml:space="preserve">often </w:t>
      </w:r>
      <w:r w:rsidRPr="001D0641">
        <w:rPr>
          <w:rFonts w:asciiTheme="minorHAnsi" w:eastAsia="Calibri" w:hAnsiTheme="minorHAnsi" w:cs="Calibri"/>
          <w:sz w:val="24"/>
          <w:szCs w:val="24"/>
        </w:rPr>
        <w:t>require</w:t>
      </w:r>
      <w:r w:rsidR="00001551" w:rsidRPr="001D0641">
        <w:rPr>
          <w:rFonts w:asciiTheme="minorHAnsi" w:eastAsia="Calibri" w:hAnsiTheme="minorHAnsi" w:cs="Calibri"/>
          <w:sz w:val="24"/>
          <w:szCs w:val="24"/>
        </w:rPr>
        <w:t>s</w:t>
      </w:r>
      <w:r w:rsidRPr="001D0641">
        <w:rPr>
          <w:rFonts w:asciiTheme="minorHAnsi" w:eastAsia="Calibri" w:hAnsiTheme="minorHAnsi" w:cs="Calibri"/>
          <w:sz w:val="24"/>
          <w:szCs w:val="24"/>
        </w:rPr>
        <w:t xml:space="preserve"> creating and supporting individualized learning opportunities in the community – for example, by assisting individual </w:t>
      </w:r>
      <w:r w:rsidRPr="0040392C">
        <w:rPr>
          <w:rFonts w:asciiTheme="minorHAnsi" w:eastAsia="Calibri" w:hAnsiTheme="minorHAnsi" w:cs="Calibri"/>
          <w:sz w:val="24"/>
          <w:szCs w:val="24"/>
        </w:rPr>
        <w:t>students to access higher education</w:t>
      </w:r>
      <w:r w:rsidR="003D13E7" w:rsidRPr="0040392C">
        <w:rPr>
          <w:rFonts w:asciiTheme="minorHAnsi" w:eastAsia="Calibri" w:hAnsiTheme="minorHAnsi" w:cs="Calibri"/>
          <w:sz w:val="24"/>
          <w:szCs w:val="24"/>
        </w:rPr>
        <w:t xml:space="preserve"> courses</w:t>
      </w:r>
      <w:r w:rsidRPr="0040392C">
        <w:rPr>
          <w:rFonts w:asciiTheme="minorHAnsi" w:eastAsia="Calibri" w:hAnsiTheme="minorHAnsi" w:cs="Calibri"/>
          <w:sz w:val="24"/>
          <w:szCs w:val="24"/>
        </w:rPr>
        <w:t xml:space="preserve">, </w:t>
      </w:r>
      <w:r w:rsidR="00925A08" w:rsidRPr="0040392C">
        <w:rPr>
          <w:rFonts w:asciiTheme="minorHAnsi" w:eastAsia="Calibri" w:hAnsiTheme="minorHAnsi" w:cs="Calibri"/>
          <w:sz w:val="24"/>
          <w:szCs w:val="24"/>
        </w:rPr>
        <w:t xml:space="preserve">customizing </w:t>
      </w:r>
      <w:r w:rsidRPr="0040392C">
        <w:rPr>
          <w:rFonts w:asciiTheme="minorHAnsi" w:eastAsia="Calibri" w:hAnsiTheme="minorHAnsi" w:cs="Calibri"/>
          <w:sz w:val="24"/>
          <w:szCs w:val="24"/>
        </w:rPr>
        <w:t>authentic paid employment</w:t>
      </w:r>
      <w:r w:rsidR="00925A08" w:rsidRPr="0040392C">
        <w:rPr>
          <w:rFonts w:asciiTheme="minorHAnsi" w:eastAsia="Calibri" w:hAnsiTheme="minorHAnsi" w:cs="Calibri"/>
          <w:sz w:val="24"/>
          <w:szCs w:val="24"/>
        </w:rPr>
        <w:t xml:space="preserve"> opportunities</w:t>
      </w:r>
      <w:r w:rsidR="008343F1" w:rsidRPr="0040392C">
        <w:rPr>
          <w:rFonts w:asciiTheme="minorHAnsi" w:eastAsia="Calibri" w:hAnsiTheme="minorHAnsi" w:cs="Calibri"/>
          <w:sz w:val="24"/>
          <w:szCs w:val="24"/>
        </w:rPr>
        <w:t>,</w:t>
      </w:r>
      <w:r w:rsidR="00001551" w:rsidRPr="0040392C">
        <w:rPr>
          <w:rFonts w:asciiTheme="minorHAnsi" w:eastAsia="Calibri" w:hAnsiTheme="minorHAnsi" w:cs="Calibri"/>
          <w:sz w:val="24"/>
          <w:szCs w:val="24"/>
        </w:rPr>
        <w:t xml:space="preserve"> or </w:t>
      </w:r>
      <w:r w:rsidR="00925A08" w:rsidRPr="0040392C">
        <w:rPr>
          <w:rFonts w:asciiTheme="minorHAnsi" w:eastAsia="Calibri" w:hAnsiTheme="minorHAnsi" w:cs="Calibri"/>
          <w:sz w:val="24"/>
          <w:szCs w:val="24"/>
        </w:rPr>
        <w:t xml:space="preserve">facilitating/preparing for meaningful </w:t>
      </w:r>
      <w:r w:rsidR="00001551" w:rsidRPr="0040392C">
        <w:rPr>
          <w:rFonts w:asciiTheme="minorHAnsi" w:eastAsia="Calibri" w:hAnsiTheme="minorHAnsi" w:cs="Calibri"/>
          <w:sz w:val="24"/>
          <w:szCs w:val="24"/>
        </w:rPr>
        <w:t>participat</w:t>
      </w:r>
      <w:r w:rsidR="00925A08" w:rsidRPr="0040392C">
        <w:rPr>
          <w:rFonts w:asciiTheme="minorHAnsi" w:eastAsia="Calibri" w:hAnsiTheme="minorHAnsi" w:cs="Calibri"/>
          <w:sz w:val="24"/>
          <w:szCs w:val="24"/>
        </w:rPr>
        <w:t>ion</w:t>
      </w:r>
      <w:r w:rsidR="00001551" w:rsidRPr="0040392C">
        <w:rPr>
          <w:rFonts w:asciiTheme="minorHAnsi" w:eastAsia="Calibri" w:hAnsiTheme="minorHAnsi" w:cs="Calibri"/>
          <w:sz w:val="24"/>
          <w:szCs w:val="24"/>
        </w:rPr>
        <w:t xml:space="preserve"> in leisure and recreational activities</w:t>
      </w:r>
      <w:r w:rsidR="00AA00F8">
        <w:rPr>
          <w:rFonts w:asciiTheme="minorHAnsi" w:eastAsia="Calibri" w:hAnsiTheme="minorHAnsi" w:cs="Calibri"/>
          <w:sz w:val="24"/>
          <w:szCs w:val="24"/>
        </w:rPr>
        <w:t>.</w:t>
      </w:r>
      <w:r w:rsidRPr="001D0641">
        <w:rPr>
          <w:rFonts w:asciiTheme="minorHAnsi" w:eastAsia="Calibri" w:hAnsiTheme="minorHAnsi" w:cs="Calibri"/>
          <w:sz w:val="24"/>
          <w:szCs w:val="24"/>
        </w:rPr>
        <w:t xml:space="preserve"> </w:t>
      </w:r>
    </w:p>
    <w:p w:rsidR="00844DF0" w:rsidRPr="00A76674" w:rsidRDefault="00D3229A" w:rsidP="00A76674">
      <w:pPr>
        <w:pStyle w:val="Heading3"/>
        <w:spacing w:after="120" w:line="240" w:lineRule="auto"/>
        <w:rPr>
          <w:rFonts w:asciiTheme="majorHAnsi" w:hAnsiTheme="majorHAnsi"/>
          <w:color w:val="1F497D" w:themeColor="text2"/>
        </w:rPr>
      </w:pPr>
      <w:r>
        <w:rPr>
          <w:rFonts w:asciiTheme="majorHAnsi" w:hAnsiTheme="majorHAnsi"/>
          <w:color w:val="1F497D" w:themeColor="text2"/>
        </w:rPr>
        <w:t>Characteristic</w:t>
      </w:r>
      <w:r w:rsidR="0077613A" w:rsidRPr="00A76674">
        <w:rPr>
          <w:rFonts w:asciiTheme="majorHAnsi" w:hAnsiTheme="majorHAnsi"/>
          <w:color w:val="1F497D" w:themeColor="text2"/>
        </w:rPr>
        <w:t xml:space="preserve"> #3: Transition services should be results</w:t>
      </w:r>
      <w:r w:rsidR="00553971" w:rsidRPr="00A76674">
        <w:rPr>
          <w:rFonts w:asciiTheme="majorHAnsi" w:hAnsiTheme="majorHAnsi"/>
          <w:color w:val="1F497D" w:themeColor="text2"/>
        </w:rPr>
        <w:t xml:space="preserve"> </w:t>
      </w:r>
      <w:r w:rsidR="0077613A" w:rsidRPr="00A76674">
        <w:rPr>
          <w:rFonts w:asciiTheme="majorHAnsi" w:hAnsiTheme="majorHAnsi"/>
          <w:color w:val="1F497D" w:themeColor="text2"/>
        </w:rPr>
        <w:t>oriented.</w:t>
      </w:r>
    </w:p>
    <w:p w:rsidR="00844DF0" w:rsidRPr="007F1D82" w:rsidRDefault="00844DF0" w:rsidP="00AA1AFC">
      <w:pPr>
        <w:spacing w:before="120" w:after="120"/>
        <w:rPr>
          <w:rFonts w:asciiTheme="minorHAnsi" w:hAnsiTheme="minorHAnsi"/>
          <w:sz w:val="24"/>
          <w:szCs w:val="24"/>
        </w:rPr>
      </w:pPr>
      <w:r w:rsidRPr="001D0641">
        <w:rPr>
          <w:rFonts w:asciiTheme="minorHAnsi" w:eastAsia="Calibri" w:hAnsiTheme="minorHAnsi" w:cs="Calibri"/>
          <w:sz w:val="24"/>
          <w:szCs w:val="24"/>
        </w:rPr>
        <w:t>Transition services must be results</w:t>
      </w:r>
      <w:r w:rsidR="00E365E0">
        <w:rPr>
          <w:rFonts w:asciiTheme="minorHAnsi" w:eastAsia="Calibri" w:hAnsiTheme="minorHAnsi" w:cs="Calibri"/>
          <w:sz w:val="24"/>
          <w:szCs w:val="24"/>
        </w:rPr>
        <w:t xml:space="preserve"> </w:t>
      </w:r>
      <w:r w:rsidRPr="001D0641">
        <w:rPr>
          <w:rFonts w:asciiTheme="minorHAnsi" w:eastAsia="Calibri" w:hAnsiTheme="minorHAnsi" w:cs="Calibri"/>
          <w:sz w:val="24"/>
          <w:szCs w:val="24"/>
        </w:rPr>
        <w:t>oriented</w:t>
      </w:r>
      <w:r w:rsidR="00B433B1" w:rsidRPr="001D0641">
        <w:rPr>
          <w:rFonts w:asciiTheme="minorHAnsi" w:eastAsia="Calibri" w:hAnsiTheme="minorHAnsi" w:cs="Calibri"/>
          <w:sz w:val="24"/>
          <w:szCs w:val="24"/>
        </w:rPr>
        <w:t>.</w:t>
      </w:r>
      <w:r w:rsidRPr="001D0641">
        <w:rPr>
          <w:rFonts w:asciiTheme="minorHAnsi" w:eastAsia="Calibri" w:hAnsiTheme="minorHAnsi" w:cs="Calibri"/>
          <w:sz w:val="24"/>
          <w:szCs w:val="24"/>
          <w:vertAlign w:val="superscript"/>
        </w:rPr>
        <w:endnoteReference w:id="23"/>
      </w:r>
      <w:r w:rsidRPr="001D0641">
        <w:rPr>
          <w:rFonts w:asciiTheme="minorHAnsi" w:eastAsia="Calibri" w:hAnsiTheme="minorHAnsi" w:cs="Calibri"/>
          <w:sz w:val="24"/>
          <w:szCs w:val="24"/>
        </w:rPr>
        <w:t xml:space="preserve"> </w:t>
      </w:r>
      <w:r w:rsidR="00B433B1" w:rsidRPr="001D0641">
        <w:rPr>
          <w:rFonts w:asciiTheme="minorHAnsi" w:eastAsia="Calibri" w:hAnsiTheme="minorHAnsi" w:cs="Calibri"/>
          <w:sz w:val="24"/>
          <w:szCs w:val="24"/>
        </w:rPr>
        <w:t>In other words</w:t>
      </w:r>
      <w:r w:rsidR="008750A2" w:rsidRPr="001D0641">
        <w:rPr>
          <w:rFonts w:asciiTheme="minorHAnsi" w:eastAsia="Calibri" w:hAnsiTheme="minorHAnsi" w:cs="Calibri"/>
          <w:sz w:val="24"/>
          <w:szCs w:val="24"/>
        </w:rPr>
        <w:t>, they must develop</w:t>
      </w:r>
      <w:r w:rsidR="00AA35A3" w:rsidRPr="001D0641">
        <w:rPr>
          <w:rFonts w:asciiTheme="minorHAnsi" w:eastAsia="Calibri" w:hAnsiTheme="minorHAnsi" w:cs="Calibri"/>
          <w:sz w:val="24"/>
          <w:szCs w:val="24"/>
        </w:rPr>
        <w:t xml:space="preserve"> </w:t>
      </w:r>
      <w:r w:rsidRPr="001D0641">
        <w:rPr>
          <w:rFonts w:asciiTheme="minorHAnsi" w:eastAsia="Calibri" w:hAnsiTheme="minorHAnsi" w:cs="Calibri"/>
          <w:sz w:val="24"/>
          <w:szCs w:val="24"/>
        </w:rPr>
        <w:t xml:space="preserve">students’ functional and academic skills </w:t>
      </w:r>
      <w:r w:rsidR="00001551" w:rsidRPr="001D0641">
        <w:rPr>
          <w:rFonts w:asciiTheme="minorHAnsi" w:eastAsia="Calibri" w:hAnsiTheme="minorHAnsi" w:cs="Calibri"/>
          <w:sz w:val="24"/>
          <w:szCs w:val="24"/>
        </w:rPr>
        <w:t xml:space="preserve">needed </w:t>
      </w:r>
      <w:r w:rsidRPr="001D0641">
        <w:rPr>
          <w:rFonts w:asciiTheme="minorHAnsi" w:eastAsia="Calibri" w:hAnsiTheme="minorHAnsi" w:cs="Calibri"/>
          <w:sz w:val="24"/>
          <w:szCs w:val="24"/>
        </w:rPr>
        <w:t xml:space="preserve">to make </w:t>
      </w:r>
      <w:r w:rsidR="007A3967" w:rsidRPr="001D0641">
        <w:rPr>
          <w:rFonts w:asciiTheme="minorHAnsi" w:eastAsia="Calibri" w:hAnsiTheme="minorHAnsi" w:cs="Calibri"/>
          <w:sz w:val="24"/>
          <w:szCs w:val="24"/>
        </w:rPr>
        <w:t xml:space="preserve">meaningful and </w:t>
      </w:r>
      <w:r w:rsidRPr="001D0641">
        <w:rPr>
          <w:rFonts w:asciiTheme="minorHAnsi" w:eastAsia="Calibri" w:hAnsiTheme="minorHAnsi" w:cs="Calibri"/>
          <w:sz w:val="24"/>
          <w:szCs w:val="24"/>
        </w:rPr>
        <w:t>effective</w:t>
      </w:r>
      <w:r w:rsidR="007A3967" w:rsidRPr="001D0641">
        <w:rPr>
          <w:rFonts w:asciiTheme="minorHAnsi" w:eastAsia="Calibri" w:hAnsiTheme="minorHAnsi" w:cs="Calibri"/>
          <w:sz w:val="24"/>
          <w:szCs w:val="24"/>
        </w:rPr>
        <w:t xml:space="preserve"> </w:t>
      </w:r>
      <w:r w:rsidRPr="001D0641">
        <w:rPr>
          <w:rFonts w:asciiTheme="minorHAnsi" w:eastAsia="Calibri" w:hAnsiTheme="minorHAnsi" w:cs="Calibri"/>
          <w:sz w:val="24"/>
          <w:szCs w:val="24"/>
        </w:rPr>
        <w:t>progress towards achieving their postsecondary goals</w:t>
      </w:r>
      <w:r w:rsidR="00207492">
        <w:rPr>
          <w:rFonts w:asciiTheme="minorHAnsi" w:eastAsia="Calibri" w:hAnsiTheme="minorHAnsi" w:cs="Calibri"/>
          <w:sz w:val="24"/>
          <w:szCs w:val="24"/>
        </w:rPr>
        <w:t xml:space="preserve"> in the domains of </w:t>
      </w:r>
      <w:r w:rsidR="00207492" w:rsidRPr="001D0641">
        <w:rPr>
          <w:rFonts w:asciiTheme="minorHAnsi" w:eastAsia="Calibri" w:hAnsiTheme="minorHAnsi" w:cs="Calibri"/>
          <w:sz w:val="24"/>
          <w:szCs w:val="24"/>
        </w:rPr>
        <w:t xml:space="preserve">postsecondary education/training, competitive </w:t>
      </w:r>
      <w:r w:rsidR="00207492" w:rsidRPr="00AA00F8">
        <w:rPr>
          <w:rFonts w:asciiTheme="minorHAnsi" w:eastAsia="Calibri" w:hAnsiTheme="minorHAnsi" w:cs="Calibri"/>
          <w:sz w:val="24"/>
          <w:szCs w:val="24"/>
        </w:rPr>
        <w:t>employment, independent living</w:t>
      </w:r>
      <w:r w:rsidR="0071203A">
        <w:rPr>
          <w:rFonts w:asciiTheme="minorHAnsi" w:eastAsia="Calibri" w:hAnsiTheme="minorHAnsi" w:cs="Calibri"/>
          <w:sz w:val="24"/>
          <w:szCs w:val="24"/>
        </w:rPr>
        <w:t>,</w:t>
      </w:r>
      <w:r w:rsidR="00207492" w:rsidRPr="00AA00F8">
        <w:rPr>
          <w:rFonts w:asciiTheme="minorHAnsi" w:eastAsia="Calibri" w:hAnsiTheme="minorHAnsi" w:cs="Calibri"/>
          <w:sz w:val="24"/>
          <w:szCs w:val="24"/>
        </w:rPr>
        <w:t xml:space="preserve"> and community participation</w:t>
      </w:r>
      <w:r w:rsidR="0071203A">
        <w:rPr>
          <w:rFonts w:asciiTheme="minorHAnsi" w:eastAsia="Calibri" w:hAnsiTheme="minorHAnsi" w:cs="Calibri"/>
          <w:sz w:val="24"/>
          <w:szCs w:val="24"/>
        </w:rPr>
        <w:t xml:space="preserve"> as appropriate to each student</w:t>
      </w:r>
      <w:r w:rsidRPr="00AA00F8">
        <w:rPr>
          <w:rFonts w:asciiTheme="minorHAnsi" w:eastAsia="Calibri" w:hAnsiTheme="minorHAnsi" w:cs="Calibri"/>
          <w:sz w:val="24"/>
          <w:szCs w:val="24"/>
        </w:rPr>
        <w:t>.</w:t>
      </w:r>
      <w:r w:rsidRPr="00AA00F8">
        <w:rPr>
          <w:rFonts w:asciiTheme="minorHAnsi" w:eastAsia="Calibri" w:hAnsiTheme="minorHAnsi" w:cs="Calibri"/>
          <w:sz w:val="24"/>
          <w:szCs w:val="24"/>
          <w:vertAlign w:val="superscript"/>
        </w:rPr>
        <w:endnoteReference w:id="24"/>
      </w:r>
      <w:r w:rsidRPr="00AA00F8">
        <w:rPr>
          <w:rFonts w:asciiTheme="minorHAnsi" w:eastAsia="Calibri" w:hAnsiTheme="minorHAnsi" w:cs="Calibri"/>
          <w:sz w:val="24"/>
          <w:szCs w:val="24"/>
        </w:rPr>
        <w:t xml:space="preserve"> The IDEA emphasizes that providing effective transition services to promote successful post-school employment</w:t>
      </w:r>
      <w:r w:rsidRPr="001D0641">
        <w:rPr>
          <w:rFonts w:asciiTheme="minorHAnsi" w:eastAsia="Calibri" w:hAnsiTheme="minorHAnsi" w:cs="Calibri"/>
          <w:sz w:val="24"/>
          <w:szCs w:val="24"/>
        </w:rPr>
        <w:t xml:space="preserve"> or education is an important measure of accountability for </w:t>
      </w:r>
      <w:r w:rsidR="00B433B1" w:rsidRPr="001D0641">
        <w:rPr>
          <w:rFonts w:asciiTheme="minorHAnsi" w:eastAsia="Calibri" w:hAnsiTheme="minorHAnsi" w:cs="Calibri"/>
          <w:sz w:val="24"/>
          <w:szCs w:val="24"/>
        </w:rPr>
        <w:lastRenderedPageBreak/>
        <w:t>students</w:t>
      </w:r>
      <w:r w:rsidRPr="001D0641">
        <w:rPr>
          <w:rFonts w:asciiTheme="minorHAnsi" w:eastAsia="Calibri" w:hAnsiTheme="minorHAnsi" w:cs="Calibri"/>
          <w:sz w:val="24"/>
          <w:szCs w:val="24"/>
        </w:rPr>
        <w:t xml:space="preserve"> with disabilities.</w:t>
      </w:r>
      <w:r w:rsidRPr="001D0641">
        <w:rPr>
          <w:rFonts w:asciiTheme="minorHAnsi" w:eastAsia="Calibri" w:hAnsiTheme="minorHAnsi" w:cs="Calibri"/>
          <w:sz w:val="24"/>
          <w:szCs w:val="24"/>
          <w:vertAlign w:val="superscript"/>
        </w:rPr>
        <w:endnoteReference w:id="25"/>
      </w:r>
      <w:r w:rsidRPr="001D0641">
        <w:rPr>
          <w:rFonts w:asciiTheme="minorHAnsi" w:eastAsia="Calibri" w:hAnsiTheme="minorHAnsi" w:cs="Calibri"/>
          <w:sz w:val="24"/>
          <w:szCs w:val="24"/>
        </w:rPr>
        <w:t xml:space="preserve"> </w:t>
      </w:r>
      <w:r w:rsidR="00C034E3">
        <w:rPr>
          <w:rFonts w:asciiTheme="minorHAnsi" w:eastAsia="Calibri" w:hAnsiTheme="minorHAnsi" w:cs="Calibri"/>
          <w:sz w:val="24"/>
          <w:szCs w:val="24"/>
        </w:rPr>
        <w:t xml:space="preserve">Students’ ongoing acquisition of functional and academic skills is </w:t>
      </w:r>
      <w:r w:rsidR="00C034E3" w:rsidRPr="007F1D82">
        <w:rPr>
          <w:rFonts w:asciiTheme="minorHAnsi" w:eastAsia="Calibri" w:hAnsiTheme="minorHAnsi" w:cs="Calibri"/>
          <w:sz w:val="24"/>
          <w:szCs w:val="24"/>
        </w:rPr>
        <w:t xml:space="preserve">monitored through </w:t>
      </w:r>
      <w:r w:rsidR="00172BBE" w:rsidRPr="007F1D82">
        <w:rPr>
          <w:rFonts w:asciiTheme="minorHAnsi" w:eastAsia="Calibri" w:hAnsiTheme="minorHAnsi" w:cs="Calibri"/>
          <w:sz w:val="24"/>
          <w:szCs w:val="24"/>
        </w:rPr>
        <w:t xml:space="preserve">formal and informal </w:t>
      </w:r>
      <w:r w:rsidR="00C034E3" w:rsidRPr="007F1D82">
        <w:rPr>
          <w:rFonts w:asciiTheme="minorHAnsi" w:eastAsia="Calibri" w:hAnsiTheme="minorHAnsi" w:cs="Calibri"/>
          <w:sz w:val="24"/>
          <w:szCs w:val="24"/>
        </w:rPr>
        <w:t>transition assessment.</w:t>
      </w:r>
    </w:p>
    <w:p w:rsidR="00A62F0D" w:rsidRPr="007F1D82" w:rsidRDefault="0077613A" w:rsidP="00181650">
      <w:pPr>
        <w:spacing w:before="120" w:after="120"/>
        <w:rPr>
          <w:rFonts w:asciiTheme="minorHAnsi" w:eastAsia="Calibri" w:hAnsiTheme="minorHAnsi" w:cs="Calibri"/>
          <w:sz w:val="24"/>
          <w:szCs w:val="24"/>
        </w:rPr>
      </w:pPr>
      <w:r w:rsidRPr="0077613A">
        <w:rPr>
          <w:rFonts w:asciiTheme="minorHAnsi" w:eastAsia="Calibri" w:hAnsiTheme="minorHAnsi" w:cs="Calibri"/>
          <w:b/>
          <w:sz w:val="24"/>
          <w:szCs w:val="24"/>
        </w:rPr>
        <w:t>Results</w:t>
      </w:r>
      <w:r w:rsidR="00E365E0">
        <w:rPr>
          <w:rFonts w:asciiTheme="minorHAnsi" w:eastAsia="Calibri" w:hAnsiTheme="minorHAnsi" w:cs="Calibri"/>
          <w:b/>
          <w:sz w:val="24"/>
          <w:szCs w:val="24"/>
        </w:rPr>
        <w:t xml:space="preserve"> </w:t>
      </w:r>
      <w:r w:rsidRPr="0077613A">
        <w:rPr>
          <w:rFonts w:asciiTheme="minorHAnsi" w:eastAsia="Calibri" w:hAnsiTheme="minorHAnsi" w:cs="Calibri"/>
          <w:b/>
          <w:sz w:val="24"/>
          <w:szCs w:val="24"/>
        </w:rPr>
        <w:t>oriented transition services encourage students to function as independently as possible</w:t>
      </w:r>
      <w:r w:rsidR="00C410FF" w:rsidRPr="007F1D82">
        <w:rPr>
          <w:rFonts w:asciiTheme="minorHAnsi" w:eastAsia="Calibri" w:hAnsiTheme="minorHAnsi" w:cs="Calibri"/>
          <w:sz w:val="24"/>
          <w:szCs w:val="24"/>
        </w:rPr>
        <w:t>. F</w:t>
      </w:r>
      <w:r w:rsidR="00313F34" w:rsidRPr="007F1D82">
        <w:rPr>
          <w:rFonts w:asciiTheme="minorHAnsi" w:eastAsia="Calibri" w:hAnsiTheme="minorHAnsi" w:cs="Calibri"/>
          <w:sz w:val="24"/>
          <w:szCs w:val="24"/>
        </w:rPr>
        <w:t xml:space="preserve">or example, </w:t>
      </w:r>
      <w:r w:rsidR="003B23AE">
        <w:rPr>
          <w:rFonts w:asciiTheme="minorHAnsi" w:eastAsia="Calibri" w:hAnsiTheme="minorHAnsi" w:cs="Calibri"/>
          <w:sz w:val="24"/>
          <w:szCs w:val="24"/>
        </w:rPr>
        <w:t>through teaching, scaffolding</w:t>
      </w:r>
      <w:r w:rsidR="00402653">
        <w:rPr>
          <w:rFonts w:asciiTheme="minorHAnsi" w:eastAsia="Calibri" w:hAnsiTheme="minorHAnsi" w:cs="Calibri"/>
          <w:sz w:val="24"/>
          <w:szCs w:val="24"/>
        </w:rPr>
        <w:t>,</w:t>
      </w:r>
      <w:r w:rsidR="003B23AE">
        <w:rPr>
          <w:rFonts w:asciiTheme="minorHAnsi" w:eastAsia="Calibri" w:hAnsiTheme="minorHAnsi" w:cs="Calibri"/>
          <w:sz w:val="24"/>
          <w:szCs w:val="24"/>
        </w:rPr>
        <w:t xml:space="preserve"> and fading supports, </w:t>
      </w:r>
      <w:r w:rsidR="00A07FB4">
        <w:rPr>
          <w:rFonts w:asciiTheme="minorHAnsi" w:eastAsia="Calibri" w:hAnsiTheme="minorHAnsi" w:cs="Calibri"/>
          <w:sz w:val="24"/>
          <w:szCs w:val="24"/>
        </w:rPr>
        <w:t xml:space="preserve">students with executive function challenges can be taught to plan, </w:t>
      </w:r>
      <w:r w:rsidR="00402653">
        <w:rPr>
          <w:rFonts w:asciiTheme="minorHAnsi" w:eastAsia="Calibri" w:hAnsiTheme="minorHAnsi" w:cs="Calibri"/>
          <w:sz w:val="24"/>
          <w:szCs w:val="24"/>
        </w:rPr>
        <w:t>gather necessary materials, coordinate with other people</w:t>
      </w:r>
      <w:r w:rsidR="003B23AE">
        <w:rPr>
          <w:rFonts w:asciiTheme="minorHAnsi" w:eastAsia="Calibri" w:hAnsiTheme="minorHAnsi" w:cs="Calibri"/>
          <w:sz w:val="24"/>
          <w:szCs w:val="24"/>
        </w:rPr>
        <w:t xml:space="preserve">, and successfully execute a project. </w:t>
      </w:r>
      <w:r w:rsidR="00402653">
        <w:rPr>
          <w:rFonts w:asciiTheme="minorHAnsi" w:eastAsia="Calibri" w:hAnsiTheme="minorHAnsi" w:cs="Calibri"/>
          <w:sz w:val="24"/>
          <w:szCs w:val="24"/>
        </w:rPr>
        <w:t>For other students, one-to-one</w:t>
      </w:r>
      <w:r w:rsidR="005E4A88" w:rsidRPr="007F1D82">
        <w:rPr>
          <w:rFonts w:asciiTheme="minorHAnsi" w:eastAsia="Calibri" w:hAnsiTheme="minorHAnsi" w:cs="Calibri"/>
          <w:sz w:val="24"/>
          <w:szCs w:val="24"/>
        </w:rPr>
        <w:t xml:space="preserve"> paraprofessional support</w:t>
      </w:r>
      <w:r w:rsidR="00402653">
        <w:rPr>
          <w:rFonts w:asciiTheme="minorHAnsi" w:eastAsia="Calibri" w:hAnsiTheme="minorHAnsi" w:cs="Calibri"/>
          <w:sz w:val="24"/>
          <w:szCs w:val="24"/>
        </w:rPr>
        <w:t xml:space="preserve"> can be faded as </w:t>
      </w:r>
      <w:r w:rsidR="00FD3D2A" w:rsidRPr="007F1D82">
        <w:rPr>
          <w:rFonts w:asciiTheme="minorHAnsi" w:eastAsia="Calibri" w:hAnsiTheme="minorHAnsi" w:cs="Calibri"/>
          <w:sz w:val="24"/>
          <w:szCs w:val="24"/>
        </w:rPr>
        <w:t xml:space="preserve">students learn to demonstrate skills </w:t>
      </w:r>
      <w:r w:rsidR="007A3967" w:rsidRPr="007F1D82">
        <w:rPr>
          <w:rFonts w:asciiTheme="minorHAnsi" w:eastAsia="Calibri" w:hAnsiTheme="minorHAnsi" w:cs="Calibri"/>
          <w:sz w:val="24"/>
          <w:szCs w:val="24"/>
        </w:rPr>
        <w:t>with less assistance from others</w:t>
      </w:r>
      <w:r w:rsidR="00313F34" w:rsidRPr="007F1D82">
        <w:rPr>
          <w:rFonts w:asciiTheme="minorHAnsi" w:eastAsia="Calibri" w:hAnsiTheme="minorHAnsi" w:cs="Calibri"/>
          <w:sz w:val="24"/>
          <w:szCs w:val="24"/>
        </w:rPr>
        <w:t>.</w:t>
      </w:r>
      <w:r w:rsidR="009755D8" w:rsidRPr="007F1D82">
        <w:rPr>
          <w:rFonts w:asciiTheme="minorHAnsi" w:eastAsia="Calibri" w:hAnsiTheme="minorHAnsi" w:cs="Calibri"/>
          <w:sz w:val="24"/>
          <w:szCs w:val="24"/>
        </w:rPr>
        <w:t xml:space="preserve"> </w:t>
      </w:r>
    </w:p>
    <w:p w:rsidR="008C391D" w:rsidRPr="001D0641" w:rsidRDefault="0077613A" w:rsidP="00181650">
      <w:pPr>
        <w:spacing w:before="120" w:after="120"/>
        <w:rPr>
          <w:rFonts w:asciiTheme="minorHAnsi" w:eastAsia="Calibri" w:hAnsiTheme="minorHAnsi" w:cs="Calibri"/>
          <w:sz w:val="24"/>
          <w:szCs w:val="24"/>
        </w:rPr>
      </w:pPr>
      <w:r w:rsidRPr="0077613A">
        <w:rPr>
          <w:rFonts w:asciiTheme="minorHAnsi" w:eastAsia="Calibri" w:hAnsiTheme="minorHAnsi" w:cs="Calibri"/>
          <w:b/>
          <w:sz w:val="24"/>
          <w:szCs w:val="24"/>
        </w:rPr>
        <w:t>Results</w:t>
      </w:r>
      <w:r w:rsidR="00E365E0">
        <w:rPr>
          <w:rFonts w:asciiTheme="minorHAnsi" w:eastAsia="Calibri" w:hAnsiTheme="minorHAnsi" w:cs="Calibri"/>
          <w:b/>
          <w:sz w:val="24"/>
          <w:szCs w:val="24"/>
        </w:rPr>
        <w:t xml:space="preserve"> </w:t>
      </w:r>
      <w:r w:rsidRPr="0077613A">
        <w:rPr>
          <w:rFonts w:asciiTheme="minorHAnsi" w:eastAsia="Calibri" w:hAnsiTheme="minorHAnsi" w:cs="Calibri"/>
          <w:b/>
          <w:sz w:val="24"/>
          <w:szCs w:val="24"/>
        </w:rPr>
        <w:t>oriented transition services also support students to generalize and transfer skills throughout all the community environments where they will be living, working, or going to school as adults.</w:t>
      </w:r>
      <w:r w:rsidR="00844DF0" w:rsidRPr="007F1D82">
        <w:rPr>
          <w:rFonts w:asciiTheme="minorHAnsi" w:eastAsia="Calibri" w:hAnsiTheme="minorHAnsi" w:cs="Calibri"/>
          <w:sz w:val="24"/>
          <w:szCs w:val="24"/>
        </w:rPr>
        <w:t xml:space="preserve"> </w:t>
      </w:r>
      <w:r w:rsidR="00A62F0D" w:rsidRPr="007F1D82">
        <w:rPr>
          <w:rFonts w:asciiTheme="minorHAnsi" w:eastAsia="Calibri" w:hAnsiTheme="minorHAnsi" w:cs="Calibri"/>
          <w:sz w:val="24"/>
          <w:szCs w:val="24"/>
        </w:rPr>
        <w:t>For example, s</w:t>
      </w:r>
      <w:r w:rsidR="009C7888" w:rsidRPr="007F1D82">
        <w:rPr>
          <w:rFonts w:asciiTheme="minorHAnsi" w:eastAsia="Calibri" w:hAnsiTheme="minorHAnsi" w:cs="Calibri"/>
          <w:sz w:val="24"/>
          <w:szCs w:val="24"/>
        </w:rPr>
        <w:t xml:space="preserve">tudents might initially be taught pragmatic language skills through specialized instruction and practice with nondisabled peers in school. However, in order for pragmatic language skills to be learned so they will generalize across multiple adult settings, it is </w:t>
      </w:r>
      <w:r w:rsidR="00B21C6D" w:rsidRPr="007F1D82">
        <w:rPr>
          <w:rFonts w:asciiTheme="minorHAnsi" w:eastAsia="Calibri" w:hAnsiTheme="minorHAnsi" w:cs="Calibri"/>
          <w:sz w:val="24"/>
          <w:szCs w:val="24"/>
        </w:rPr>
        <w:t xml:space="preserve">often </w:t>
      </w:r>
      <w:r w:rsidR="009C7888" w:rsidRPr="007F1D82">
        <w:rPr>
          <w:rFonts w:asciiTheme="minorHAnsi" w:eastAsia="Calibri" w:hAnsiTheme="minorHAnsi" w:cs="Calibri"/>
          <w:sz w:val="24"/>
          <w:szCs w:val="24"/>
        </w:rPr>
        <w:t>necessary for students to receive instruction in the environments in which they will live, work</w:t>
      </w:r>
      <w:r w:rsidR="00C11D24">
        <w:rPr>
          <w:rFonts w:asciiTheme="minorHAnsi" w:eastAsia="Calibri" w:hAnsiTheme="minorHAnsi" w:cs="Calibri"/>
          <w:sz w:val="24"/>
          <w:szCs w:val="24"/>
        </w:rPr>
        <w:t>,</w:t>
      </w:r>
      <w:r w:rsidR="00A62F0D" w:rsidRPr="007F1D82">
        <w:rPr>
          <w:rFonts w:asciiTheme="minorHAnsi" w:eastAsia="Calibri" w:hAnsiTheme="minorHAnsi" w:cs="Calibri"/>
          <w:sz w:val="24"/>
          <w:szCs w:val="24"/>
        </w:rPr>
        <w:t xml:space="preserve"> and learn when they are adults. A </w:t>
      </w:r>
      <w:r w:rsidR="009C7888" w:rsidRPr="007F1D82">
        <w:rPr>
          <w:rFonts w:asciiTheme="minorHAnsi" w:hAnsiTheme="minorHAnsi"/>
          <w:sz w:val="24"/>
          <w:szCs w:val="24"/>
        </w:rPr>
        <w:t xml:space="preserve">speech-language pathologist or other social skills expert may need to provide instruction and coaching to a student at a </w:t>
      </w:r>
      <w:r w:rsidR="00A62F0D" w:rsidRPr="007F1D82">
        <w:rPr>
          <w:rFonts w:asciiTheme="minorHAnsi" w:hAnsiTheme="minorHAnsi"/>
          <w:sz w:val="24"/>
          <w:szCs w:val="24"/>
        </w:rPr>
        <w:t xml:space="preserve">community-based job or recreation site. </w:t>
      </w:r>
      <w:r w:rsidR="009C7888" w:rsidRPr="007F1D82">
        <w:rPr>
          <w:rFonts w:asciiTheme="minorHAnsi" w:eastAsia="Calibri" w:hAnsiTheme="minorHAnsi" w:cs="Calibri"/>
          <w:sz w:val="24"/>
          <w:szCs w:val="24"/>
        </w:rPr>
        <w:t>For many students with disabilities, the development of pragmatic communication and social skills is critical to lifelong success.</w:t>
      </w:r>
    </w:p>
    <w:p w:rsidR="00D87AA3" w:rsidRDefault="0077613A" w:rsidP="00181650">
      <w:pPr>
        <w:spacing w:before="120" w:after="120"/>
        <w:rPr>
          <w:rFonts w:asciiTheme="minorHAnsi" w:eastAsia="Calibri" w:hAnsiTheme="minorHAnsi" w:cs="Calibri"/>
          <w:sz w:val="24"/>
          <w:szCs w:val="24"/>
        </w:rPr>
      </w:pPr>
      <w:r w:rsidRPr="0077613A">
        <w:rPr>
          <w:rFonts w:asciiTheme="minorHAnsi" w:eastAsia="Calibri" w:hAnsiTheme="minorHAnsi" w:cs="Calibri"/>
          <w:b/>
          <w:sz w:val="24"/>
          <w:szCs w:val="24"/>
        </w:rPr>
        <w:t>Results</w:t>
      </w:r>
      <w:r w:rsidR="00E365E0">
        <w:rPr>
          <w:rFonts w:asciiTheme="minorHAnsi" w:eastAsia="Calibri" w:hAnsiTheme="minorHAnsi" w:cs="Calibri"/>
          <w:b/>
          <w:sz w:val="24"/>
          <w:szCs w:val="24"/>
        </w:rPr>
        <w:t xml:space="preserve"> </w:t>
      </w:r>
      <w:r w:rsidRPr="0077613A">
        <w:rPr>
          <w:rFonts w:asciiTheme="minorHAnsi" w:eastAsia="Calibri" w:hAnsiTheme="minorHAnsi" w:cs="Calibri"/>
          <w:b/>
          <w:sz w:val="24"/>
          <w:szCs w:val="24"/>
        </w:rPr>
        <w:t xml:space="preserve">oriented </w:t>
      </w:r>
      <w:r w:rsidR="00976729" w:rsidRPr="00976729">
        <w:rPr>
          <w:rFonts w:asciiTheme="minorHAnsi" w:eastAsia="Calibri" w:hAnsiTheme="minorHAnsi" w:cs="Calibri"/>
          <w:b/>
          <w:sz w:val="24"/>
          <w:szCs w:val="24"/>
        </w:rPr>
        <w:t>transition services promote least restrictive environment (LRE) principles</w:t>
      </w:r>
      <w:r w:rsidR="00F569A1" w:rsidRPr="001D0641">
        <w:rPr>
          <w:rFonts w:asciiTheme="minorHAnsi" w:eastAsia="Calibri" w:hAnsiTheme="minorHAnsi" w:cs="Calibri"/>
          <w:sz w:val="24"/>
          <w:szCs w:val="24"/>
        </w:rPr>
        <w:t xml:space="preserve">. </w:t>
      </w:r>
      <w:r w:rsidR="00ED1397">
        <w:rPr>
          <w:rFonts w:asciiTheme="minorHAnsi" w:eastAsia="Calibri" w:hAnsiTheme="minorHAnsi" w:cs="Calibri"/>
          <w:sz w:val="24"/>
          <w:szCs w:val="24"/>
        </w:rPr>
        <w:t>The right to a free and appropriate public education in the L</w:t>
      </w:r>
      <w:r w:rsidR="000A3B5F">
        <w:rPr>
          <w:rFonts w:asciiTheme="minorHAnsi" w:eastAsia="Calibri" w:hAnsiTheme="minorHAnsi" w:cs="Calibri"/>
          <w:sz w:val="24"/>
          <w:szCs w:val="24"/>
        </w:rPr>
        <w:t xml:space="preserve">RE is foundational to the IDEA and </w:t>
      </w:r>
      <w:r w:rsidR="00ED1397">
        <w:rPr>
          <w:rFonts w:asciiTheme="minorHAnsi" w:eastAsia="Calibri" w:hAnsiTheme="minorHAnsi" w:cs="Calibri"/>
          <w:sz w:val="24"/>
          <w:szCs w:val="24"/>
        </w:rPr>
        <w:t xml:space="preserve">is supported by research on student outcomes. For example, </w:t>
      </w:r>
      <w:r w:rsidR="00ED1397" w:rsidRPr="00D027ED">
        <w:rPr>
          <w:rFonts w:asciiTheme="minorHAnsi" w:eastAsia="Calibri" w:hAnsiTheme="minorHAnsi" w:cs="Calibri"/>
          <w:sz w:val="24"/>
          <w:szCs w:val="24"/>
        </w:rPr>
        <w:t>research conducted in Massachusetts found that students with disabilities who were educated in inclusive settings were much more likely to graduate than those who were educated in substantially separate se</w:t>
      </w:r>
      <w:r w:rsidR="005E5AB2" w:rsidRPr="00D027ED">
        <w:rPr>
          <w:rFonts w:asciiTheme="minorHAnsi" w:eastAsia="Calibri" w:hAnsiTheme="minorHAnsi" w:cs="Calibri"/>
          <w:sz w:val="24"/>
          <w:szCs w:val="24"/>
        </w:rPr>
        <w:t>ttings</w:t>
      </w:r>
      <w:r w:rsidR="00ED1397">
        <w:rPr>
          <w:rFonts w:asciiTheme="minorHAnsi" w:eastAsia="Calibri" w:hAnsiTheme="minorHAnsi" w:cs="Calibri"/>
          <w:sz w:val="24"/>
          <w:szCs w:val="24"/>
        </w:rPr>
        <w:t>.</w:t>
      </w:r>
      <w:r w:rsidR="000A3B5F">
        <w:rPr>
          <w:rStyle w:val="EndnoteReference"/>
          <w:rFonts w:asciiTheme="minorHAnsi" w:eastAsia="Calibri" w:hAnsiTheme="minorHAnsi" w:cs="Calibri"/>
          <w:sz w:val="24"/>
          <w:szCs w:val="24"/>
        </w:rPr>
        <w:endnoteReference w:id="26"/>
      </w:r>
      <w:r w:rsidR="00ED1397">
        <w:rPr>
          <w:rFonts w:asciiTheme="minorHAnsi" w:eastAsia="Calibri" w:hAnsiTheme="minorHAnsi" w:cs="Calibri"/>
          <w:sz w:val="24"/>
          <w:szCs w:val="24"/>
        </w:rPr>
        <w:t xml:space="preserve"> </w:t>
      </w:r>
      <w:r w:rsidR="00F569A1" w:rsidRPr="001D0641">
        <w:rPr>
          <w:rFonts w:asciiTheme="minorHAnsi" w:eastAsia="Calibri" w:hAnsiTheme="minorHAnsi" w:cs="Calibri"/>
          <w:sz w:val="24"/>
          <w:szCs w:val="24"/>
        </w:rPr>
        <w:t>T</w:t>
      </w:r>
      <w:r w:rsidR="00844DF0" w:rsidRPr="001D0641">
        <w:rPr>
          <w:rFonts w:asciiTheme="minorHAnsi" w:eastAsia="Calibri" w:hAnsiTheme="minorHAnsi" w:cs="Calibri"/>
          <w:sz w:val="24"/>
          <w:szCs w:val="24"/>
        </w:rPr>
        <w:t>herefore, to the maximum extent appropriate, students with disabilities must have the opportunity to learn academic and functional skills with age-appropriate</w:t>
      </w:r>
      <w:r w:rsidR="00141A9C">
        <w:rPr>
          <w:rFonts w:asciiTheme="minorHAnsi" w:eastAsia="Calibri" w:hAnsiTheme="minorHAnsi" w:cs="Calibri"/>
          <w:sz w:val="24"/>
          <w:szCs w:val="24"/>
        </w:rPr>
        <w:t xml:space="preserve"> people who do not have disabilities, </w:t>
      </w:r>
      <w:r w:rsidR="00844DF0" w:rsidRPr="001D0641">
        <w:rPr>
          <w:rFonts w:asciiTheme="minorHAnsi" w:eastAsia="Calibri" w:hAnsiTheme="minorHAnsi" w:cs="Calibri"/>
          <w:sz w:val="24"/>
          <w:szCs w:val="24"/>
        </w:rPr>
        <w:t>both in school and in the community</w:t>
      </w:r>
      <w:r w:rsidR="002375D5" w:rsidRPr="001D0641">
        <w:rPr>
          <w:rFonts w:asciiTheme="minorHAnsi" w:eastAsia="Calibri" w:hAnsiTheme="minorHAnsi" w:cs="Calibri"/>
          <w:sz w:val="24"/>
          <w:szCs w:val="24"/>
        </w:rPr>
        <w:t>.</w:t>
      </w:r>
      <w:r w:rsidR="00844DF0" w:rsidRPr="001D0641">
        <w:rPr>
          <w:rFonts w:asciiTheme="minorHAnsi" w:eastAsia="Calibri" w:hAnsiTheme="minorHAnsi" w:cs="Calibri"/>
          <w:sz w:val="24"/>
          <w:szCs w:val="24"/>
          <w:vertAlign w:val="superscript"/>
        </w:rPr>
        <w:endnoteReference w:id="27"/>
      </w:r>
      <w:r w:rsidR="001972DC" w:rsidRPr="001D0641">
        <w:rPr>
          <w:rFonts w:asciiTheme="minorHAnsi" w:eastAsia="Calibri" w:hAnsiTheme="minorHAnsi" w:cs="Calibri"/>
          <w:sz w:val="24"/>
          <w:szCs w:val="24"/>
        </w:rPr>
        <w:t xml:space="preserve"> </w:t>
      </w:r>
      <w:r w:rsidR="008C391D" w:rsidRPr="001D0641">
        <w:rPr>
          <w:rFonts w:asciiTheme="minorHAnsi" w:eastAsia="Calibri" w:hAnsiTheme="minorHAnsi" w:cs="Calibri"/>
          <w:sz w:val="24"/>
          <w:szCs w:val="24"/>
        </w:rPr>
        <w:t>Supplementary aids and services (for example, a job or education coach, or assistive technology) must be provided</w:t>
      </w:r>
      <w:r w:rsidR="008832A1">
        <w:rPr>
          <w:rFonts w:asciiTheme="minorHAnsi" w:eastAsia="Calibri" w:hAnsiTheme="minorHAnsi" w:cs="Calibri"/>
          <w:sz w:val="24"/>
          <w:szCs w:val="24"/>
        </w:rPr>
        <w:t xml:space="preserve">, as necessary, </w:t>
      </w:r>
      <w:r w:rsidR="008C391D" w:rsidRPr="001D0641">
        <w:rPr>
          <w:rFonts w:asciiTheme="minorHAnsi" w:eastAsia="Calibri" w:hAnsiTheme="minorHAnsi" w:cs="Calibri"/>
          <w:sz w:val="24"/>
          <w:szCs w:val="24"/>
        </w:rPr>
        <w:t xml:space="preserve">to </w:t>
      </w:r>
      <w:r w:rsidR="00BF0494">
        <w:rPr>
          <w:rFonts w:asciiTheme="minorHAnsi" w:eastAsia="Calibri" w:hAnsiTheme="minorHAnsi" w:cs="Calibri"/>
          <w:sz w:val="24"/>
          <w:szCs w:val="24"/>
        </w:rPr>
        <w:t xml:space="preserve">support students’ successful </w:t>
      </w:r>
      <w:r w:rsidR="008C391D" w:rsidRPr="001D0641">
        <w:rPr>
          <w:rFonts w:asciiTheme="minorHAnsi" w:eastAsia="Calibri" w:hAnsiTheme="minorHAnsi" w:cs="Calibri"/>
          <w:sz w:val="24"/>
          <w:szCs w:val="24"/>
        </w:rPr>
        <w:t>placement in the LRE.</w:t>
      </w:r>
      <w:r w:rsidR="008C391D" w:rsidRPr="001D0641">
        <w:rPr>
          <w:rFonts w:asciiTheme="minorHAnsi" w:eastAsia="Calibri" w:hAnsiTheme="minorHAnsi" w:cs="Calibri"/>
          <w:sz w:val="24"/>
          <w:szCs w:val="24"/>
          <w:vertAlign w:val="superscript"/>
        </w:rPr>
        <w:endnoteReference w:id="28"/>
      </w:r>
      <w:r w:rsidR="008C391D" w:rsidRPr="001D0641">
        <w:rPr>
          <w:rFonts w:asciiTheme="minorHAnsi" w:eastAsia="Calibri" w:hAnsiTheme="minorHAnsi" w:cs="Calibri"/>
          <w:sz w:val="24"/>
          <w:szCs w:val="24"/>
        </w:rPr>
        <w:t xml:space="preserve"> </w:t>
      </w:r>
      <w:r w:rsidR="00D87AA3">
        <w:rPr>
          <w:rFonts w:asciiTheme="minorHAnsi" w:eastAsia="Calibri" w:hAnsiTheme="minorHAnsi" w:cs="Calibri"/>
          <w:sz w:val="24"/>
          <w:szCs w:val="24"/>
        </w:rPr>
        <w:t xml:space="preserve">Of course, not all students will require supplementary aids and services; natural supports such as peers, co-workers, and employers are the first choice, because this mirrors experiences for those who do not have disabilities.  </w:t>
      </w:r>
    </w:p>
    <w:p w:rsidR="006C7C96" w:rsidRPr="00B84C06" w:rsidRDefault="0071203A" w:rsidP="006C7C96">
      <w:pPr>
        <w:spacing w:before="120" w:after="120"/>
        <w:rPr>
          <w:rFonts w:asciiTheme="minorHAnsi" w:eastAsia="Calibri" w:hAnsiTheme="minorHAnsi" w:cs="Calibri"/>
          <w:sz w:val="24"/>
          <w:szCs w:val="24"/>
          <w:highlight w:val="yellow"/>
        </w:rPr>
      </w:pPr>
      <w:r>
        <w:rPr>
          <w:rFonts w:asciiTheme="minorHAnsi" w:eastAsia="Calibri" w:hAnsiTheme="minorHAnsi" w:cs="Calibri"/>
          <w:sz w:val="24"/>
          <w:szCs w:val="24"/>
        </w:rPr>
        <w:t>As many</w:t>
      </w:r>
      <w:r w:rsidR="008C391D" w:rsidRPr="001D0641">
        <w:rPr>
          <w:rFonts w:asciiTheme="minorHAnsi" w:eastAsia="Calibri" w:hAnsiTheme="minorHAnsi" w:cs="Calibri"/>
          <w:sz w:val="24"/>
          <w:szCs w:val="24"/>
        </w:rPr>
        <w:t xml:space="preserve"> students with disabilities grow older, an increasing amount of </w:t>
      </w:r>
      <w:r w:rsidR="008C391D" w:rsidRPr="006B6C7F">
        <w:rPr>
          <w:rFonts w:asciiTheme="minorHAnsi" w:eastAsia="Calibri" w:hAnsiTheme="minorHAnsi" w:cs="Calibri"/>
          <w:sz w:val="24"/>
          <w:szCs w:val="24"/>
        </w:rPr>
        <w:t xml:space="preserve">their transition services </w:t>
      </w:r>
      <w:r w:rsidR="00CB4D81" w:rsidRPr="006B6C7F">
        <w:rPr>
          <w:rFonts w:asciiTheme="minorHAnsi" w:eastAsia="Calibri" w:hAnsiTheme="minorHAnsi" w:cs="Calibri"/>
          <w:sz w:val="24"/>
          <w:szCs w:val="24"/>
        </w:rPr>
        <w:t xml:space="preserve">should </w:t>
      </w:r>
      <w:r w:rsidR="008C391D" w:rsidRPr="006B6C7F">
        <w:rPr>
          <w:rFonts w:asciiTheme="minorHAnsi" w:eastAsia="Calibri" w:hAnsiTheme="minorHAnsi" w:cs="Calibri"/>
          <w:sz w:val="24"/>
          <w:szCs w:val="24"/>
        </w:rPr>
        <w:t xml:space="preserve">be provided in community settings. </w:t>
      </w:r>
      <w:r w:rsidR="00CB4D81" w:rsidRPr="006B6C7F">
        <w:rPr>
          <w:rFonts w:asciiTheme="minorHAnsi" w:eastAsia="Calibri" w:hAnsiTheme="minorHAnsi" w:cs="Calibri"/>
          <w:sz w:val="24"/>
          <w:szCs w:val="24"/>
        </w:rPr>
        <w:t>This is particularly true for older students who have completed four years of high school and remain eligible for special education services. Since they no longer have age-appropriate, nondi</w:t>
      </w:r>
      <w:r w:rsidR="00C871F1" w:rsidRPr="006B6C7F">
        <w:rPr>
          <w:rFonts w:asciiTheme="minorHAnsi" w:eastAsia="Calibri" w:hAnsiTheme="minorHAnsi" w:cs="Calibri"/>
          <w:sz w:val="24"/>
          <w:szCs w:val="24"/>
        </w:rPr>
        <w:t>sabled peers at the high school, the least restrictive environment for these older students</w:t>
      </w:r>
      <w:r w:rsidR="006C7C96" w:rsidRPr="006B6C7F">
        <w:rPr>
          <w:rFonts w:asciiTheme="minorHAnsi" w:eastAsia="Calibri" w:hAnsiTheme="minorHAnsi" w:cs="Calibri"/>
          <w:sz w:val="24"/>
          <w:szCs w:val="24"/>
        </w:rPr>
        <w:t xml:space="preserve"> – indeed, the “general curriculum” for these students – is </w:t>
      </w:r>
      <w:r w:rsidR="00C871F1" w:rsidRPr="006B6C7F">
        <w:rPr>
          <w:rFonts w:asciiTheme="minorHAnsi" w:eastAsia="Calibri" w:hAnsiTheme="minorHAnsi" w:cs="Calibri"/>
          <w:sz w:val="24"/>
          <w:szCs w:val="24"/>
        </w:rPr>
        <w:t>most often the community</w:t>
      </w:r>
      <w:r w:rsidR="006C7C96" w:rsidRPr="006B6C7F">
        <w:rPr>
          <w:rFonts w:asciiTheme="minorHAnsi" w:eastAsia="Calibri" w:hAnsiTheme="minorHAnsi" w:cs="Calibri"/>
          <w:sz w:val="24"/>
          <w:szCs w:val="24"/>
        </w:rPr>
        <w:t>, the colleges and training programs</w:t>
      </w:r>
      <w:r w:rsidR="00FF1DDE">
        <w:rPr>
          <w:rFonts w:asciiTheme="minorHAnsi" w:eastAsia="Calibri" w:hAnsiTheme="minorHAnsi" w:cs="Calibri"/>
          <w:sz w:val="24"/>
          <w:szCs w:val="24"/>
        </w:rPr>
        <w:t>,</w:t>
      </w:r>
      <w:r w:rsidR="006C7C96" w:rsidRPr="006B6C7F">
        <w:rPr>
          <w:rFonts w:asciiTheme="minorHAnsi" w:eastAsia="Calibri" w:hAnsiTheme="minorHAnsi" w:cs="Calibri"/>
          <w:sz w:val="24"/>
          <w:szCs w:val="24"/>
        </w:rPr>
        <w:t xml:space="preserve"> and jobs where their former classmates are now engaged</w:t>
      </w:r>
      <w:r w:rsidR="00C871F1" w:rsidRPr="006B6C7F">
        <w:rPr>
          <w:rFonts w:asciiTheme="minorHAnsi" w:eastAsia="Calibri" w:hAnsiTheme="minorHAnsi" w:cs="Calibri"/>
          <w:sz w:val="24"/>
          <w:szCs w:val="24"/>
        </w:rPr>
        <w:t>.</w:t>
      </w:r>
      <w:r w:rsidR="006B6C7F">
        <w:rPr>
          <w:rFonts w:asciiTheme="minorHAnsi" w:eastAsia="Calibri" w:hAnsiTheme="minorHAnsi" w:cs="Calibri"/>
          <w:sz w:val="24"/>
          <w:szCs w:val="24"/>
        </w:rPr>
        <w:t xml:space="preserve"> Full inclusion for these students </w:t>
      </w:r>
      <w:r w:rsidR="00487ABE">
        <w:rPr>
          <w:rFonts w:asciiTheme="minorHAnsi" w:eastAsia="Calibri" w:hAnsiTheme="minorHAnsi" w:cs="Calibri"/>
          <w:sz w:val="24"/>
          <w:szCs w:val="24"/>
        </w:rPr>
        <w:t xml:space="preserve">means </w:t>
      </w:r>
      <w:r w:rsidR="00A471C7">
        <w:rPr>
          <w:rFonts w:asciiTheme="minorHAnsi" w:eastAsia="Calibri" w:hAnsiTheme="minorHAnsi" w:cs="Calibri"/>
          <w:sz w:val="24"/>
          <w:szCs w:val="24"/>
        </w:rPr>
        <w:t>interacting most</w:t>
      </w:r>
      <w:r w:rsidR="00487ABE">
        <w:rPr>
          <w:rFonts w:asciiTheme="minorHAnsi" w:eastAsia="Calibri" w:hAnsiTheme="minorHAnsi" w:cs="Calibri"/>
          <w:sz w:val="24"/>
          <w:szCs w:val="24"/>
        </w:rPr>
        <w:t xml:space="preserve"> of the day with </w:t>
      </w:r>
      <w:proofErr w:type="gramStart"/>
      <w:r w:rsidR="00487ABE">
        <w:rPr>
          <w:rFonts w:asciiTheme="minorHAnsi" w:eastAsia="Calibri" w:hAnsiTheme="minorHAnsi" w:cs="Calibri"/>
          <w:sz w:val="24"/>
          <w:szCs w:val="24"/>
        </w:rPr>
        <w:t>adults</w:t>
      </w:r>
      <w:proofErr w:type="gramEnd"/>
      <w:r w:rsidR="00487ABE">
        <w:rPr>
          <w:rFonts w:asciiTheme="minorHAnsi" w:eastAsia="Calibri" w:hAnsiTheme="minorHAnsi" w:cs="Calibri"/>
          <w:sz w:val="24"/>
          <w:szCs w:val="24"/>
        </w:rPr>
        <w:t xml:space="preserve"> who do not have disabilities</w:t>
      </w:r>
      <w:r w:rsidR="00A471C7">
        <w:rPr>
          <w:rFonts w:asciiTheme="minorHAnsi" w:eastAsia="Calibri" w:hAnsiTheme="minorHAnsi" w:cs="Calibri"/>
          <w:sz w:val="24"/>
          <w:szCs w:val="24"/>
        </w:rPr>
        <w:t>,</w:t>
      </w:r>
      <w:r w:rsidR="00F61323">
        <w:rPr>
          <w:rFonts w:asciiTheme="minorHAnsi" w:eastAsia="Calibri" w:hAnsiTheme="minorHAnsi" w:cs="Calibri"/>
          <w:sz w:val="24"/>
          <w:szCs w:val="24"/>
        </w:rPr>
        <w:t xml:space="preserve"> </w:t>
      </w:r>
      <w:r w:rsidR="00FF1DDE">
        <w:rPr>
          <w:rFonts w:asciiTheme="minorHAnsi" w:eastAsia="Calibri" w:hAnsiTheme="minorHAnsi" w:cs="Calibri"/>
          <w:sz w:val="24"/>
          <w:szCs w:val="24"/>
        </w:rPr>
        <w:t xml:space="preserve">and </w:t>
      </w:r>
      <w:r w:rsidR="00616B6C">
        <w:rPr>
          <w:rFonts w:asciiTheme="minorHAnsi" w:eastAsia="Calibri" w:hAnsiTheme="minorHAnsi" w:cs="Calibri"/>
          <w:sz w:val="24"/>
          <w:szCs w:val="24"/>
        </w:rPr>
        <w:t xml:space="preserve">having experiences and learning skills </w:t>
      </w:r>
      <w:r w:rsidR="00487ABE">
        <w:rPr>
          <w:rFonts w:asciiTheme="minorHAnsi" w:eastAsia="Calibri" w:hAnsiTheme="minorHAnsi" w:cs="Calibri"/>
          <w:sz w:val="24"/>
          <w:szCs w:val="24"/>
        </w:rPr>
        <w:t xml:space="preserve">in environments where most </w:t>
      </w:r>
      <w:r w:rsidR="00A471C7">
        <w:rPr>
          <w:rFonts w:asciiTheme="minorHAnsi" w:eastAsia="Calibri" w:hAnsiTheme="minorHAnsi" w:cs="Calibri"/>
          <w:sz w:val="24"/>
          <w:szCs w:val="24"/>
        </w:rPr>
        <w:t xml:space="preserve">other </w:t>
      </w:r>
      <w:r w:rsidR="00487ABE">
        <w:rPr>
          <w:rFonts w:asciiTheme="minorHAnsi" w:eastAsia="Calibri" w:hAnsiTheme="minorHAnsi" w:cs="Calibri"/>
          <w:sz w:val="24"/>
          <w:szCs w:val="24"/>
        </w:rPr>
        <w:t xml:space="preserve">people do not have disabilities. </w:t>
      </w:r>
    </w:p>
    <w:p w:rsidR="002375D5" w:rsidRPr="001D0641" w:rsidRDefault="008C391D" w:rsidP="00181650">
      <w:pPr>
        <w:spacing w:before="120" w:after="120"/>
        <w:rPr>
          <w:rFonts w:asciiTheme="minorHAnsi" w:eastAsia="Calibri" w:hAnsiTheme="minorHAnsi" w:cs="Calibri"/>
          <w:sz w:val="24"/>
          <w:szCs w:val="24"/>
        </w:rPr>
      </w:pPr>
      <w:r w:rsidRPr="001D0641">
        <w:rPr>
          <w:rFonts w:asciiTheme="minorHAnsi" w:eastAsia="Calibri" w:hAnsiTheme="minorHAnsi" w:cs="Calibri"/>
          <w:sz w:val="24"/>
          <w:szCs w:val="24"/>
        </w:rPr>
        <w:lastRenderedPageBreak/>
        <w:t>R</w:t>
      </w:r>
      <w:r w:rsidR="00793788" w:rsidRPr="001D0641">
        <w:rPr>
          <w:rFonts w:asciiTheme="minorHAnsi" w:eastAsia="Calibri" w:hAnsiTheme="minorHAnsi" w:cs="Calibri"/>
          <w:sz w:val="24"/>
          <w:szCs w:val="24"/>
        </w:rPr>
        <w:t xml:space="preserve">esearch demonstrates that many transition skills are effectively acquired </w:t>
      </w:r>
      <w:r w:rsidR="00793788" w:rsidRPr="001D0641">
        <w:rPr>
          <w:rFonts w:asciiTheme="minorHAnsi" w:eastAsia="Calibri" w:hAnsiTheme="minorHAnsi" w:cs="Calibri"/>
          <w:i/>
          <w:sz w:val="24"/>
          <w:szCs w:val="24"/>
        </w:rPr>
        <w:t>only</w:t>
      </w:r>
      <w:r w:rsidR="00793788" w:rsidRPr="001D0641">
        <w:rPr>
          <w:rFonts w:asciiTheme="minorHAnsi" w:eastAsia="Calibri" w:hAnsiTheme="minorHAnsi" w:cs="Calibri"/>
          <w:sz w:val="24"/>
          <w:szCs w:val="24"/>
        </w:rPr>
        <w:t xml:space="preserve"> in the community with nondisabled peers</w:t>
      </w:r>
      <w:r w:rsidR="00616B6C">
        <w:rPr>
          <w:rFonts w:asciiTheme="minorHAnsi" w:eastAsia="Calibri" w:hAnsiTheme="minorHAnsi" w:cs="Calibri"/>
          <w:sz w:val="24"/>
          <w:szCs w:val="24"/>
        </w:rPr>
        <w:t>. One example is</w:t>
      </w:r>
      <w:r w:rsidR="00CE7300" w:rsidRPr="001D0641">
        <w:rPr>
          <w:rFonts w:asciiTheme="minorHAnsi" w:eastAsia="Calibri" w:hAnsiTheme="minorHAnsi" w:cs="Calibri"/>
          <w:sz w:val="24"/>
          <w:szCs w:val="24"/>
        </w:rPr>
        <w:t xml:space="preserve"> </w:t>
      </w:r>
      <w:r w:rsidR="00793788" w:rsidRPr="001D0641">
        <w:rPr>
          <w:rFonts w:asciiTheme="minorHAnsi" w:eastAsia="Calibri" w:hAnsiTheme="minorHAnsi" w:cs="Calibri"/>
          <w:sz w:val="24"/>
          <w:szCs w:val="24"/>
        </w:rPr>
        <w:t>employment skills</w:t>
      </w:r>
      <w:r w:rsidR="00AC5B92">
        <w:rPr>
          <w:rFonts w:asciiTheme="minorHAnsi" w:eastAsia="Calibri" w:hAnsiTheme="minorHAnsi" w:cs="Calibri"/>
          <w:sz w:val="24"/>
          <w:szCs w:val="24"/>
        </w:rPr>
        <w:t>, long</w:t>
      </w:r>
      <w:r w:rsidR="00793788" w:rsidRPr="001D0641">
        <w:rPr>
          <w:rFonts w:asciiTheme="minorHAnsi" w:eastAsia="Calibri" w:hAnsiTheme="minorHAnsi" w:cs="Calibri"/>
          <w:sz w:val="24"/>
          <w:szCs w:val="24"/>
        </w:rPr>
        <w:t xml:space="preserve"> considered a critical focus of effective transition services.</w:t>
      </w:r>
      <w:r w:rsidR="00793788" w:rsidRPr="001D0641">
        <w:rPr>
          <w:rFonts w:asciiTheme="minorHAnsi" w:eastAsia="Calibri" w:hAnsiTheme="minorHAnsi" w:cs="Calibri"/>
          <w:sz w:val="24"/>
          <w:szCs w:val="24"/>
          <w:vertAlign w:val="superscript"/>
        </w:rPr>
        <w:endnoteReference w:id="29"/>
      </w:r>
      <w:r w:rsidR="00460492">
        <w:rPr>
          <w:rFonts w:asciiTheme="minorHAnsi" w:eastAsia="Calibri" w:hAnsiTheme="minorHAnsi" w:cs="Calibri"/>
          <w:sz w:val="24"/>
          <w:szCs w:val="24"/>
        </w:rPr>
        <w:t xml:space="preserve"> </w:t>
      </w:r>
      <w:r w:rsidR="00793788" w:rsidRPr="001D0641">
        <w:rPr>
          <w:rFonts w:asciiTheme="minorHAnsi" w:eastAsia="Calibri" w:hAnsiTheme="minorHAnsi" w:cs="Calibri"/>
          <w:sz w:val="24"/>
          <w:szCs w:val="24"/>
        </w:rPr>
        <w:t xml:space="preserve">Some students are provided opportunities to learn job skills in a setting within the public schools – for example, the school </w:t>
      </w:r>
      <w:r w:rsidR="00B012E6">
        <w:rPr>
          <w:rFonts w:asciiTheme="minorHAnsi" w:eastAsia="Calibri" w:hAnsiTheme="minorHAnsi" w:cs="Calibri"/>
          <w:sz w:val="24"/>
          <w:szCs w:val="24"/>
        </w:rPr>
        <w:t>recycling center</w:t>
      </w:r>
      <w:r w:rsidR="00B012E6" w:rsidRPr="001D0641">
        <w:rPr>
          <w:rFonts w:asciiTheme="minorHAnsi" w:eastAsia="Calibri" w:hAnsiTheme="minorHAnsi" w:cs="Calibri"/>
          <w:sz w:val="24"/>
          <w:szCs w:val="24"/>
        </w:rPr>
        <w:t xml:space="preserve"> </w:t>
      </w:r>
      <w:r w:rsidR="00793788" w:rsidRPr="001D0641">
        <w:rPr>
          <w:rFonts w:asciiTheme="minorHAnsi" w:eastAsia="Calibri" w:hAnsiTheme="minorHAnsi" w:cs="Calibri"/>
          <w:sz w:val="24"/>
          <w:szCs w:val="24"/>
        </w:rPr>
        <w:t xml:space="preserve">or principal’s office. This kind of work experience </w:t>
      </w:r>
      <w:r w:rsidR="00B51E28">
        <w:rPr>
          <w:rFonts w:asciiTheme="minorHAnsi" w:eastAsia="Calibri" w:hAnsiTheme="minorHAnsi" w:cs="Calibri"/>
          <w:sz w:val="24"/>
          <w:szCs w:val="24"/>
        </w:rPr>
        <w:t xml:space="preserve">can constitute </w:t>
      </w:r>
      <w:r w:rsidR="00944BA8">
        <w:rPr>
          <w:rFonts w:asciiTheme="minorHAnsi" w:eastAsia="Calibri" w:hAnsiTheme="minorHAnsi" w:cs="Calibri"/>
          <w:sz w:val="24"/>
          <w:szCs w:val="24"/>
        </w:rPr>
        <w:t xml:space="preserve">good first steps in the career development education continuum and </w:t>
      </w:r>
      <w:r w:rsidR="00B51E28">
        <w:rPr>
          <w:rFonts w:asciiTheme="minorHAnsi" w:eastAsia="Calibri" w:hAnsiTheme="minorHAnsi" w:cs="Calibri"/>
          <w:sz w:val="24"/>
          <w:szCs w:val="24"/>
        </w:rPr>
        <w:t>can</w:t>
      </w:r>
      <w:r w:rsidR="00793788" w:rsidRPr="001D0641">
        <w:rPr>
          <w:rFonts w:asciiTheme="minorHAnsi" w:eastAsia="Calibri" w:hAnsiTheme="minorHAnsi" w:cs="Calibri"/>
          <w:sz w:val="24"/>
          <w:szCs w:val="24"/>
        </w:rPr>
        <w:t xml:space="preserve"> build </w:t>
      </w:r>
      <w:r w:rsidR="00944BA8">
        <w:rPr>
          <w:rFonts w:asciiTheme="minorHAnsi" w:eastAsia="Calibri" w:hAnsiTheme="minorHAnsi" w:cs="Calibri"/>
          <w:sz w:val="24"/>
          <w:szCs w:val="24"/>
        </w:rPr>
        <w:t xml:space="preserve">job skills such as punctuality, </w:t>
      </w:r>
      <w:r w:rsidR="00793788" w:rsidRPr="001D0641">
        <w:rPr>
          <w:rFonts w:asciiTheme="minorHAnsi" w:eastAsia="Calibri" w:hAnsiTheme="minorHAnsi" w:cs="Calibri"/>
          <w:sz w:val="24"/>
          <w:szCs w:val="24"/>
        </w:rPr>
        <w:t>self-regulation</w:t>
      </w:r>
      <w:r w:rsidR="00944BA8">
        <w:rPr>
          <w:rFonts w:asciiTheme="minorHAnsi" w:eastAsia="Calibri" w:hAnsiTheme="minorHAnsi" w:cs="Calibri"/>
          <w:sz w:val="24"/>
          <w:szCs w:val="24"/>
        </w:rPr>
        <w:t xml:space="preserve">, and </w:t>
      </w:r>
      <w:r w:rsidR="00944BA8" w:rsidRPr="006B6C7F">
        <w:rPr>
          <w:rFonts w:asciiTheme="minorHAnsi" w:eastAsia="Calibri" w:hAnsiTheme="minorHAnsi" w:cs="Calibri"/>
          <w:sz w:val="24"/>
          <w:szCs w:val="24"/>
        </w:rPr>
        <w:t>organization</w:t>
      </w:r>
      <w:r w:rsidR="00793788" w:rsidRPr="006B6C7F">
        <w:rPr>
          <w:rFonts w:asciiTheme="minorHAnsi" w:eastAsia="Calibri" w:hAnsiTheme="minorHAnsi" w:cs="Calibri"/>
          <w:sz w:val="24"/>
          <w:szCs w:val="24"/>
        </w:rPr>
        <w:t>. However,</w:t>
      </w:r>
      <w:r w:rsidR="00944BA8" w:rsidRPr="006B6C7F">
        <w:rPr>
          <w:rFonts w:asciiTheme="minorHAnsi" w:eastAsia="Calibri" w:hAnsiTheme="minorHAnsi" w:cs="Calibri"/>
          <w:sz w:val="24"/>
          <w:szCs w:val="24"/>
        </w:rPr>
        <w:t xml:space="preserve"> by </w:t>
      </w:r>
      <w:r w:rsidR="00EA7DFC" w:rsidRPr="006B6C7F">
        <w:rPr>
          <w:rFonts w:asciiTheme="minorHAnsi" w:eastAsia="Calibri" w:hAnsiTheme="minorHAnsi" w:cs="Calibri"/>
          <w:sz w:val="24"/>
          <w:szCs w:val="24"/>
        </w:rPr>
        <w:t>themselves these kinds of experiences</w:t>
      </w:r>
      <w:r w:rsidR="0014528B" w:rsidRPr="006B6C7F">
        <w:rPr>
          <w:rFonts w:asciiTheme="minorHAnsi" w:eastAsia="Calibri" w:hAnsiTheme="minorHAnsi" w:cs="Calibri"/>
          <w:sz w:val="24"/>
          <w:szCs w:val="24"/>
        </w:rPr>
        <w:t xml:space="preserve"> may not</w:t>
      </w:r>
      <w:r w:rsidR="00793788" w:rsidRPr="006B6C7F">
        <w:rPr>
          <w:rFonts w:asciiTheme="minorHAnsi" w:eastAsia="Calibri" w:hAnsiTheme="minorHAnsi" w:cs="Calibri"/>
          <w:sz w:val="24"/>
          <w:szCs w:val="24"/>
        </w:rPr>
        <w:t xml:space="preserve"> be sufficient to teach many work skills that a student will need after exiting special education. Research demonstrates that adult employment outcomes for </w:t>
      </w:r>
      <w:r w:rsidR="0016393F" w:rsidRPr="006B6C7F">
        <w:rPr>
          <w:rFonts w:asciiTheme="minorHAnsi" w:eastAsia="Calibri" w:hAnsiTheme="minorHAnsi" w:cs="Calibri"/>
          <w:sz w:val="24"/>
          <w:szCs w:val="24"/>
        </w:rPr>
        <w:t xml:space="preserve">all students – including </w:t>
      </w:r>
      <w:r w:rsidR="00793788" w:rsidRPr="006B6C7F">
        <w:rPr>
          <w:rFonts w:asciiTheme="minorHAnsi" w:eastAsia="Calibri" w:hAnsiTheme="minorHAnsi" w:cs="Calibri"/>
          <w:sz w:val="24"/>
          <w:szCs w:val="24"/>
        </w:rPr>
        <w:t>students with disabilities</w:t>
      </w:r>
      <w:r w:rsidR="0016393F" w:rsidRPr="006B6C7F">
        <w:rPr>
          <w:rFonts w:asciiTheme="minorHAnsi" w:eastAsia="Calibri" w:hAnsiTheme="minorHAnsi" w:cs="Calibri"/>
          <w:sz w:val="24"/>
          <w:szCs w:val="24"/>
        </w:rPr>
        <w:t xml:space="preserve"> – are </w:t>
      </w:r>
      <w:r w:rsidR="00793788" w:rsidRPr="006B6C7F">
        <w:rPr>
          <w:rFonts w:asciiTheme="minorHAnsi" w:eastAsia="Calibri" w:hAnsiTheme="minorHAnsi" w:cs="Calibri"/>
          <w:sz w:val="24"/>
          <w:szCs w:val="24"/>
        </w:rPr>
        <w:t xml:space="preserve">significantly improved when students have the opportunity to learn work skills through </w:t>
      </w:r>
      <w:r w:rsidR="00E364DE" w:rsidRPr="006B6C7F">
        <w:rPr>
          <w:rFonts w:asciiTheme="minorHAnsi" w:eastAsia="Calibri" w:hAnsiTheme="minorHAnsi" w:cs="Calibri"/>
          <w:sz w:val="24"/>
          <w:szCs w:val="24"/>
        </w:rPr>
        <w:t xml:space="preserve">multiple and diverse </w:t>
      </w:r>
      <w:r w:rsidR="00793788" w:rsidRPr="006B6C7F">
        <w:rPr>
          <w:rFonts w:asciiTheme="minorHAnsi" w:eastAsia="Calibri" w:hAnsiTheme="minorHAnsi" w:cs="Calibri"/>
          <w:sz w:val="24"/>
          <w:szCs w:val="24"/>
        </w:rPr>
        <w:t>employment</w:t>
      </w:r>
      <w:r w:rsidR="00E364DE" w:rsidRPr="006B6C7F">
        <w:rPr>
          <w:rFonts w:asciiTheme="minorHAnsi" w:eastAsia="Calibri" w:hAnsiTheme="minorHAnsi" w:cs="Calibri"/>
          <w:sz w:val="24"/>
          <w:szCs w:val="24"/>
        </w:rPr>
        <w:t xml:space="preserve"> opportunities</w:t>
      </w:r>
      <w:r w:rsidR="00793788" w:rsidRPr="006B6C7F">
        <w:rPr>
          <w:rFonts w:asciiTheme="minorHAnsi" w:eastAsia="Calibri" w:hAnsiTheme="minorHAnsi" w:cs="Calibri"/>
          <w:sz w:val="24"/>
          <w:szCs w:val="24"/>
        </w:rPr>
        <w:t xml:space="preserve"> that </w:t>
      </w:r>
      <w:r w:rsidR="00E364DE" w:rsidRPr="006B6C7F">
        <w:rPr>
          <w:rFonts w:asciiTheme="minorHAnsi" w:eastAsia="Calibri" w:hAnsiTheme="minorHAnsi" w:cs="Calibri"/>
          <w:sz w:val="24"/>
          <w:szCs w:val="24"/>
        </w:rPr>
        <w:t xml:space="preserve">are </w:t>
      </w:r>
      <w:r w:rsidR="002148E0" w:rsidRPr="006B6C7F">
        <w:rPr>
          <w:rFonts w:asciiTheme="minorHAnsi" w:eastAsia="Calibri" w:hAnsiTheme="minorHAnsi" w:cs="Calibri"/>
          <w:sz w:val="24"/>
          <w:szCs w:val="24"/>
        </w:rPr>
        <w:t>paid and that take</w:t>
      </w:r>
      <w:r w:rsidR="00793788" w:rsidRPr="006B6C7F">
        <w:rPr>
          <w:rFonts w:asciiTheme="minorHAnsi" w:eastAsia="Calibri" w:hAnsiTheme="minorHAnsi" w:cs="Calibri"/>
          <w:sz w:val="24"/>
          <w:szCs w:val="24"/>
        </w:rPr>
        <w:t xml:space="preserve"> place in authentic community worksites (as compared to employment </w:t>
      </w:r>
      <w:r w:rsidR="002148E0" w:rsidRPr="006B6C7F">
        <w:rPr>
          <w:rFonts w:asciiTheme="minorHAnsi" w:eastAsia="Calibri" w:hAnsiTheme="minorHAnsi" w:cs="Calibri"/>
          <w:sz w:val="24"/>
          <w:szCs w:val="24"/>
        </w:rPr>
        <w:t xml:space="preserve">specially </w:t>
      </w:r>
      <w:r w:rsidR="00793788" w:rsidRPr="006B6C7F">
        <w:rPr>
          <w:rFonts w:asciiTheme="minorHAnsi" w:eastAsia="Calibri" w:hAnsiTheme="minorHAnsi" w:cs="Calibri"/>
          <w:sz w:val="24"/>
          <w:szCs w:val="24"/>
        </w:rPr>
        <w:t>created for persons with disabilities).</w:t>
      </w:r>
      <w:r w:rsidR="00793788" w:rsidRPr="006B6C7F">
        <w:rPr>
          <w:rStyle w:val="EndnoteReference"/>
          <w:rFonts w:asciiTheme="minorHAnsi" w:eastAsia="Calibri" w:hAnsiTheme="minorHAnsi" w:cs="Calibri"/>
          <w:sz w:val="24"/>
          <w:szCs w:val="24"/>
        </w:rPr>
        <w:endnoteReference w:id="30"/>
      </w:r>
      <w:r w:rsidR="00793788" w:rsidRPr="001D0641">
        <w:rPr>
          <w:rFonts w:asciiTheme="minorHAnsi" w:eastAsia="Calibri" w:hAnsiTheme="minorHAnsi" w:cs="Calibri"/>
          <w:sz w:val="24"/>
          <w:szCs w:val="24"/>
          <w:vertAlign w:val="superscript"/>
        </w:rPr>
        <w:t xml:space="preserve"> </w:t>
      </w:r>
      <w:r w:rsidR="00793788" w:rsidRPr="001D0641">
        <w:rPr>
          <w:rFonts w:asciiTheme="minorHAnsi" w:eastAsia="Calibri" w:hAnsiTheme="minorHAnsi" w:cs="Calibri"/>
          <w:sz w:val="24"/>
          <w:szCs w:val="24"/>
        </w:rPr>
        <w:t xml:space="preserve"> </w:t>
      </w:r>
    </w:p>
    <w:p w:rsidR="00844DF0" w:rsidRPr="001D0641" w:rsidRDefault="00CA7C92" w:rsidP="00181650">
      <w:pPr>
        <w:spacing w:before="120" w:after="120"/>
        <w:rPr>
          <w:rFonts w:asciiTheme="minorHAnsi" w:hAnsiTheme="minorHAnsi"/>
          <w:sz w:val="24"/>
          <w:szCs w:val="24"/>
        </w:rPr>
      </w:pPr>
      <w:r w:rsidRPr="006B6C7F">
        <w:rPr>
          <w:rFonts w:asciiTheme="minorHAnsi" w:eastAsia="Calibri" w:hAnsiTheme="minorHAnsi" w:cs="Calibri"/>
          <w:sz w:val="24"/>
          <w:szCs w:val="24"/>
        </w:rPr>
        <w:t>Finally, i</w:t>
      </w:r>
      <w:r w:rsidR="00A4270F" w:rsidRPr="006B6C7F">
        <w:rPr>
          <w:rFonts w:asciiTheme="minorHAnsi" w:eastAsia="Calibri" w:hAnsiTheme="minorHAnsi" w:cs="Calibri"/>
          <w:sz w:val="24"/>
          <w:szCs w:val="24"/>
        </w:rPr>
        <w:t xml:space="preserve">n order </w:t>
      </w:r>
      <w:r w:rsidR="00C639C5" w:rsidRPr="006B6C7F">
        <w:rPr>
          <w:rFonts w:asciiTheme="minorHAnsi" w:eastAsia="Calibri" w:hAnsiTheme="minorHAnsi" w:cs="Calibri"/>
          <w:sz w:val="24"/>
          <w:szCs w:val="24"/>
        </w:rPr>
        <w:t xml:space="preserve">for </w:t>
      </w:r>
      <w:r w:rsidR="00A4270F" w:rsidRPr="006B6C7F">
        <w:rPr>
          <w:rFonts w:asciiTheme="minorHAnsi" w:eastAsia="Calibri" w:hAnsiTheme="minorHAnsi" w:cs="Calibri"/>
          <w:sz w:val="24"/>
          <w:szCs w:val="24"/>
        </w:rPr>
        <w:t>students with disabilities to</w:t>
      </w:r>
      <w:r w:rsidRPr="006B6C7F">
        <w:rPr>
          <w:rFonts w:asciiTheme="minorHAnsi" w:eastAsia="Calibri" w:hAnsiTheme="minorHAnsi" w:cs="Calibri"/>
          <w:sz w:val="24"/>
          <w:szCs w:val="24"/>
        </w:rPr>
        <w:t xml:space="preserve"> eventually</w:t>
      </w:r>
      <w:r w:rsidR="00A4270F" w:rsidRPr="006B6C7F">
        <w:rPr>
          <w:rFonts w:asciiTheme="minorHAnsi" w:eastAsia="Calibri" w:hAnsiTheme="minorHAnsi" w:cs="Calibri"/>
          <w:sz w:val="24"/>
          <w:szCs w:val="24"/>
        </w:rPr>
        <w:t xml:space="preserve"> live, work, </w:t>
      </w:r>
      <w:r w:rsidR="009E1197" w:rsidRPr="006B6C7F">
        <w:rPr>
          <w:rFonts w:asciiTheme="minorHAnsi" w:eastAsia="Calibri" w:hAnsiTheme="minorHAnsi" w:cs="Calibri"/>
          <w:sz w:val="24"/>
          <w:szCs w:val="24"/>
        </w:rPr>
        <w:t xml:space="preserve">and </w:t>
      </w:r>
      <w:r w:rsidR="00A4270F" w:rsidRPr="006B6C7F">
        <w:rPr>
          <w:rFonts w:asciiTheme="minorHAnsi" w:eastAsia="Calibri" w:hAnsiTheme="minorHAnsi" w:cs="Calibri"/>
          <w:sz w:val="24"/>
          <w:szCs w:val="24"/>
        </w:rPr>
        <w:t xml:space="preserve">learn in the community, </w:t>
      </w:r>
      <w:r w:rsidR="009F6511" w:rsidRPr="006B6C7F">
        <w:rPr>
          <w:rFonts w:asciiTheme="minorHAnsi" w:eastAsia="Calibri" w:hAnsiTheme="minorHAnsi" w:cs="Calibri"/>
          <w:sz w:val="24"/>
          <w:szCs w:val="24"/>
        </w:rPr>
        <w:t xml:space="preserve">they </w:t>
      </w:r>
      <w:r w:rsidR="00A4270F" w:rsidRPr="006B6C7F">
        <w:rPr>
          <w:rFonts w:asciiTheme="minorHAnsi" w:eastAsia="Calibri" w:hAnsiTheme="minorHAnsi" w:cs="Calibri"/>
          <w:sz w:val="24"/>
          <w:szCs w:val="24"/>
        </w:rPr>
        <w:t xml:space="preserve">must </w:t>
      </w:r>
      <w:r w:rsidRPr="006B6C7F">
        <w:rPr>
          <w:rFonts w:asciiTheme="minorHAnsi" w:eastAsia="Calibri" w:hAnsiTheme="minorHAnsi" w:cs="Calibri"/>
          <w:sz w:val="24"/>
          <w:szCs w:val="24"/>
        </w:rPr>
        <w:t>be able</w:t>
      </w:r>
      <w:r w:rsidR="00A4270F" w:rsidRPr="006B6C7F">
        <w:rPr>
          <w:rFonts w:asciiTheme="minorHAnsi" w:eastAsia="Calibri" w:hAnsiTheme="minorHAnsi" w:cs="Calibri"/>
          <w:sz w:val="24"/>
          <w:szCs w:val="24"/>
        </w:rPr>
        <w:t xml:space="preserve"> to travel</w:t>
      </w:r>
      <w:r w:rsidRPr="006B6C7F">
        <w:rPr>
          <w:rFonts w:asciiTheme="minorHAnsi" w:eastAsia="Calibri" w:hAnsiTheme="minorHAnsi" w:cs="Calibri"/>
          <w:sz w:val="24"/>
          <w:szCs w:val="24"/>
        </w:rPr>
        <w:t xml:space="preserve"> as</w:t>
      </w:r>
      <w:r w:rsidR="00A4270F" w:rsidRPr="006B6C7F">
        <w:rPr>
          <w:rFonts w:asciiTheme="minorHAnsi" w:eastAsia="Calibri" w:hAnsiTheme="minorHAnsi" w:cs="Calibri"/>
          <w:sz w:val="24"/>
          <w:szCs w:val="24"/>
        </w:rPr>
        <w:t xml:space="preserve"> independently</w:t>
      </w:r>
      <w:r w:rsidRPr="006B6C7F">
        <w:rPr>
          <w:rFonts w:asciiTheme="minorHAnsi" w:eastAsia="Calibri" w:hAnsiTheme="minorHAnsi" w:cs="Calibri"/>
          <w:sz w:val="24"/>
          <w:szCs w:val="24"/>
        </w:rPr>
        <w:t xml:space="preserve"> as possible</w:t>
      </w:r>
      <w:r w:rsidR="00A4270F" w:rsidRPr="006B6C7F">
        <w:rPr>
          <w:rFonts w:asciiTheme="minorHAnsi" w:eastAsia="Calibri" w:hAnsiTheme="minorHAnsi" w:cs="Calibri"/>
          <w:sz w:val="24"/>
          <w:szCs w:val="24"/>
        </w:rPr>
        <w:t>. Transition services</w:t>
      </w:r>
      <w:r w:rsidRPr="006B6C7F">
        <w:rPr>
          <w:rFonts w:asciiTheme="minorHAnsi" w:eastAsia="Calibri" w:hAnsiTheme="minorHAnsi" w:cs="Calibri"/>
          <w:sz w:val="24"/>
          <w:szCs w:val="24"/>
        </w:rPr>
        <w:t xml:space="preserve"> can </w:t>
      </w:r>
      <w:r w:rsidR="00A4270F" w:rsidRPr="006B6C7F">
        <w:rPr>
          <w:rFonts w:asciiTheme="minorHAnsi" w:eastAsia="Calibri" w:hAnsiTheme="minorHAnsi" w:cs="Calibri"/>
          <w:sz w:val="24"/>
          <w:szCs w:val="24"/>
        </w:rPr>
        <w:t xml:space="preserve">include travel training, which is individualized instruction designed to teach students how to independently use public or </w:t>
      </w:r>
      <w:proofErr w:type="spellStart"/>
      <w:r w:rsidR="00A4270F" w:rsidRPr="006B6C7F">
        <w:rPr>
          <w:rFonts w:asciiTheme="minorHAnsi" w:eastAsia="Calibri" w:hAnsiTheme="minorHAnsi" w:cs="Calibri"/>
          <w:sz w:val="24"/>
          <w:szCs w:val="24"/>
        </w:rPr>
        <w:t>paratransit</w:t>
      </w:r>
      <w:proofErr w:type="spellEnd"/>
      <w:r w:rsidR="00A4270F" w:rsidRPr="006B6C7F">
        <w:rPr>
          <w:rFonts w:asciiTheme="minorHAnsi" w:eastAsia="Calibri" w:hAnsiTheme="minorHAnsi" w:cs="Calibri"/>
          <w:sz w:val="24"/>
          <w:szCs w:val="24"/>
        </w:rPr>
        <w:t xml:space="preserve"> transportation to travel safely and effectively between home, school, work and community.</w:t>
      </w:r>
      <w:r w:rsidR="00A4270F" w:rsidRPr="006B6C7F">
        <w:rPr>
          <w:rFonts w:asciiTheme="minorHAnsi" w:eastAsia="Calibri" w:hAnsiTheme="minorHAnsi" w:cs="Calibri"/>
          <w:sz w:val="24"/>
          <w:szCs w:val="24"/>
          <w:vertAlign w:val="superscript"/>
        </w:rPr>
        <w:endnoteReference w:id="31"/>
      </w:r>
      <w:r w:rsidR="00A4270F" w:rsidRPr="006B6C7F">
        <w:rPr>
          <w:rFonts w:asciiTheme="minorHAnsi" w:eastAsia="Calibri" w:hAnsiTheme="minorHAnsi" w:cs="Calibri"/>
          <w:sz w:val="24"/>
          <w:szCs w:val="24"/>
        </w:rPr>
        <w:t xml:space="preserve"> </w:t>
      </w:r>
      <w:r w:rsidRPr="006B6C7F">
        <w:rPr>
          <w:rFonts w:asciiTheme="minorHAnsi" w:eastAsia="Calibri" w:hAnsiTheme="minorHAnsi" w:cs="Calibri"/>
          <w:sz w:val="24"/>
          <w:szCs w:val="24"/>
        </w:rPr>
        <w:t>All adults need to be able to successfully travel from home to work to recreation</w:t>
      </w:r>
      <w:r w:rsidR="0027064F" w:rsidRPr="006B6C7F">
        <w:rPr>
          <w:rFonts w:asciiTheme="minorHAnsi" w:eastAsia="Calibri" w:hAnsiTheme="minorHAnsi" w:cs="Calibri"/>
          <w:sz w:val="24"/>
          <w:szCs w:val="24"/>
        </w:rPr>
        <w:t>, and back again</w:t>
      </w:r>
      <w:r w:rsidRPr="006B6C7F">
        <w:rPr>
          <w:rFonts w:asciiTheme="minorHAnsi" w:eastAsia="Calibri" w:hAnsiTheme="minorHAnsi" w:cs="Calibri"/>
          <w:sz w:val="24"/>
          <w:szCs w:val="24"/>
        </w:rPr>
        <w:t>.</w:t>
      </w:r>
      <w:r>
        <w:rPr>
          <w:rFonts w:asciiTheme="minorHAnsi" w:eastAsia="Calibri" w:hAnsiTheme="minorHAnsi" w:cs="Calibri"/>
          <w:sz w:val="24"/>
          <w:szCs w:val="24"/>
        </w:rPr>
        <w:t xml:space="preserve"> </w:t>
      </w:r>
    </w:p>
    <w:p w:rsidR="00E00D5A" w:rsidRPr="00F875ED" w:rsidRDefault="00601486" w:rsidP="007F35A5">
      <w:pPr>
        <w:pStyle w:val="Heading1"/>
        <w:rPr>
          <w:rFonts w:asciiTheme="majorHAnsi" w:hAnsiTheme="majorHAnsi"/>
          <w:sz w:val="26"/>
          <w:szCs w:val="26"/>
        </w:rPr>
      </w:pPr>
      <w:r w:rsidRPr="00F875ED">
        <w:rPr>
          <w:rFonts w:asciiTheme="majorHAnsi" w:hAnsiTheme="majorHAnsi"/>
          <w:sz w:val="26"/>
          <w:szCs w:val="26"/>
        </w:rPr>
        <w:t>Conclusion</w:t>
      </w:r>
    </w:p>
    <w:p w:rsidR="00E00D5A" w:rsidRPr="001D0641" w:rsidRDefault="00601486" w:rsidP="00181650">
      <w:pPr>
        <w:spacing w:before="120" w:after="120"/>
        <w:rPr>
          <w:rFonts w:asciiTheme="minorHAnsi" w:hAnsiTheme="minorHAnsi"/>
          <w:sz w:val="24"/>
          <w:szCs w:val="24"/>
        </w:rPr>
      </w:pPr>
      <w:r w:rsidRPr="001D0641">
        <w:rPr>
          <w:rFonts w:asciiTheme="minorHAnsi" w:eastAsia="Calibri" w:hAnsiTheme="minorHAnsi" w:cs="Calibri"/>
          <w:sz w:val="24"/>
          <w:szCs w:val="24"/>
        </w:rPr>
        <w:t>ESE has placed the highest importance on preparing students to succeed as adults.</w:t>
      </w:r>
      <w:r w:rsidR="001B2480">
        <w:rPr>
          <w:rStyle w:val="EndnoteReference"/>
          <w:rFonts w:asciiTheme="minorHAnsi" w:eastAsia="Calibri" w:hAnsiTheme="minorHAnsi" w:cs="Calibri"/>
          <w:sz w:val="24"/>
          <w:szCs w:val="24"/>
        </w:rPr>
        <w:endnoteReference w:id="32"/>
      </w:r>
      <w:r w:rsidRPr="001D0641">
        <w:rPr>
          <w:rFonts w:asciiTheme="minorHAnsi" w:eastAsia="Calibri" w:hAnsiTheme="minorHAnsi" w:cs="Calibri"/>
          <w:sz w:val="24"/>
          <w:szCs w:val="24"/>
        </w:rPr>
        <w:t xml:space="preserve"> </w:t>
      </w:r>
      <w:r w:rsidR="008B331D">
        <w:rPr>
          <w:rFonts w:asciiTheme="minorHAnsi" w:eastAsia="Calibri" w:hAnsiTheme="minorHAnsi" w:cs="Calibri"/>
          <w:sz w:val="24"/>
          <w:szCs w:val="24"/>
        </w:rPr>
        <w:t>Coordinated, i</w:t>
      </w:r>
      <w:r w:rsidRPr="001D0641">
        <w:rPr>
          <w:rFonts w:asciiTheme="minorHAnsi" w:eastAsia="Calibri" w:hAnsiTheme="minorHAnsi" w:cs="Calibri"/>
          <w:sz w:val="24"/>
          <w:szCs w:val="24"/>
        </w:rPr>
        <w:t xml:space="preserve">ndividualized, </w:t>
      </w:r>
      <w:r w:rsidR="008B331D">
        <w:rPr>
          <w:rFonts w:asciiTheme="minorHAnsi" w:eastAsia="Calibri" w:hAnsiTheme="minorHAnsi" w:cs="Calibri"/>
          <w:sz w:val="24"/>
          <w:szCs w:val="24"/>
        </w:rPr>
        <w:t xml:space="preserve">and </w:t>
      </w:r>
      <w:r w:rsidRPr="001D0641">
        <w:rPr>
          <w:rFonts w:asciiTheme="minorHAnsi" w:eastAsia="Calibri" w:hAnsiTheme="minorHAnsi" w:cs="Calibri"/>
          <w:sz w:val="24"/>
          <w:szCs w:val="24"/>
        </w:rPr>
        <w:t>results</w:t>
      </w:r>
      <w:r w:rsidR="00E365E0">
        <w:rPr>
          <w:rFonts w:asciiTheme="minorHAnsi" w:eastAsia="Calibri" w:hAnsiTheme="minorHAnsi" w:cs="Calibri"/>
          <w:sz w:val="24"/>
          <w:szCs w:val="24"/>
        </w:rPr>
        <w:t xml:space="preserve"> </w:t>
      </w:r>
      <w:r w:rsidRPr="001D0641">
        <w:rPr>
          <w:rFonts w:asciiTheme="minorHAnsi" w:eastAsia="Calibri" w:hAnsiTheme="minorHAnsi" w:cs="Calibri"/>
          <w:sz w:val="24"/>
          <w:szCs w:val="24"/>
        </w:rPr>
        <w:t xml:space="preserve">oriented transition services are critical </w:t>
      </w:r>
      <w:r w:rsidR="00D6116B" w:rsidRPr="001D0641">
        <w:rPr>
          <w:rFonts w:asciiTheme="minorHAnsi" w:eastAsia="Calibri" w:hAnsiTheme="minorHAnsi" w:cs="Calibri"/>
          <w:sz w:val="24"/>
          <w:szCs w:val="24"/>
        </w:rPr>
        <w:t>to</w:t>
      </w:r>
      <w:r w:rsidR="000D4D13" w:rsidRPr="001D0641">
        <w:rPr>
          <w:rFonts w:asciiTheme="minorHAnsi" w:eastAsia="Calibri" w:hAnsiTheme="minorHAnsi" w:cs="Calibri"/>
          <w:sz w:val="24"/>
          <w:szCs w:val="24"/>
        </w:rPr>
        <w:t xml:space="preserve"> making this </w:t>
      </w:r>
      <w:r w:rsidR="00F32CD1" w:rsidRPr="001D0641">
        <w:rPr>
          <w:rFonts w:asciiTheme="minorHAnsi" w:eastAsia="Calibri" w:hAnsiTheme="minorHAnsi" w:cs="Calibri"/>
          <w:sz w:val="24"/>
          <w:szCs w:val="24"/>
        </w:rPr>
        <w:t xml:space="preserve">goal </w:t>
      </w:r>
      <w:r w:rsidRPr="001D0641">
        <w:rPr>
          <w:rFonts w:asciiTheme="minorHAnsi" w:eastAsia="Calibri" w:hAnsiTheme="minorHAnsi" w:cs="Calibri"/>
          <w:sz w:val="24"/>
          <w:szCs w:val="24"/>
        </w:rPr>
        <w:t xml:space="preserve">a reality for students with disabilities.  </w:t>
      </w:r>
    </w:p>
    <w:p w:rsidR="00E00D5A" w:rsidRPr="001D0641" w:rsidRDefault="00E00D5A" w:rsidP="00181650">
      <w:pPr>
        <w:spacing w:before="120" w:after="120"/>
        <w:rPr>
          <w:rFonts w:asciiTheme="minorHAnsi" w:hAnsiTheme="minorHAnsi"/>
          <w:sz w:val="24"/>
          <w:szCs w:val="24"/>
        </w:rPr>
      </w:pPr>
      <w:bookmarkStart w:id="3" w:name="h.30j0zll" w:colFirst="0" w:colLast="0"/>
      <w:bookmarkEnd w:id="3"/>
    </w:p>
    <w:sectPr w:rsidR="00E00D5A" w:rsidRPr="001D0641" w:rsidSect="00324AF4">
      <w:headerReference w:type="default" r:id="rId12"/>
      <w:footerReference w:type="default" r:id="rId13"/>
      <w:endnotePr>
        <w:numFmt w:val="decimal"/>
      </w:endnotePr>
      <w:pgSz w:w="12240" w:h="15840"/>
      <w:pgMar w:top="288" w:right="1440" w:bottom="0" w:left="1440"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70" w:rsidRDefault="00161B70">
      <w:r>
        <w:separator/>
      </w:r>
    </w:p>
  </w:endnote>
  <w:endnote w:type="continuationSeparator" w:id="0">
    <w:p w:rsidR="00161B70" w:rsidRDefault="00161B70">
      <w:r>
        <w:continuationSeparator/>
      </w:r>
    </w:p>
  </w:endnote>
  <w:endnote w:id="1">
    <w:p w:rsidR="00846323" w:rsidRPr="00A66E21" w:rsidRDefault="00846323" w:rsidP="00846323">
      <w:pPr>
        <w:rPr>
          <w:rFonts w:asciiTheme="minorHAnsi" w:hAnsiTheme="minorHAnsi"/>
          <w:color w:val="auto"/>
        </w:rPr>
      </w:pPr>
      <w:r w:rsidRPr="003B0B60">
        <w:rPr>
          <w:rFonts w:asciiTheme="minorHAnsi" w:hAnsiTheme="minorHAnsi"/>
          <w:color w:val="auto"/>
          <w:vertAlign w:val="superscript"/>
        </w:rPr>
        <w:endnoteRef/>
      </w:r>
      <w:r w:rsidRPr="003B0B60">
        <w:rPr>
          <w:rFonts w:asciiTheme="minorHAnsi" w:eastAsia="Calibri" w:hAnsiTheme="minorHAnsi" w:cs="Calibri"/>
          <w:color w:val="auto"/>
        </w:rPr>
        <w:t xml:space="preserve"> </w:t>
      </w:r>
      <w:r w:rsidRPr="00A66E21">
        <w:rPr>
          <w:rFonts w:asciiTheme="minorHAnsi" w:eastAsia="Calibri" w:hAnsiTheme="minorHAnsi" w:cs="Calibri"/>
          <w:color w:val="auto"/>
        </w:rPr>
        <w:t>The other ESE transition advisories address transition assessments, transition goals</w:t>
      </w:r>
      <w:r w:rsidR="008B6216">
        <w:rPr>
          <w:rFonts w:asciiTheme="minorHAnsi" w:eastAsia="Calibri" w:hAnsiTheme="minorHAnsi" w:cs="Calibri"/>
          <w:color w:val="auto"/>
        </w:rPr>
        <w:t>,</w:t>
      </w:r>
      <w:r w:rsidRPr="00A66E21">
        <w:rPr>
          <w:rFonts w:asciiTheme="minorHAnsi" w:eastAsia="Calibri" w:hAnsiTheme="minorHAnsi" w:cs="Calibri"/>
          <w:color w:val="auto"/>
        </w:rPr>
        <w:t xml:space="preserve"> and the age (14 years old) when t</w:t>
      </w:r>
      <w:r w:rsidR="00883A3B">
        <w:rPr>
          <w:rFonts w:asciiTheme="minorHAnsi" w:eastAsia="Calibri" w:hAnsiTheme="minorHAnsi" w:cs="Calibri"/>
          <w:color w:val="auto"/>
        </w:rPr>
        <w:t xml:space="preserve">ransition services must begin. </w:t>
      </w:r>
      <w:r w:rsidRPr="00A66E21">
        <w:rPr>
          <w:rFonts w:asciiTheme="minorHAnsi" w:eastAsia="Calibri" w:hAnsiTheme="minorHAnsi" w:cs="Calibri"/>
          <w:color w:val="auto"/>
        </w:rPr>
        <w:t xml:space="preserve">The transition advisories, as well as ESE’s self-determination advisory, may be found on ESE’s Transition Services website at </w:t>
      </w:r>
      <w:hyperlink r:id="rId1">
        <w:r w:rsidRPr="00A66E21">
          <w:rPr>
            <w:rFonts w:asciiTheme="minorHAnsi" w:eastAsia="Calibri" w:hAnsiTheme="minorHAnsi" w:cs="Calibri"/>
            <w:color w:val="auto"/>
            <w:u w:val="single"/>
          </w:rPr>
          <w:t>www.doe.mass.edu/sped/secondary-transition</w:t>
        </w:r>
      </w:hyperlink>
      <w:hyperlink r:id="rId2"/>
    </w:p>
  </w:endnote>
  <w:endnote w:id="2">
    <w:p w:rsidR="00846323" w:rsidRPr="00A66E21" w:rsidRDefault="00846323" w:rsidP="00846323">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OSEP’s </w:t>
      </w:r>
      <w:r w:rsidRPr="00A66E21">
        <w:rPr>
          <w:rFonts w:asciiTheme="minorHAnsi" w:eastAsia="Calibri" w:hAnsiTheme="minorHAnsi" w:cs="Calibri"/>
          <w:i/>
          <w:color w:val="auto"/>
        </w:rPr>
        <w:t>Results Driven Accountability</w:t>
      </w:r>
      <w:r w:rsidRPr="00A66E21">
        <w:rPr>
          <w:rFonts w:asciiTheme="minorHAnsi" w:eastAsia="Calibri" w:hAnsiTheme="minorHAnsi" w:cs="Calibri"/>
          <w:color w:val="auto"/>
        </w:rPr>
        <w:t xml:space="preserve"> shifts from a system focused primarily on compliance to one that puts greater emphasis on results. See OSEP’s results driven accountability home page found online at </w:t>
      </w:r>
      <w:hyperlink r:id="rId3">
        <w:r w:rsidRPr="00A66E21">
          <w:rPr>
            <w:rFonts w:asciiTheme="minorHAnsi" w:eastAsia="Calibri" w:hAnsiTheme="minorHAnsi" w:cs="Calibri"/>
            <w:color w:val="auto"/>
            <w:u w:val="single"/>
          </w:rPr>
          <w:t>www2.ed.gov/about/offices/list/osers/osep/rda</w:t>
        </w:r>
      </w:hyperlink>
      <w:r w:rsidRPr="00A66E21">
        <w:rPr>
          <w:rFonts w:asciiTheme="minorHAnsi" w:eastAsia="Calibri" w:hAnsiTheme="minorHAnsi" w:cs="Calibri"/>
          <w:color w:val="auto"/>
        </w:rPr>
        <w:t xml:space="preserve"> </w:t>
      </w:r>
    </w:p>
  </w:endnote>
  <w:endnote w:id="3">
    <w:p w:rsidR="00AC17B7" w:rsidRPr="00A66E21" w:rsidRDefault="00AC17B7" w:rsidP="00AC17B7">
      <w:pPr>
        <w:rPr>
          <w:rFonts w:asciiTheme="minorHAnsi" w:hAnsiTheme="minorHAnsi"/>
          <w:color w:val="auto"/>
        </w:rPr>
      </w:pPr>
      <w:r w:rsidRPr="00A66E21">
        <w:rPr>
          <w:rStyle w:val="EndnoteReference"/>
          <w:rFonts w:asciiTheme="minorHAnsi" w:hAnsiTheme="minorHAnsi"/>
        </w:rPr>
        <w:endnoteRef/>
      </w:r>
      <w:r w:rsidRPr="00A66E21">
        <w:rPr>
          <w:rFonts w:asciiTheme="minorHAnsi" w:hAnsiTheme="minorHAnsi"/>
        </w:rPr>
        <w:t xml:space="preserve"> </w:t>
      </w:r>
      <w:r w:rsidRPr="00A66E21">
        <w:rPr>
          <w:rFonts w:asciiTheme="minorHAnsi" w:eastAsia="Calibri" w:hAnsiTheme="minorHAnsi" w:cs="Calibri"/>
          <w:color w:val="auto"/>
        </w:rPr>
        <w:t>Massachusetts’</w:t>
      </w:r>
      <w:r w:rsidRPr="00A66E21">
        <w:rPr>
          <w:rFonts w:asciiTheme="minorHAnsi" w:eastAsia="Calibri" w:hAnsiTheme="minorHAnsi" w:cs="Calibri"/>
          <w:i/>
          <w:color w:val="auto"/>
        </w:rPr>
        <w:t xml:space="preserve"> Definition of Career and College Readiness</w:t>
      </w:r>
      <w:r w:rsidRPr="00A66E21">
        <w:rPr>
          <w:rFonts w:asciiTheme="minorHAnsi" w:eastAsia="Calibri" w:hAnsiTheme="minorHAnsi" w:cs="Calibri"/>
          <w:color w:val="auto"/>
        </w:rPr>
        <w:t xml:space="preserve"> includes: </w:t>
      </w:r>
    </w:p>
    <w:p w:rsidR="00AC17B7" w:rsidRPr="00A66E21" w:rsidRDefault="00AC17B7" w:rsidP="00AC17B7">
      <w:pPr>
        <w:numPr>
          <w:ilvl w:val="0"/>
          <w:numId w:val="3"/>
        </w:numPr>
        <w:ind w:hanging="360"/>
        <w:contextualSpacing/>
        <w:rPr>
          <w:rFonts w:asciiTheme="minorHAnsi" w:hAnsiTheme="minorHAnsi"/>
          <w:color w:val="auto"/>
        </w:rPr>
      </w:pPr>
      <w:r w:rsidRPr="00A66E21">
        <w:rPr>
          <w:rFonts w:asciiTheme="minorHAnsi" w:eastAsia="Calibri" w:hAnsiTheme="minorHAnsi" w:cs="Calibri"/>
          <w:i/>
          <w:color w:val="auto"/>
        </w:rPr>
        <w:t>Learning skills</w:t>
      </w:r>
      <w:r w:rsidRPr="00A66E21">
        <w:rPr>
          <w:rFonts w:asciiTheme="minorHAnsi" w:eastAsia="Calibri" w:hAnsiTheme="minorHAnsi" w:cs="Calibri"/>
          <w:color w:val="auto"/>
        </w:rPr>
        <w:t xml:space="preserve"> which include reading, writing and mathematical problem solving.</w:t>
      </w:r>
    </w:p>
    <w:p w:rsidR="00AC17B7" w:rsidRPr="00A66E21" w:rsidRDefault="00AC17B7" w:rsidP="00AC17B7">
      <w:pPr>
        <w:numPr>
          <w:ilvl w:val="0"/>
          <w:numId w:val="3"/>
        </w:numPr>
        <w:ind w:hanging="360"/>
        <w:contextualSpacing/>
        <w:rPr>
          <w:rFonts w:asciiTheme="minorHAnsi" w:hAnsiTheme="minorHAnsi"/>
          <w:color w:val="auto"/>
        </w:rPr>
      </w:pPr>
      <w:r w:rsidRPr="00A66E21">
        <w:rPr>
          <w:rFonts w:asciiTheme="minorHAnsi" w:eastAsia="Calibri" w:hAnsiTheme="minorHAnsi" w:cs="Calibri"/>
          <w:i/>
          <w:color w:val="auto"/>
        </w:rPr>
        <w:t>Workplace readiness</w:t>
      </w:r>
      <w:r w:rsidRPr="00A66E21">
        <w:rPr>
          <w:rFonts w:asciiTheme="minorHAnsi" w:eastAsia="Calibri" w:hAnsiTheme="minorHAnsi" w:cs="Calibri"/>
          <w:color w:val="auto"/>
        </w:rPr>
        <w:t xml:space="preserve"> which includes attendance and punctuality, accepting direction with a positive attitude, taking initiative, communicating well and interacting with co-workers.</w:t>
      </w:r>
    </w:p>
    <w:p w:rsidR="00AC17B7" w:rsidRPr="00A66E21" w:rsidRDefault="00AC17B7" w:rsidP="00AC17B7">
      <w:pPr>
        <w:numPr>
          <w:ilvl w:val="0"/>
          <w:numId w:val="3"/>
        </w:numPr>
        <w:ind w:hanging="360"/>
        <w:contextualSpacing/>
        <w:rPr>
          <w:rFonts w:asciiTheme="minorHAnsi" w:hAnsiTheme="minorHAnsi"/>
          <w:color w:val="auto"/>
        </w:rPr>
      </w:pPr>
      <w:r w:rsidRPr="00A66E21">
        <w:rPr>
          <w:rFonts w:asciiTheme="minorHAnsi" w:eastAsia="Calibri" w:hAnsiTheme="minorHAnsi" w:cs="Calibri"/>
          <w:i/>
          <w:color w:val="auto"/>
        </w:rPr>
        <w:t xml:space="preserve">Quantitative and qualitative abilities </w:t>
      </w:r>
      <w:r w:rsidRPr="00A66E21">
        <w:rPr>
          <w:rFonts w:asciiTheme="minorHAnsi" w:eastAsia="Calibri" w:hAnsiTheme="minorHAnsi" w:cs="Calibri"/>
          <w:color w:val="auto"/>
        </w:rPr>
        <w:t>(referred to as</w:t>
      </w:r>
      <w:r w:rsidRPr="00A66E21">
        <w:rPr>
          <w:rFonts w:asciiTheme="minorHAnsi" w:eastAsia="Calibri" w:hAnsiTheme="minorHAnsi" w:cs="Calibri"/>
          <w:i/>
          <w:color w:val="auto"/>
        </w:rPr>
        <w:t xml:space="preserve"> </w:t>
      </w:r>
      <w:r w:rsidRPr="00A66E21">
        <w:rPr>
          <w:rFonts w:asciiTheme="minorHAnsi" w:eastAsia="Calibri" w:hAnsiTheme="minorHAnsi" w:cs="Calibri"/>
          <w:color w:val="auto"/>
        </w:rPr>
        <w:t>“qualities and strategies”) which include the ability to think critically, be flexible, direct and evaluate one’s own learning, self-advocate</w:t>
      </w:r>
      <w:r w:rsidR="00883A3B">
        <w:rPr>
          <w:rFonts w:asciiTheme="minorHAnsi" w:eastAsia="Calibri" w:hAnsiTheme="minorHAnsi" w:cs="Calibri"/>
          <w:color w:val="auto"/>
        </w:rPr>
        <w:t>,</w:t>
      </w:r>
      <w:r w:rsidRPr="00A66E21">
        <w:rPr>
          <w:rFonts w:asciiTheme="minorHAnsi" w:eastAsia="Calibri" w:hAnsiTheme="minorHAnsi" w:cs="Calibri"/>
          <w:color w:val="auto"/>
        </w:rPr>
        <w:t xml:space="preserve"> and act responsibly.</w:t>
      </w:r>
    </w:p>
    <w:p w:rsidR="00AC17B7" w:rsidRPr="00A66E21" w:rsidRDefault="00AC17B7" w:rsidP="00AC17B7">
      <w:pPr>
        <w:pStyle w:val="EndnoteText"/>
        <w:rPr>
          <w:rFonts w:asciiTheme="minorHAnsi" w:hAnsiTheme="minorHAnsi"/>
          <w:sz w:val="22"/>
          <w:szCs w:val="22"/>
        </w:rPr>
      </w:pPr>
      <w:r w:rsidRPr="00A66E21">
        <w:rPr>
          <w:rFonts w:asciiTheme="minorHAnsi" w:eastAsia="Calibri" w:hAnsiTheme="minorHAnsi" w:cs="Calibri"/>
          <w:color w:val="auto"/>
          <w:sz w:val="22"/>
          <w:szCs w:val="22"/>
        </w:rPr>
        <w:t xml:space="preserve">See </w:t>
      </w:r>
      <w:hyperlink r:id="rId4">
        <w:r w:rsidRPr="00A66E21">
          <w:rPr>
            <w:rFonts w:asciiTheme="minorHAnsi" w:eastAsia="Calibri" w:hAnsiTheme="minorHAnsi" w:cs="Calibri"/>
            <w:color w:val="auto"/>
            <w:sz w:val="22"/>
            <w:szCs w:val="22"/>
            <w:u w:val="single"/>
          </w:rPr>
          <w:t>www.mass.edu/library/documents/2013College&amp;CareerReadinessDefinition.pdf</w:t>
        </w:r>
      </w:hyperlink>
    </w:p>
  </w:endnote>
  <w:endnote w:id="4">
    <w:p w:rsidR="00477526" w:rsidRPr="00A66E21" w:rsidRDefault="00477526" w:rsidP="00477526">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See 20 U.S.C. § 1401(34</w:t>
      </w:r>
      <w:proofErr w:type="gramStart"/>
      <w:r w:rsidRPr="00A66E21">
        <w:rPr>
          <w:rFonts w:asciiTheme="minorHAnsi" w:eastAsia="Calibri" w:hAnsiTheme="minorHAnsi" w:cs="Calibri"/>
          <w:color w:val="auto"/>
        </w:rPr>
        <w:t>)(</w:t>
      </w:r>
      <w:proofErr w:type="gramEnd"/>
      <w:r w:rsidRPr="00A66E21">
        <w:rPr>
          <w:rFonts w:asciiTheme="minorHAnsi" w:eastAsia="Calibri" w:hAnsiTheme="minorHAnsi" w:cs="Calibri"/>
          <w:color w:val="auto"/>
        </w:rPr>
        <w:t xml:space="preserve">A).  </w:t>
      </w:r>
    </w:p>
  </w:endnote>
  <w:endnote w:id="5">
    <w:p w:rsidR="00ED0B96" w:rsidRPr="00A66E21" w:rsidRDefault="00ED0B96" w:rsidP="00ED0B96">
      <w:pPr>
        <w:pStyle w:val="EndnoteText"/>
        <w:rPr>
          <w:rFonts w:asciiTheme="minorHAnsi" w:hAnsiTheme="minorHAnsi"/>
          <w:sz w:val="22"/>
          <w:szCs w:val="22"/>
        </w:rPr>
      </w:pPr>
      <w:r w:rsidRPr="00A66E21">
        <w:rPr>
          <w:rStyle w:val="EndnoteReference"/>
          <w:rFonts w:asciiTheme="minorHAnsi" w:hAnsiTheme="minorHAnsi"/>
          <w:sz w:val="22"/>
          <w:szCs w:val="22"/>
        </w:rPr>
        <w:endnoteRef/>
      </w:r>
      <w:r w:rsidRPr="00A66E21">
        <w:rPr>
          <w:rFonts w:asciiTheme="minorHAnsi" w:hAnsiTheme="minorHAnsi"/>
          <w:sz w:val="22"/>
          <w:szCs w:val="22"/>
        </w:rPr>
        <w:t xml:space="preserve"> See MGL c. 71B, s. 2.  </w:t>
      </w:r>
    </w:p>
  </w:endnote>
  <w:endnote w:id="6">
    <w:p w:rsidR="00F313F2" w:rsidRPr="00A66E21" w:rsidRDefault="00F313F2">
      <w:pPr>
        <w:pStyle w:val="EndnoteText"/>
        <w:rPr>
          <w:rFonts w:asciiTheme="minorHAnsi" w:hAnsiTheme="minorHAnsi"/>
          <w:sz w:val="22"/>
          <w:szCs w:val="22"/>
        </w:rPr>
      </w:pPr>
      <w:r w:rsidRPr="00A66E21">
        <w:rPr>
          <w:rStyle w:val="EndnoteReference"/>
          <w:rFonts w:asciiTheme="minorHAnsi" w:hAnsiTheme="minorHAnsi"/>
          <w:sz w:val="22"/>
          <w:szCs w:val="22"/>
        </w:rPr>
        <w:endnoteRef/>
      </w:r>
      <w:r w:rsidRPr="00A66E21">
        <w:rPr>
          <w:rFonts w:asciiTheme="minorHAnsi" w:hAnsiTheme="minorHAnsi"/>
          <w:sz w:val="22"/>
          <w:szCs w:val="22"/>
        </w:rPr>
        <w:t xml:space="preserve"> See </w:t>
      </w:r>
      <w:r w:rsidR="00243346" w:rsidRPr="00243346">
        <w:rPr>
          <w:rFonts w:asciiTheme="minorHAnsi" w:hAnsiTheme="minorHAnsi"/>
          <w:i/>
          <w:sz w:val="22"/>
          <w:szCs w:val="22"/>
        </w:rPr>
        <w:t>Technical Assistance Advisory SPED 2014-4: Transition Assessment in the Secondary Transition Planning Process</w:t>
      </w:r>
      <w:r w:rsidR="00243346">
        <w:rPr>
          <w:rFonts w:asciiTheme="minorHAnsi" w:hAnsiTheme="minorHAnsi"/>
          <w:sz w:val="22"/>
          <w:szCs w:val="22"/>
        </w:rPr>
        <w:t xml:space="preserve">, </w:t>
      </w:r>
      <w:hyperlink r:id="rId5" w:history="1">
        <w:r w:rsidR="00243346" w:rsidRPr="00AD17D6">
          <w:rPr>
            <w:rStyle w:val="Hyperlink"/>
            <w:rFonts w:asciiTheme="minorHAnsi" w:hAnsiTheme="minorHAnsi"/>
            <w:sz w:val="22"/>
            <w:szCs w:val="22"/>
          </w:rPr>
          <w:t>www.doe.mass.edu/sped/advisories/2014-4ta.html</w:t>
        </w:r>
      </w:hyperlink>
      <w:r w:rsidR="00243346">
        <w:rPr>
          <w:rFonts w:asciiTheme="minorHAnsi" w:hAnsiTheme="minorHAnsi"/>
          <w:sz w:val="22"/>
          <w:szCs w:val="22"/>
        </w:rPr>
        <w:t xml:space="preserve"> </w:t>
      </w:r>
    </w:p>
  </w:endnote>
  <w:endnote w:id="7">
    <w:p w:rsidR="00254329" w:rsidRPr="00A66E21" w:rsidRDefault="00254329" w:rsidP="00254329">
      <w:pPr>
        <w:keepNext/>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IDEA regulations (34 CFR 300.115) require each school district to have a continuum of alternative placements available to meet the needs of students with disabilities for special education and related services. The United States Department of Education has further explained that “the LEA has an obligation to make available a full continuum of alternative placement options that maximize opportunities for its children with disabilities to be educated with nondisabled peers to the extent appropriate.” </w:t>
      </w:r>
      <w:proofErr w:type="gramStart"/>
      <w:r w:rsidRPr="00A66E21">
        <w:rPr>
          <w:rFonts w:asciiTheme="minorHAnsi" w:eastAsia="Calibri" w:hAnsiTheme="minorHAnsi" w:cs="Calibri"/>
          <w:color w:val="auto"/>
        </w:rPr>
        <w:t>71 Fed.</w:t>
      </w:r>
      <w:proofErr w:type="gramEnd"/>
      <w:r w:rsidRPr="00A66E21">
        <w:rPr>
          <w:rFonts w:asciiTheme="minorHAnsi" w:eastAsia="Calibri" w:hAnsiTheme="minorHAnsi" w:cs="Calibri"/>
          <w:color w:val="auto"/>
        </w:rPr>
        <w:t xml:space="preserve"> </w:t>
      </w:r>
      <w:proofErr w:type="gramStart"/>
      <w:r w:rsidRPr="00A66E21">
        <w:rPr>
          <w:rFonts w:asciiTheme="minorHAnsi" w:eastAsia="Calibri" w:hAnsiTheme="minorHAnsi" w:cs="Calibri"/>
          <w:color w:val="auto"/>
        </w:rPr>
        <w:t>Reg. at 46588.</w:t>
      </w:r>
      <w:proofErr w:type="gramEnd"/>
      <w:r w:rsidRPr="00A66E21">
        <w:rPr>
          <w:rFonts w:asciiTheme="minorHAnsi" w:eastAsia="Calibri" w:hAnsiTheme="minorHAnsi" w:cs="Calibri"/>
          <w:color w:val="auto"/>
        </w:rPr>
        <w:t xml:space="preserve">  </w:t>
      </w:r>
    </w:p>
  </w:endnote>
  <w:endnote w:id="8">
    <w:p w:rsidR="00250C43" w:rsidRPr="00A66E21" w:rsidRDefault="00250C43" w:rsidP="00250C43">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See 603 CMR 28.06(4).  </w:t>
      </w:r>
    </w:p>
  </w:endnote>
  <w:endnote w:id="9">
    <w:p w:rsidR="00254329" w:rsidRPr="008B6216" w:rsidRDefault="00254329" w:rsidP="00254329">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See Teresa </w:t>
      </w:r>
      <w:proofErr w:type="spellStart"/>
      <w:r w:rsidRPr="00A66E21">
        <w:rPr>
          <w:rFonts w:asciiTheme="minorHAnsi" w:eastAsia="Calibri" w:hAnsiTheme="minorHAnsi" w:cs="Calibri"/>
          <w:color w:val="auto"/>
        </w:rPr>
        <w:t>Grossi</w:t>
      </w:r>
      <w:proofErr w:type="spellEnd"/>
      <w:r w:rsidRPr="00A66E21">
        <w:rPr>
          <w:rFonts w:asciiTheme="minorHAnsi" w:eastAsia="Calibri" w:hAnsiTheme="minorHAnsi" w:cs="Calibri"/>
          <w:color w:val="auto"/>
        </w:rPr>
        <w:t xml:space="preserve"> and Cassandra Cole, </w:t>
      </w:r>
      <w:r w:rsidRPr="00A66E21">
        <w:rPr>
          <w:rFonts w:asciiTheme="minorHAnsi" w:eastAsia="Calibri" w:hAnsiTheme="minorHAnsi" w:cs="Calibri"/>
          <w:i/>
          <w:color w:val="auto"/>
        </w:rPr>
        <w:t>Teaching Transition Skills in Inclusive Schools</w:t>
      </w:r>
      <w:r w:rsidRPr="00A66E21">
        <w:rPr>
          <w:rFonts w:asciiTheme="minorHAnsi" w:eastAsia="Calibri" w:hAnsiTheme="minorHAnsi" w:cs="Calibri"/>
          <w:color w:val="auto"/>
        </w:rPr>
        <w:t xml:space="preserve"> (Paul H. Brookes </w:t>
      </w:r>
      <w:r w:rsidRPr="008B6216">
        <w:rPr>
          <w:rFonts w:asciiTheme="minorHAnsi" w:eastAsia="Calibri" w:hAnsiTheme="minorHAnsi" w:cs="Calibri"/>
          <w:color w:val="auto"/>
        </w:rPr>
        <w:t>Publishing Co. 2013).</w:t>
      </w:r>
    </w:p>
  </w:endnote>
  <w:endnote w:id="10">
    <w:p w:rsidR="00254329" w:rsidRPr="008B6216" w:rsidRDefault="00254329" w:rsidP="00254329">
      <w:pPr>
        <w:rPr>
          <w:rFonts w:asciiTheme="minorHAnsi" w:hAnsiTheme="minorHAnsi"/>
          <w:color w:val="auto"/>
        </w:rPr>
      </w:pPr>
      <w:r w:rsidRPr="008B6216">
        <w:rPr>
          <w:rFonts w:asciiTheme="minorHAnsi" w:hAnsiTheme="minorHAnsi"/>
          <w:color w:val="auto"/>
          <w:vertAlign w:val="superscript"/>
        </w:rPr>
        <w:endnoteRef/>
      </w:r>
      <w:r w:rsidRPr="008B6216">
        <w:rPr>
          <w:rFonts w:asciiTheme="minorHAnsi" w:eastAsia="Calibri" w:hAnsiTheme="minorHAnsi" w:cs="Calibri"/>
          <w:color w:val="auto"/>
        </w:rPr>
        <w:t xml:space="preserve"> </w:t>
      </w:r>
      <w:r w:rsidRPr="008B6216">
        <w:rPr>
          <w:rFonts w:asciiTheme="minorHAnsi" w:hAnsiTheme="minorHAnsi"/>
          <w:color w:val="auto"/>
          <w:shd w:val="clear" w:color="auto" w:fill="FFFFFF"/>
        </w:rPr>
        <w:t>Connecting Activities is an ESE initiative that leverages a statewide infrastructure to support college and career readiness for all students. </w:t>
      </w:r>
      <w:r w:rsidRPr="008B6216">
        <w:rPr>
          <w:rFonts w:asciiTheme="minorHAnsi" w:eastAsia="Calibri" w:hAnsiTheme="minorHAnsi" w:cs="Calibri"/>
          <w:color w:val="auto"/>
        </w:rPr>
        <w:t xml:space="preserve">See </w:t>
      </w:r>
      <w:hyperlink r:id="rId6">
        <w:r w:rsidRPr="008B6216">
          <w:rPr>
            <w:rFonts w:asciiTheme="minorHAnsi" w:eastAsia="Calibri" w:hAnsiTheme="minorHAnsi" w:cs="Calibri"/>
            <w:color w:val="auto"/>
            <w:u w:val="single"/>
          </w:rPr>
          <w:t>www.massconnecting.org</w:t>
        </w:r>
      </w:hyperlink>
      <w:r w:rsidRPr="008B6216">
        <w:rPr>
          <w:rFonts w:asciiTheme="minorHAnsi" w:eastAsia="Calibri" w:hAnsiTheme="minorHAnsi" w:cs="Calibri"/>
          <w:color w:val="auto"/>
        </w:rPr>
        <w:t>.</w:t>
      </w:r>
    </w:p>
  </w:endnote>
  <w:endnote w:id="11">
    <w:p w:rsidR="00254329" w:rsidRPr="00A66E21" w:rsidRDefault="00254329" w:rsidP="00254329">
      <w:pPr>
        <w:rPr>
          <w:rFonts w:asciiTheme="minorHAnsi" w:hAnsiTheme="minorHAnsi"/>
          <w:color w:val="auto"/>
        </w:rPr>
      </w:pPr>
      <w:r w:rsidRPr="008B6216">
        <w:rPr>
          <w:rFonts w:asciiTheme="minorHAnsi" w:hAnsiTheme="minorHAnsi"/>
          <w:color w:val="auto"/>
          <w:vertAlign w:val="superscript"/>
        </w:rPr>
        <w:endnoteRef/>
      </w:r>
      <w:r w:rsidRPr="008B6216">
        <w:rPr>
          <w:rFonts w:asciiTheme="minorHAnsi" w:eastAsia="Calibri" w:hAnsiTheme="minorHAnsi" w:cs="Calibri"/>
          <w:color w:val="auto"/>
        </w:rPr>
        <w:t xml:space="preserve"> The </w:t>
      </w:r>
      <w:r w:rsidRPr="008B6216">
        <w:rPr>
          <w:rFonts w:asciiTheme="minorHAnsi" w:hAnsiTheme="minorHAnsi"/>
          <w:i/>
        </w:rPr>
        <w:t>Massachusetts Work-Based Learning Plan</w:t>
      </w:r>
      <w:r w:rsidRPr="008B6216">
        <w:rPr>
          <w:rFonts w:asciiTheme="minorHAnsi" w:hAnsiTheme="minorHAnsi"/>
        </w:rPr>
        <w:t xml:space="preserve"> was developed by ESE as a diagnostic, goal-setting</w:t>
      </w:r>
      <w:r w:rsidR="00883A3B">
        <w:rPr>
          <w:rFonts w:asciiTheme="minorHAnsi" w:hAnsiTheme="minorHAnsi"/>
        </w:rPr>
        <w:t>,</w:t>
      </w:r>
      <w:r w:rsidRPr="008B6216">
        <w:rPr>
          <w:rFonts w:asciiTheme="minorHAnsi" w:hAnsiTheme="minorHAnsi"/>
        </w:rPr>
        <w:t xml:space="preserve"> and assessment tool designed to drive learning and productivity on the job.</w:t>
      </w:r>
      <w:r w:rsidRPr="008B6216">
        <w:rPr>
          <w:rFonts w:asciiTheme="minorHAnsi" w:hAnsiTheme="minorHAnsi"/>
          <w:color w:val="auto"/>
          <w:shd w:val="clear" w:color="auto" w:fill="F8F8F0"/>
        </w:rPr>
        <w:t xml:space="preserve"> </w:t>
      </w:r>
      <w:r w:rsidRPr="008B6216">
        <w:rPr>
          <w:rFonts w:asciiTheme="minorHAnsi" w:eastAsia="Calibri" w:hAnsiTheme="minorHAnsi" w:cs="Calibri"/>
          <w:color w:val="auto"/>
        </w:rPr>
        <w:t xml:space="preserve">See </w:t>
      </w:r>
      <w:hyperlink r:id="rId7">
        <w:r w:rsidRPr="008B6216">
          <w:rPr>
            <w:rFonts w:asciiTheme="minorHAnsi" w:eastAsia="Calibri" w:hAnsiTheme="minorHAnsi" w:cs="Calibri"/>
            <w:color w:val="auto"/>
            <w:u w:val="single"/>
          </w:rPr>
          <w:t>www.skillslibrary.com/wbl.htm</w:t>
        </w:r>
      </w:hyperlink>
      <w:r w:rsidRPr="00A66E21">
        <w:rPr>
          <w:rFonts w:asciiTheme="minorHAnsi" w:eastAsia="Calibri" w:hAnsiTheme="minorHAnsi" w:cs="Calibri"/>
          <w:color w:val="auto"/>
        </w:rPr>
        <w:t xml:space="preserve"> </w:t>
      </w:r>
    </w:p>
  </w:endnote>
  <w:endnote w:id="12">
    <w:p w:rsidR="00254329" w:rsidRPr="00A66E21" w:rsidRDefault="00254329" w:rsidP="00254329">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See the </w:t>
      </w:r>
      <w:r w:rsidRPr="00367ED9">
        <w:rPr>
          <w:rFonts w:asciiTheme="minorHAnsi" w:hAnsiTheme="minorHAnsi"/>
          <w:i/>
          <w:color w:val="auto"/>
        </w:rPr>
        <w:t>Massachusetts Guide for Implementing Individual Learning Plans</w:t>
      </w:r>
      <w:r w:rsidRPr="00A66E21">
        <w:rPr>
          <w:rFonts w:asciiTheme="minorHAnsi" w:hAnsiTheme="minorHAnsi"/>
          <w:color w:val="auto"/>
        </w:rPr>
        <w:t xml:space="preserve">, found online at </w:t>
      </w:r>
      <w:hyperlink r:id="rId8">
        <w:r w:rsidRPr="00A66E21">
          <w:rPr>
            <w:rFonts w:asciiTheme="minorHAnsi" w:eastAsia="Calibri" w:hAnsiTheme="minorHAnsi" w:cs="Calibri"/>
            <w:color w:val="auto"/>
            <w:u w:val="single"/>
          </w:rPr>
          <w:t>www.doe.mass.edu/ccr/schoolcounseling/ilpguidance2014.pdf</w:t>
        </w:r>
      </w:hyperlink>
      <w:r w:rsidRPr="00A66E21">
        <w:rPr>
          <w:rFonts w:asciiTheme="minorHAnsi" w:eastAsia="Calibri" w:hAnsiTheme="minorHAnsi" w:cs="Calibri"/>
          <w:color w:val="auto"/>
        </w:rPr>
        <w:t xml:space="preserve"> </w:t>
      </w:r>
    </w:p>
  </w:endnote>
  <w:endnote w:id="13">
    <w:p w:rsidR="003C7F11" w:rsidRPr="00A66E21" w:rsidRDefault="003C7F11">
      <w:pPr>
        <w:pStyle w:val="EndnoteText"/>
        <w:rPr>
          <w:rFonts w:asciiTheme="minorHAnsi" w:hAnsiTheme="minorHAnsi"/>
          <w:sz w:val="22"/>
          <w:szCs w:val="22"/>
        </w:rPr>
      </w:pPr>
      <w:r w:rsidRPr="00A66E21">
        <w:rPr>
          <w:rStyle w:val="EndnoteReference"/>
          <w:rFonts w:asciiTheme="minorHAnsi" w:hAnsiTheme="minorHAnsi"/>
          <w:sz w:val="22"/>
          <w:szCs w:val="22"/>
        </w:rPr>
        <w:endnoteRef/>
      </w:r>
      <w:r w:rsidRPr="00A66E21">
        <w:rPr>
          <w:rFonts w:asciiTheme="minorHAnsi" w:hAnsiTheme="minorHAnsi"/>
          <w:sz w:val="22"/>
          <w:szCs w:val="22"/>
        </w:rPr>
        <w:t xml:space="preserve"> </w:t>
      </w:r>
      <w:r w:rsidR="00883A3B">
        <w:rPr>
          <w:rFonts w:asciiTheme="minorHAnsi" w:hAnsiTheme="minorHAnsi"/>
          <w:sz w:val="22"/>
          <w:szCs w:val="22"/>
        </w:rPr>
        <w:t xml:space="preserve">See </w:t>
      </w:r>
      <w:hyperlink r:id="rId9" w:history="1">
        <w:r w:rsidRPr="00A66E21">
          <w:rPr>
            <w:rStyle w:val="Hyperlink"/>
            <w:rFonts w:asciiTheme="minorHAnsi" w:hAnsiTheme="minorHAnsi"/>
            <w:sz w:val="22"/>
            <w:szCs w:val="22"/>
          </w:rPr>
          <w:t>www.doleta.gov/wioa</w:t>
        </w:r>
      </w:hyperlink>
      <w:r w:rsidRPr="00A66E21">
        <w:rPr>
          <w:rFonts w:asciiTheme="minorHAnsi" w:hAnsiTheme="minorHAnsi"/>
          <w:sz w:val="22"/>
          <w:szCs w:val="22"/>
        </w:rPr>
        <w:t xml:space="preserve"> </w:t>
      </w:r>
    </w:p>
  </w:endnote>
  <w:endnote w:id="14">
    <w:p w:rsidR="007E52C1" w:rsidRPr="000A7233" w:rsidRDefault="007E52C1">
      <w:pPr>
        <w:pStyle w:val="EndnoteText"/>
        <w:rPr>
          <w:rFonts w:asciiTheme="minorHAnsi" w:hAnsiTheme="minorHAnsi"/>
          <w:sz w:val="22"/>
          <w:szCs w:val="22"/>
        </w:rPr>
      </w:pPr>
      <w:r w:rsidRPr="000A7233">
        <w:rPr>
          <w:rStyle w:val="EndnoteReference"/>
          <w:rFonts w:asciiTheme="minorHAnsi" w:hAnsiTheme="minorHAnsi"/>
          <w:sz w:val="22"/>
          <w:szCs w:val="22"/>
        </w:rPr>
        <w:endnoteRef/>
      </w:r>
      <w:r w:rsidRPr="000A7233">
        <w:rPr>
          <w:rFonts w:asciiTheme="minorHAnsi" w:hAnsiTheme="minorHAnsi"/>
          <w:sz w:val="22"/>
          <w:szCs w:val="22"/>
        </w:rPr>
        <w:t xml:space="preserve"> See </w:t>
      </w:r>
      <w:hyperlink r:id="rId10" w:history="1">
        <w:r w:rsidRPr="000A7233">
          <w:rPr>
            <w:rStyle w:val="Hyperlink"/>
            <w:rFonts w:asciiTheme="minorHAnsi" w:hAnsiTheme="minorHAnsi"/>
            <w:sz w:val="22"/>
            <w:szCs w:val="22"/>
          </w:rPr>
          <w:t>www.mass.edu/strategic/read_cdep.asp</w:t>
        </w:r>
      </w:hyperlink>
      <w:r w:rsidRPr="000A7233">
        <w:rPr>
          <w:rFonts w:asciiTheme="minorHAnsi" w:hAnsiTheme="minorHAnsi"/>
          <w:sz w:val="22"/>
          <w:szCs w:val="22"/>
        </w:rPr>
        <w:t xml:space="preserve"> </w:t>
      </w:r>
    </w:p>
  </w:endnote>
  <w:endnote w:id="15">
    <w:p w:rsidR="000A7233" w:rsidRPr="000A7233" w:rsidRDefault="000A7233">
      <w:pPr>
        <w:pStyle w:val="EndnoteText"/>
        <w:rPr>
          <w:rFonts w:asciiTheme="minorHAnsi" w:hAnsiTheme="minorHAnsi"/>
          <w:sz w:val="22"/>
          <w:szCs w:val="22"/>
        </w:rPr>
      </w:pPr>
      <w:r w:rsidRPr="000A7233">
        <w:rPr>
          <w:rStyle w:val="EndnoteReference"/>
          <w:rFonts w:asciiTheme="minorHAnsi" w:hAnsiTheme="minorHAnsi"/>
          <w:sz w:val="22"/>
          <w:szCs w:val="22"/>
        </w:rPr>
        <w:endnoteRef/>
      </w:r>
      <w:r w:rsidRPr="000A7233">
        <w:rPr>
          <w:rFonts w:asciiTheme="minorHAnsi" w:hAnsiTheme="minorHAnsi"/>
          <w:sz w:val="22"/>
          <w:szCs w:val="22"/>
        </w:rPr>
        <w:t xml:space="preserve"> Several Massachusetts community colleges participate in this national initiative which serves at-risk youth, </w:t>
      </w:r>
      <w:hyperlink r:id="rId11" w:history="1">
        <w:r w:rsidRPr="000A7233">
          <w:rPr>
            <w:rStyle w:val="Hyperlink"/>
            <w:rFonts w:asciiTheme="minorHAnsi" w:hAnsiTheme="minorHAnsi"/>
            <w:sz w:val="22"/>
            <w:szCs w:val="22"/>
          </w:rPr>
          <w:t>www.gatewaytocollege.org/</w:t>
        </w:r>
      </w:hyperlink>
      <w:r w:rsidRPr="000A7233">
        <w:rPr>
          <w:rFonts w:asciiTheme="minorHAnsi" w:hAnsiTheme="minorHAnsi"/>
          <w:sz w:val="22"/>
          <w:szCs w:val="22"/>
        </w:rPr>
        <w:t xml:space="preserve">. </w:t>
      </w:r>
    </w:p>
  </w:endnote>
  <w:endnote w:id="16">
    <w:p w:rsidR="00D13A90" w:rsidRPr="00D13A90" w:rsidRDefault="00D13A90">
      <w:pPr>
        <w:pStyle w:val="EndnoteText"/>
        <w:rPr>
          <w:rFonts w:asciiTheme="minorHAnsi" w:hAnsiTheme="minorHAnsi"/>
          <w:sz w:val="22"/>
          <w:szCs w:val="22"/>
        </w:rPr>
      </w:pPr>
      <w:r w:rsidRPr="00D13A90">
        <w:rPr>
          <w:rStyle w:val="EndnoteReference"/>
          <w:rFonts w:asciiTheme="minorHAnsi" w:hAnsiTheme="minorHAnsi"/>
          <w:sz w:val="22"/>
          <w:szCs w:val="22"/>
        </w:rPr>
        <w:endnoteRef/>
      </w:r>
      <w:r w:rsidRPr="00D13A90">
        <w:rPr>
          <w:rFonts w:asciiTheme="minorHAnsi" w:hAnsiTheme="minorHAnsi"/>
          <w:sz w:val="22"/>
          <w:szCs w:val="22"/>
        </w:rPr>
        <w:t xml:space="preserve"> See </w:t>
      </w:r>
      <w:hyperlink r:id="rId12" w:history="1">
        <w:r w:rsidRPr="00D13A90">
          <w:rPr>
            <w:rStyle w:val="Hyperlink"/>
            <w:rFonts w:asciiTheme="minorHAnsi" w:hAnsiTheme="minorHAnsi"/>
            <w:sz w:val="22"/>
            <w:szCs w:val="22"/>
          </w:rPr>
          <w:t>www.mass.gov/edu/birth-grade-12/higher-education/initiatives-and-special-programs/inclusive-concurrent-enrollment/</w:t>
        </w:r>
      </w:hyperlink>
      <w:r w:rsidRPr="00D13A90">
        <w:rPr>
          <w:rFonts w:asciiTheme="minorHAnsi" w:hAnsiTheme="minorHAnsi"/>
          <w:sz w:val="22"/>
          <w:szCs w:val="22"/>
        </w:rPr>
        <w:t xml:space="preserve">. </w:t>
      </w:r>
    </w:p>
  </w:endnote>
  <w:endnote w:id="17">
    <w:p w:rsidR="005E3EA8" w:rsidRPr="00A66E21" w:rsidRDefault="005E3EA8">
      <w:pPr>
        <w:pStyle w:val="EndnoteText"/>
        <w:rPr>
          <w:rFonts w:asciiTheme="minorHAnsi" w:hAnsiTheme="minorHAnsi"/>
          <w:sz w:val="22"/>
          <w:szCs w:val="22"/>
        </w:rPr>
      </w:pPr>
      <w:r w:rsidRPr="000A7233">
        <w:rPr>
          <w:rStyle w:val="EndnoteReference"/>
          <w:rFonts w:asciiTheme="minorHAnsi" w:hAnsiTheme="minorHAnsi"/>
          <w:sz w:val="22"/>
          <w:szCs w:val="22"/>
        </w:rPr>
        <w:endnoteRef/>
      </w:r>
      <w:r w:rsidRPr="000A7233">
        <w:rPr>
          <w:rFonts w:asciiTheme="minorHAnsi" w:hAnsiTheme="minorHAnsi"/>
          <w:sz w:val="22"/>
          <w:szCs w:val="22"/>
        </w:rPr>
        <w:t xml:space="preserve"> Mandated Form 28M/9, </w:t>
      </w:r>
      <w:hyperlink r:id="rId13" w:history="1">
        <w:r w:rsidRPr="000A7233">
          <w:rPr>
            <w:rStyle w:val="Hyperlink"/>
            <w:rFonts w:asciiTheme="minorHAnsi" w:hAnsiTheme="minorHAnsi"/>
            <w:sz w:val="22"/>
            <w:szCs w:val="22"/>
          </w:rPr>
          <w:t>www.doe.mass.edu/sped/28MR/28m9.pdf</w:t>
        </w:r>
      </w:hyperlink>
      <w:r w:rsidRPr="00A66E21">
        <w:rPr>
          <w:rFonts w:asciiTheme="minorHAnsi" w:hAnsiTheme="minorHAnsi"/>
          <w:sz w:val="22"/>
          <w:szCs w:val="22"/>
        </w:rPr>
        <w:t xml:space="preserve"> </w:t>
      </w:r>
    </w:p>
  </w:endnote>
  <w:endnote w:id="18">
    <w:p w:rsidR="00342AB0" w:rsidRPr="00342AB0" w:rsidRDefault="00342AB0">
      <w:pPr>
        <w:pStyle w:val="EndnoteText"/>
        <w:rPr>
          <w:rFonts w:asciiTheme="minorHAnsi" w:hAnsiTheme="minorHAnsi"/>
          <w:sz w:val="22"/>
          <w:szCs w:val="22"/>
        </w:rPr>
      </w:pPr>
      <w:r w:rsidRPr="00342AB0">
        <w:rPr>
          <w:rStyle w:val="EndnoteReference"/>
          <w:rFonts w:asciiTheme="minorHAnsi" w:hAnsiTheme="minorHAnsi"/>
          <w:sz w:val="22"/>
          <w:szCs w:val="22"/>
        </w:rPr>
        <w:endnoteRef/>
      </w:r>
      <w:r w:rsidRPr="00342AB0">
        <w:rPr>
          <w:rFonts w:asciiTheme="minorHAnsi" w:hAnsiTheme="minorHAnsi"/>
          <w:sz w:val="22"/>
          <w:szCs w:val="22"/>
        </w:rPr>
        <w:t xml:space="preserve"> See </w:t>
      </w:r>
      <w:r w:rsidRPr="00342AB0">
        <w:rPr>
          <w:rFonts w:asciiTheme="minorHAnsi" w:hAnsiTheme="minorHAnsi"/>
          <w:i/>
          <w:sz w:val="22"/>
          <w:szCs w:val="22"/>
        </w:rPr>
        <w:t>Technical Assistance Advisory SPED 2013-1: Postsecondary Goals and Annual IEP Goals in the Transition Planning Process</w:t>
      </w:r>
      <w:r>
        <w:rPr>
          <w:rFonts w:asciiTheme="minorHAnsi" w:hAnsiTheme="minorHAnsi"/>
          <w:sz w:val="22"/>
          <w:szCs w:val="22"/>
        </w:rPr>
        <w:t xml:space="preserve">, </w:t>
      </w:r>
      <w:hyperlink r:id="rId14" w:history="1">
        <w:r w:rsidR="000E40C2" w:rsidRPr="00473F00">
          <w:rPr>
            <w:rStyle w:val="Hyperlink"/>
            <w:rFonts w:asciiTheme="minorHAnsi" w:hAnsiTheme="minorHAnsi"/>
            <w:sz w:val="22"/>
            <w:szCs w:val="22"/>
          </w:rPr>
          <w:t>www.doe.mass.edu/sped/advisories/13_1ta.html</w:t>
        </w:r>
      </w:hyperlink>
      <w:r w:rsidR="000E40C2">
        <w:rPr>
          <w:rFonts w:asciiTheme="minorHAnsi" w:hAnsiTheme="minorHAnsi"/>
          <w:sz w:val="22"/>
          <w:szCs w:val="22"/>
        </w:rPr>
        <w:t xml:space="preserve"> </w:t>
      </w:r>
    </w:p>
  </w:endnote>
  <w:endnote w:id="19">
    <w:p w:rsidR="00086D7F" w:rsidRPr="00A66E21" w:rsidRDefault="00086D7F">
      <w:pPr>
        <w:pStyle w:val="EndnoteText"/>
        <w:rPr>
          <w:rFonts w:asciiTheme="minorHAnsi" w:hAnsiTheme="minorHAnsi"/>
          <w:sz w:val="22"/>
          <w:szCs w:val="22"/>
        </w:rPr>
      </w:pPr>
      <w:r w:rsidRPr="00A66E21">
        <w:rPr>
          <w:rStyle w:val="EndnoteReference"/>
          <w:rFonts w:asciiTheme="minorHAnsi" w:hAnsiTheme="minorHAnsi"/>
          <w:sz w:val="22"/>
          <w:szCs w:val="22"/>
        </w:rPr>
        <w:endnoteRef/>
      </w:r>
      <w:r w:rsidRPr="00A66E21">
        <w:rPr>
          <w:rFonts w:asciiTheme="minorHAnsi" w:hAnsiTheme="minorHAnsi"/>
          <w:sz w:val="22"/>
          <w:szCs w:val="22"/>
        </w:rPr>
        <w:t xml:space="preserve"> See </w:t>
      </w:r>
      <w:hyperlink r:id="rId15" w:history="1">
        <w:r w:rsidRPr="00A66E21">
          <w:rPr>
            <w:rStyle w:val="Hyperlink"/>
            <w:rFonts w:asciiTheme="minorHAnsi" w:hAnsiTheme="minorHAnsi"/>
            <w:sz w:val="22"/>
            <w:szCs w:val="22"/>
          </w:rPr>
          <w:t>http://www.doe.mass.edu/sped/secondary-transition/indicator13-transition-assessment.pdf</w:t>
        </w:r>
      </w:hyperlink>
      <w:r w:rsidRPr="00A66E21">
        <w:rPr>
          <w:rFonts w:asciiTheme="minorHAnsi" w:hAnsiTheme="minorHAnsi"/>
          <w:sz w:val="22"/>
          <w:szCs w:val="22"/>
        </w:rPr>
        <w:t xml:space="preserve"> </w:t>
      </w:r>
    </w:p>
  </w:endnote>
  <w:endnote w:id="20">
    <w:p w:rsidR="00844DF0" w:rsidRPr="00A66E21" w:rsidRDefault="00844DF0">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See </w:t>
      </w:r>
      <w:r w:rsidRPr="00A66E21">
        <w:rPr>
          <w:rFonts w:asciiTheme="minorHAnsi" w:eastAsia="Calibri" w:hAnsiTheme="minorHAnsi" w:cs="Calibri"/>
          <w:i/>
          <w:color w:val="auto"/>
        </w:rPr>
        <w:t xml:space="preserve">Bd. of Educ. of the </w:t>
      </w:r>
      <w:proofErr w:type="spellStart"/>
      <w:r w:rsidRPr="00A66E21">
        <w:rPr>
          <w:rFonts w:asciiTheme="minorHAnsi" w:eastAsia="Calibri" w:hAnsiTheme="minorHAnsi" w:cs="Calibri"/>
          <w:i/>
          <w:color w:val="auto"/>
        </w:rPr>
        <w:t>Hendrick</w:t>
      </w:r>
      <w:proofErr w:type="spellEnd"/>
      <w:r w:rsidRPr="00A66E21">
        <w:rPr>
          <w:rFonts w:asciiTheme="minorHAnsi" w:eastAsia="Calibri" w:hAnsiTheme="minorHAnsi" w:cs="Calibri"/>
          <w:i/>
          <w:color w:val="auto"/>
        </w:rPr>
        <w:t xml:space="preserve"> Hudson Central Sch. Dist. v. Rowley,</w:t>
      </w:r>
      <w:r w:rsidRPr="00A66E21">
        <w:rPr>
          <w:rFonts w:asciiTheme="minorHAnsi" w:eastAsia="Calibri" w:hAnsiTheme="minorHAnsi" w:cs="Calibri"/>
          <w:color w:val="auto"/>
        </w:rPr>
        <w:t xml:space="preserve"> 458 U.S. 176, 181 (1982) (special education services must be "tailored to the unique needs of the handicapped child”).</w:t>
      </w:r>
    </w:p>
  </w:endnote>
  <w:endnote w:id="21">
    <w:p w:rsidR="00846099" w:rsidRPr="00A66E21" w:rsidRDefault="00846099" w:rsidP="00846099">
      <w:pPr>
        <w:pStyle w:val="EndnoteText"/>
        <w:rPr>
          <w:rFonts w:asciiTheme="minorHAnsi" w:hAnsiTheme="minorHAnsi"/>
          <w:sz w:val="22"/>
          <w:szCs w:val="22"/>
        </w:rPr>
      </w:pPr>
      <w:bookmarkStart w:id="2" w:name="h.1fob9te" w:colFirst="0" w:colLast="0"/>
      <w:bookmarkEnd w:id="2"/>
      <w:r w:rsidRPr="00A66E21">
        <w:rPr>
          <w:rStyle w:val="EndnoteReference"/>
          <w:rFonts w:asciiTheme="minorHAnsi" w:hAnsiTheme="minorHAnsi"/>
          <w:sz w:val="22"/>
          <w:szCs w:val="22"/>
        </w:rPr>
        <w:endnoteRef/>
      </w:r>
      <w:r w:rsidRPr="00A66E21">
        <w:rPr>
          <w:rFonts w:asciiTheme="minorHAnsi" w:hAnsiTheme="minorHAnsi"/>
          <w:sz w:val="22"/>
          <w:szCs w:val="22"/>
        </w:rPr>
        <w:t xml:space="preserve"> </w:t>
      </w:r>
      <w:hyperlink r:id="rId16" w:history="1">
        <w:r w:rsidRPr="00A66E21">
          <w:rPr>
            <w:rStyle w:val="Hyperlink"/>
            <w:rFonts w:asciiTheme="minorHAnsi" w:hAnsiTheme="minorHAnsi"/>
            <w:sz w:val="22"/>
            <w:szCs w:val="22"/>
          </w:rPr>
          <w:t>www.doe.mass.edu/connect/cde</w:t>
        </w:r>
      </w:hyperlink>
      <w:r w:rsidRPr="00A66E21">
        <w:rPr>
          <w:rFonts w:asciiTheme="minorHAnsi" w:hAnsiTheme="minorHAnsi"/>
          <w:sz w:val="22"/>
          <w:szCs w:val="22"/>
        </w:rPr>
        <w:t xml:space="preserve"> </w:t>
      </w:r>
    </w:p>
  </w:endnote>
  <w:endnote w:id="22">
    <w:p w:rsidR="00524D64" w:rsidRPr="00A66E21" w:rsidRDefault="00524D64">
      <w:pPr>
        <w:pStyle w:val="EndnoteText"/>
        <w:rPr>
          <w:rFonts w:asciiTheme="minorHAnsi" w:hAnsiTheme="minorHAnsi"/>
          <w:sz w:val="22"/>
          <w:szCs w:val="22"/>
        </w:rPr>
      </w:pPr>
      <w:r w:rsidRPr="00A66E21">
        <w:rPr>
          <w:rStyle w:val="EndnoteReference"/>
          <w:rFonts w:asciiTheme="minorHAnsi" w:hAnsiTheme="minorHAnsi"/>
          <w:sz w:val="22"/>
          <w:szCs w:val="22"/>
        </w:rPr>
        <w:endnoteRef/>
      </w:r>
      <w:r w:rsidRPr="00A66E21">
        <w:rPr>
          <w:rFonts w:asciiTheme="minorHAnsi" w:hAnsiTheme="minorHAnsi"/>
          <w:sz w:val="22"/>
          <w:szCs w:val="22"/>
        </w:rPr>
        <w:t xml:space="preserve"> See </w:t>
      </w:r>
      <w:hyperlink r:id="rId17" w:history="1">
        <w:r w:rsidRPr="00A66E21">
          <w:rPr>
            <w:rStyle w:val="Hyperlink"/>
            <w:rFonts w:asciiTheme="minorHAnsi" w:hAnsiTheme="minorHAnsi"/>
            <w:sz w:val="22"/>
            <w:szCs w:val="22"/>
          </w:rPr>
          <w:t>profiles.doe.mass.edu/</w:t>
        </w:r>
        <w:proofErr w:type="spellStart"/>
        <w:r w:rsidRPr="00A66E21">
          <w:rPr>
            <w:rStyle w:val="Hyperlink"/>
            <w:rFonts w:asciiTheme="minorHAnsi" w:hAnsiTheme="minorHAnsi"/>
            <w:sz w:val="22"/>
            <w:szCs w:val="22"/>
          </w:rPr>
          <w:t>state_report</w:t>
        </w:r>
        <w:proofErr w:type="spellEnd"/>
        <w:r w:rsidRPr="00A66E21">
          <w:rPr>
            <w:rStyle w:val="Hyperlink"/>
            <w:rFonts w:asciiTheme="minorHAnsi" w:hAnsiTheme="minorHAnsi"/>
            <w:sz w:val="22"/>
            <w:szCs w:val="22"/>
          </w:rPr>
          <w:t>/</w:t>
        </w:r>
      </w:hyperlink>
      <w:r w:rsidRPr="00A66E21">
        <w:rPr>
          <w:rFonts w:asciiTheme="minorHAnsi" w:hAnsiTheme="minorHAnsi"/>
          <w:sz w:val="22"/>
          <w:szCs w:val="22"/>
        </w:rPr>
        <w:t xml:space="preserve"> </w:t>
      </w:r>
    </w:p>
  </w:endnote>
  <w:endnote w:id="23">
    <w:p w:rsidR="00844DF0" w:rsidRPr="00A66E21" w:rsidRDefault="00844DF0">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As noted </w:t>
      </w:r>
      <w:r w:rsidR="00D07AD9" w:rsidRPr="00A66E21">
        <w:rPr>
          <w:rFonts w:asciiTheme="minorHAnsi" w:eastAsia="Calibri" w:hAnsiTheme="minorHAnsi" w:cs="Calibri"/>
          <w:color w:val="auto"/>
        </w:rPr>
        <w:t xml:space="preserve">in an </w:t>
      </w:r>
      <w:r w:rsidRPr="00A66E21">
        <w:rPr>
          <w:rFonts w:asciiTheme="minorHAnsi" w:eastAsia="Calibri" w:hAnsiTheme="minorHAnsi" w:cs="Calibri"/>
          <w:color w:val="auto"/>
        </w:rPr>
        <w:t>earlier</w:t>
      </w:r>
      <w:r w:rsidR="00D07AD9" w:rsidRPr="00A66E21">
        <w:rPr>
          <w:rFonts w:asciiTheme="minorHAnsi" w:eastAsia="Calibri" w:hAnsiTheme="minorHAnsi" w:cs="Calibri"/>
          <w:color w:val="auto"/>
        </w:rPr>
        <w:t xml:space="preserve"> footnote</w:t>
      </w:r>
      <w:r w:rsidRPr="00A66E21">
        <w:rPr>
          <w:rFonts w:asciiTheme="minorHAnsi" w:eastAsia="Calibri" w:hAnsiTheme="minorHAnsi" w:cs="Calibri"/>
          <w:color w:val="auto"/>
        </w:rPr>
        <w:t>, OSEP has revised its accountability system</w:t>
      </w:r>
      <w:r w:rsidR="00D07AD9" w:rsidRPr="00A66E21">
        <w:rPr>
          <w:rFonts w:asciiTheme="minorHAnsi" w:eastAsia="Calibri" w:hAnsiTheme="minorHAnsi" w:cs="Calibri"/>
          <w:color w:val="auto"/>
        </w:rPr>
        <w:t xml:space="preserve">, </w:t>
      </w:r>
      <w:r w:rsidRPr="00A66E21">
        <w:rPr>
          <w:rFonts w:asciiTheme="minorHAnsi" w:eastAsia="Calibri" w:hAnsiTheme="minorHAnsi" w:cs="Calibri"/>
          <w:color w:val="auto"/>
        </w:rPr>
        <w:t>shift</w:t>
      </w:r>
      <w:r w:rsidR="00D07AD9" w:rsidRPr="00A66E21">
        <w:rPr>
          <w:rFonts w:asciiTheme="minorHAnsi" w:eastAsia="Calibri" w:hAnsiTheme="minorHAnsi" w:cs="Calibri"/>
          <w:color w:val="auto"/>
        </w:rPr>
        <w:t xml:space="preserve">ing </w:t>
      </w:r>
      <w:r w:rsidRPr="00A66E21">
        <w:rPr>
          <w:rFonts w:asciiTheme="minorHAnsi" w:eastAsia="Calibri" w:hAnsiTheme="minorHAnsi" w:cs="Calibri"/>
          <w:color w:val="auto"/>
        </w:rPr>
        <w:t>from a system focused primarily on compliance to one that puts more emphasis on results. See also 34 CFR 300.43(a</w:t>
      </w:r>
      <w:proofErr w:type="gramStart"/>
      <w:r w:rsidRPr="00A66E21">
        <w:rPr>
          <w:rFonts w:asciiTheme="minorHAnsi" w:eastAsia="Calibri" w:hAnsiTheme="minorHAnsi" w:cs="Calibri"/>
          <w:color w:val="auto"/>
        </w:rPr>
        <w:t>)(</w:t>
      </w:r>
      <w:proofErr w:type="gramEnd"/>
      <w:r w:rsidRPr="00A66E21">
        <w:rPr>
          <w:rFonts w:asciiTheme="minorHAnsi" w:eastAsia="Calibri" w:hAnsiTheme="minorHAnsi" w:cs="Calibri"/>
          <w:color w:val="auto"/>
        </w:rPr>
        <w:t>1) (requiring transition services to be designed within a results-oriented process).</w:t>
      </w:r>
    </w:p>
  </w:endnote>
  <w:endnote w:id="24">
    <w:p w:rsidR="00844DF0" w:rsidRPr="00A66E21" w:rsidRDefault="00844DF0">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The United States Department of Education has explained that the purpose of transition services is to help students with disabilities “make a successful transition to his or her goals for life after secondary educatio</w:t>
      </w:r>
      <w:r w:rsidR="00C90905" w:rsidRPr="00A66E21">
        <w:rPr>
          <w:rFonts w:asciiTheme="minorHAnsi" w:eastAsia="Calibri" w:hAnsiTheme="minorHAnsi" w:cs="Calibri"/>
          <w:color w:val="auto"/>
        </w:rPr>
        <w:t xml:space="preserve">n.”  </w:t>
      </w:r>
      <w:proofErr w:type="gramStart"/>
      <w:r w:rsidR="00C90905" w:rsidRPr="00A66E21">
        <w:rPr>
          <w:rFonts w:asciiTheme="minorHAnsi" w:eastAsia="Calibri" w:hAnsiTheme="minorHAnsi" w:cs="Calibri"/>
          <w:color w:val="auto"/>
        </w:rPr>
        <w:t>64 Fed.</w:t>
      </w:r>
      <w:proofErr w:type="gramEnd"/>
      <w:r w:rsidR="00C90905" w:rsidRPr="00A66E21">
        <w:rPr>
          <w:rFonts w:asciiTheme="minorHAnsi" w:eastAsia="Calibri" w:hAnsiTheme="minorHAnsi" w:cs="Calibri"/>
          <w:color w:val="auto"/>
        </w:rPr>
        <w:t xml:space="preserve"> Reg. 12474-12475. </w:t>
      </w:r>
      <w:r w:rsidRPr="00A66E21">
        <w:rPr>
          <w:rFonts w:asciiTheme="minorHAnsi" w:eastAsia="Calibri" w:hAnsiTheme="minorHAnsi" w:cs="Calibri"/>
          <w:color w:val="auto"/>
        </w:rPr>
        <w:t>See also 20 U.S.C. § 1401(34</w:t>
      </w:r>
      <w:proofErr w:type="gramStart"/>
      <w:r w:rsidRPr="00A66E21">
        <w:rPr>
          <w:rFonts w:asciiTheme="minorHAnsi" w:eastAsia="Calibri" w:hAnsiTheme="minorHAnsi" w:cs="Calibri"/>
          <w:color w:val="auto"/>
        </w:rPr>
        <w:t>)(</w:t>
      </w:r>
      <w:proofErr w:type="gramEnd"/>
      <w:r w:rsidRPr="00A66E21">
        <w:rPr>
          <w:rFonts w:asciiTheme="minorHAnsi" w:eastAsia="Calibri" w:hAnsiTheme="minorHAnsi" w:cs="Calibri"/>
          <w:color w:val="auto"/>
        </w:rPr>
        <w:t>A).</w:t>
      </w:r>
    </w:p>
  </w:endnote>
  <w:endnote w:id="25">
    <w:p w:rsidR="00844DF0" w:rsidRPr="00A66E21" w:rsidRDefault="00844DF0">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See 20 USC § 1400(c</w:t>
      </w:r>
      <w:proofErr w:type="gramStart"/>
      <w:r w:rsidRPr="00A66E21">
        <w:rPr>
          <w:rFonts w:asciiTheme="minorHAnsi" w:eastAsia="Calibri" w:hAnsiTheme="minorHAnsi" w:cs="Calibri"/>
          <w:color w:val="auto"/>
        </w:rPr>
        <w:t>)(</w:t>
      </w:r>
      <w:proofErr w:type="gramEnd"/>
      <w:r w:rsidRPr="00A66E21">
        <w:rPr>
          <w:rFonts w:asciiTheme="minorHAnsi" w:eastAsia="Calibri" w:hAnsiTheme="minorHAnsi" w:cs="Calibri"/>
          <w:color w:val="auto"/>
        </w:rPr>
        <w:t>14).</w:t>
      </w:r>
    </w:p>
  </w:endnote>
  <w:endnote w:id="26">
    <w:p w:rsidR="000A3B5F" w:rsidRPr="00A66E21" w:rsidRDefault="000A3B5F" w:rsidP="009A44D4">
      <w:pPr>
        <w:pStyle w:val="EndnoteText"/>
        <w:rPr>
          <w:rFonts w:asciiTheme="minorHAnsi" w:hAnsiTheme="minorHAnsi"/>
          <w:sz w:val="22"/>
          <w:szCs w:val="22"/>
        </w:rPr>
      </w:pPr>
      <w:r w:rsidRPr="00A66E21">
        <w:rPr>
          <w:rStyle w:val="EndnoteReference"/>
          <w:rFonts w:asciiTheme="minorHAnsi" w:hAnsiTheme="minorHAnsi"/>
          <w:sz w:val="22"/>
          <w:szCs w:val="22"/>
        </w:rPr>
        <w:endnoteRef/>
      </w:r>
      <w:r w:rsidRPr="00A66E21">
        <w:rPr>
          <w:rFonts w:asciiTheme="minorHAnsi" w:hAnsiTheme="minorHAnsi"/>
          <w:sz w:val="22"/>
          <w:szCs w:val="22"/>
        </w:rPr>
        <w:t xml:space="preserve"> </w:t>
      </w:r>
      <w:proofErr w:type="spellStart"/>
      <w:proofErr w:type="gramStart"/>
      <w:r w:rsidR="009A44D4" w:rsidRPr="009A44D4">
        <w:rPr>
          <w:rFonts w:asciiTheme="minorHAnsi" w:hAnsiTheme="minorHAnsi"/>
          <w:sz w:val="22"/>
          <w:szCs w:val="22"/>
        </w:rPr>
        <w:t>Hehir</w:t>
      </w:r>
      <w:proofErr w:type="spellEnd"/>
      <w:r w:rsidR="009A44D4" w:rsidRPr="009A44D4">
        <w:rPr>
          <w:rFonts w:asciiTheme="minorHAnsi" w:hAnsiTheme="minorHAnsi"/>
          <w:sz w:val="22"/>
          <w:szCs w:val="22"/>
        </w:rPr>
        <w:t xml:space="preserve">, T., </w:t>
      </w:r>
      <w:proofErr w:type="spellStart"/>
      <w:r w:rsidR="009A44D4" w:rsidRPr="009A44D4">
        <w:rPr>
          <w:rFonts w:asciiTheme="minorHAnsi" w:hAnsiTheme="minorHAnsi"/>
          <w:sz w:val="22"/>
          <w:szCs w:val="22"/>
        </w:rPr>
        <w:t>Grindal</w:t>
      </w:r>
      <w:proofErr w:type="spellEnd"/>
      <w:r w:rsidR="009A44D4" w:rsidRPr="009A44D4">
        <w:rPr>
          <w:rFonts w:asciiTheme="minorHAnsi" w:hAnsiTheme="minorHAnsi"/>
          <w:sz w:val="22"/>
          <w:szCs w:val="22"/>
        </w:rPr>
        <w:t xml:space="preserve">, T., &amp; </w:t>
      </w:r>
      <w:proofErr w:type="spellStart"/>
      <w:r w:rsidR="009A44D4" w:rsidRPr="009A44D4">
        <w:rPr>
          <w:rFonts w:asciiTheme="minorHAnsi" w:hAnsiTheme="minorHAnsi"/>
          <w:sz w:val="22"/>
          <w:szCs w:val="22"/>
        </w:rPr>
        <w:t>Eidelman</w:t>
      </w:r>
      <w:proofErr w:type="spellEnd"/>
      <w:r w:rsidR="009A44D4" w:rsidRPr="009A44D4">
        <w:rPr>
          <w:rFonts w:asciiTheme="minorHAnsi" w:hAnsiTheme="minorHAnsi"/>
          <w:sz w:val="22"/>
          <w:szCs w:val="22"/>
        </w:rPr>
        <w:t>, H. (2012, April).</w:t>
      </w:r>
      <w:proofErr w:type="gramEnd"/>
      <w:r w:rsidR="009A44D4" w:rsidRPr="009A44D4">
        <w:rPr>
          <w:rFonts w:asciiTheme="minorHAnsi" w:hAnsiTheme="minorHAnsi"/>
          <w:sz w:val="22"/>
          <w:szCs w:val="22"/>
        </w:rPr>
        <w:t xml:space="preserve"> </w:t>
      </w:r>
      <w:proofErr w:type="gramStart"/>
      <w:r w:rsidR="009A44D4" w:rsidRPr="009A44D4">
        <w:rPr>
          <w:rFonts w:asciiTheme="minorHAnsi" w:hAnsiTheme="minorHAnsi"/>
          <w:sz w:val="22"/>
          <w:szCs w:val="22"/>
        </w:rPr>
        <w:t>Review of Special Education in the Commonwealth of Massachusetts (Rep.).</w:t>
      </w:r>
      <w:proofErr w:type="gramEnd"/>
      <w:r w:rsidR="009A44D4" w:rsidRPr="009A44D4">
        <w:rPr>
          <w:rFonts w:asciiTheme="minorHAnsi" w:hAnsiTheme="minorHAnsi"/>
          <w:sz w:val="22"/>
          <w:szCs w:val="22"/>
        </w:rPr>
        <w:t xml:space="preserve"> Retrieved </w:t>
      </w:r>
      <w:hyperlink r:id="rId18" w:history="1">
        <w:r w:rsidR="009A44D4" w:rsidRPr="0052500E">
          <w:rPr>
            <w:rStyle w:val="Hyperlink"/>
            <w:rFonts w:asciiTheme="minorHAnsi" w:hAnsiTheme="minorHAnsi"/>
            <w:sz w:val="22"/>
            <w:szCs w:val="22"/>
          </w:rPr>
          <w:t>www.doe.mass.edu/sped/hehir/2012-04sped.pdf</w:t>
        </w:r>
      </w:hyperlink>
      <w:r w:rsidR="009A44D4">
        <w:rPr>
          <w:rFonts w:asciiTheme="minorHAnsi" w:hAnsiTheme="minorHAnsi"/>
          <w:sz w:val="22"/>
          <w:szCs w:val="22"/>
        </w:rPr>
        <w:t xml:space="preserve"> </w:t>
      </w:r>
    </w:p>
  </w:endnote>
  <w:endnote w:id="27">
    <w:p w:rsidR="00844DF0" w:rsidRPr="00A66E21" w:rsidRDefault="00844DF0">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See 20 USC § 1400(d</w:t>
      </w:r>
      <w:proofErr w:type="gramStart"/>
      <w:r w:rsidRPr="00A66E21">
        <w:rPr>
          <w:rFonts w:asciiTheme="minorHAnsi" w:eastAsia="Calibri" w:hAnsiTheme="minorHAnsi" w:cs="Calibri"/>
          <w:color w:val="auto"/>
        </w:rPr>
        <w:t>)(</w:t>
      </w:r>
      <w:proofErr w:type="gramEnd"/>
      <w:r w:rsidRPr="00A66E21">
        <w:rPr>
          <w:rFonts w:asciiTheme="minorHAnsi" w:eastAsia="Calibri" w:hAnsiTheme="minorHAnsi" w:cs="Calibri"/>
          <w:color w:val="auto"/>
        </w:rPr>
        <w:t>1)(A); 20 USC § 1412(a)(1)(A);</w:t>
      </w:r>
      <w:r w:rsidRPr="00A66E21">
        <w:rPr>
          <w:rFonts w:asciiTheme="minorHAnsi" w:eastAsia="Calibri" w:hAnsiTheme="minorHAnsi" w:cs="Calibri"/>
          <w:i/>
          <w:color w:val="auto"/>
        </w:rPr>
        <w:t xml:space="preserve"> </w:t>
      </w:r>
      <w:r w:rsidRPr="00A66E21">
        <w:rPr>
          <w:rFonts w:asciiTheme="minorHAnsi" w:eastAsia="Calibri" w:hAnsiTheme="minorHAnsi" w:cs="Calibri"/>
          <w:color w:val="auto"/>
        </w:rPr>
        <w:t xml:space="preserve">20 USC § 1412(a)(5); MGL c. 71B, s.1.  </w:t>
      </w:r>
    </w:p>
  </w:endnote>
  <w:endnote w:id="28">
    <w:p w:rsidR="008C391D" w:rsidRPr="00A66E21" w:rsidRDefault="008C391D" w:rsidP="008C391D">
      <w:pPr>
        <w:rPr>
          <w:rFonts w:asciiTheme="minorHAnsi" w:eastAsia="Calibri" w:hAnsiTheme="minorHAnsi" w:cs="Calibr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w:t>
      </w:r>
      <w:r w:rsidRPr="00A66E21">
        <w:rPr>
          <w:rFonts w:asciiTheme="minorHAnsi" w:eastAsia="Calibri" w:hAnsiTheme="minorHAnsi" w:cs="Calibri"/>
        </w:rPr>
        <w:t xml:space="preserve">OSEP has concluded that transition services placements, including community work placements, must be based on LRE principles and must include supplementary aids and services needed to support placement in the LRE. </w:t>
      </w:r>
      <w:r w:rsidRPr="00A66E21">
        <w:rPr>
          <w:rFonts w:asciiTheme="minorHAnsi" w:eastAsia="Calibri" w:hAnsiTheme="minorHAnsi" w:cs="Calibri"/>
          <w:color w:val="auto"/>
        </w:rPr>
        <w:t xml:space="preserve">See </w:t>
      </w:r>
      <w:r w:rsidRPr="00A66E21">
        <w:rPr>
          <w:rFonts w:asciiTheme="minorHAnsi" w:eastAsia="Calibri" w:hAnsiTheme="minorHAnsi" w:cs="Calibri"/>
          <w:i/>
          <w:color w:val="auto"/>
        </w:rPr>
        <w:t>Letter to Spitzer-</w:t>
      </w:r>
      <w:proofErr w:type="spellStart"/>
      <w:r w:rsidRPr="00A66E21">
        <w:rPr>
          <w:rFonts w:asciiTheme="minorHAnsi" w:eastAsia="Calibri" w:hAnsiTheme="minorHAnsi" w:cs="Calibri"/>
          <w:i/>
          <w:color w:val="auto"/>
        </w:rPr>
        <w:t>Resnick</w:t>
      </w:r>
      <w:proofErr w:type="spellEnd"/>
      <w:r w:rsidRPr="00A66E21">
        <w:rPr>
          <w:rFonts w:asciiTheme="minorHAnsi" w:eastAsia="Calibri" w:hAnsiTheme="minorHAnsi" w:cs="Calibri"/>
          <w:i/>
          <w:color w:val="auto"/>
        </w:rPr>
        <w:t xml:space="preserve">, </w:t>
      </w:r>
      <w:proofErr w:type="spellStart"/>
      <w:r w:rsidRPr="00A66E21">
        <w:rPr>
          <w:rFonts w:asciiTheme="minorHAnsi" w:eastAsia="Calibri" w:hAnsiTheme="minorHAnsi" w:cs="Calibri"/>
          <w:i/>
          <w:color w:val="auto"/>
        </w:rPr>
        <w:t>Swedeen</w:t>
      </w:r>
      <w:proofErr w:type="spellEnd"/>
      <w:r w:rsidRPr="00A66E21">
        <w:rPr>
          <w:rFonts w:asciiTheme="minorHAnsi" w:eastAsia="Calibri" w:hAnsiTheme="minorHAnsi" w:cs="Calibri"/>
          <w:i/>
          <w:color w:val="auto"/>
        </w:rPr>
        <w:t xml:space="preserve">, and Pugh, </w:t>
      </w:r>
      <w:r w:rsidRPr="00A66E21">
        <w:rPr>
          <w:rFonts w:asciiTheme="minorHAnsi" w:eastAsia="Calibri" w:hAnsiTheme="minorHAnsi" w:cs="Calibri"/>
          <w:color w:val="auto"/>
        </w:rPr>
        <w:t xml:space="preserve">Office of Special Education Programs, 59 IDELR 230, 112 LRP 32664 (June 22, 2012), found online at </w:t>
      </w:r>
      <w:hyperlink r:id="rId19">
        <w:r w:rsidRPr="00A66E21">
          <w:rPr>
            <w:rFonts w:asciiTheme="minorHAnsi" w:eastAsia="Calibri" w:hAnsiTheme="minorHAnsi" w:cs="Calibri"/>
            <w:color w:val="auto"/>
            <w:u w:val="single"/>
          </w:rPr>
          <w:t>www2.ed.gov/policy/speced/guid/idea/memosdcltrs/062212workplacelre2q2012.pdf</w:t>
        </w:r>
      </w:hyperlink>
      <w:r w:rsidRPr="00A66E21">
        <w:rPr>
          <w:rFonts w:asciiTheme="minorHAnsi" w:eastAsia="Calibri" w:hAnsiTheme="minorHAnsi" w:cs="Calibri"/>
          <w:color w:val="auto"/>
        </w:rPr>
        <w:t xml:space="preserve">  </w:t>
      </w:r>
    </w:p>
    <w:p w:rsidR="008C391D" w:rsidRPr="00A66E21" w:rsidRDefault="008C391D" w:rsidP="008C391D">
      <w:pPr>
        <w:rPr>
          <w:rFonts w:asciiTheme="minorHAnsi" w:hAnsiTheme="minorHAnsi"/>
          <w:color w:val="auto"/>
        </w:rPr>
      </w:pPr>
      <w:r w:rsidRPr="00A66E21">
        <w:rPr>
          <w:rFonts w:asciiTheme="minorHAnsi" w:eastAsia="Calibri" w:hAnsiTheme="minorHAnsi" w:cs="Calibri"/>
          <w:color w:val="auto"/>
        </w:rPr>
        <w:t>See also 34 CFR 300.114(a</w:t>
      </w:r>
      <w:proofErr w:type="gramStart"/>
      <w:r w:rsidRPr="00A66E21">
        <w:rPr>
          <w:rFonts w:asciiTheme="minorHAnsi" w:eastAsia="Calibri" w:hAnsiTheme="minorHAnsi" w:cs="Calibri"/>
          <w:color w:val="auto"/>
        </w:rPr>
        <w:t>)(</w:t>
      </w:r>
      <w:proofErr w:type="gramEnd"/>
      <w:r w:rsidRPr="00A66E21">
        <w:rPr>
          <w:rFonts w:asciiTheme="minorHAnsi" w:eastAsia="Calibri" w:hAnsiTheme="minorHAnsi" w:cs="Calibri"/>
          <w:color w:val="auto"/>
        </w:rPr>
        <w:t>2)(ii); 34 CFR 300.107.</w:t>
      </w:r>
    </w:p>
  </w:endnote>
  <w:endnote w:id="29">
    <w:p w:rsidR="00793788" w:rsidRPr="00A66E21" w:rsidRDefault="00793788" w:rsidP="00793788">
      <w:pPr>
        <w:rPr>
          <w:rFonts w:asciiTheme="minorHAnsi" w:hAnsiTheme="minorHAnsi"/>
          <w:color w:val="auto"/>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See Debra Martin </w:t>
      </w:r>
      <w:proofErr w:type="spellStart"/>
      <w:r w:rsidRPr="00A66E21">
        <w:rPr>
          <w:rFonts w:asciiTheme="minorHAnsi" w:eastAsia="Calibri" w:hAnsiTheme="minorHAnsi" w:cs="Calibri"/>
          <w:color w:val="auto"/>
        </w:rPr>
        <w:t>Luecking</w:t>
      </w:r>
      <w:proofErr w:type="spellEnd"/>
      <w:r w:rsidRPr="00A66E21">
        <w:rPr>
          <w:rFonts w:asciiTheme="minorHAnsi" w:eastAsia="Calibri" w:hAnsiTheme="minorHAnsi" w:cs="Calibri"/>
          <w:color w:val="auto"/>
        </w:rPr>
        <w:t xml:space="preserve"> and Richard G. </w:t>
      </w:r>
      <w:proofErr w:type="spellStart"/>
      <w:r w:rsidRPr="00A66E21">
        <w:rPr>
          <w:rFonts w:asciiTheme="minorHAnsi" w:eastAsia="Calibri" w:hAnsiTheme="minorHAnsi" w:cs="Calibri"/>
          <w:color w:val="auto"/>
        </w:rPr>
        <w:t>Luecking</w:t>
      </w:r>
      <w:proofErr w:type="spellEnd"/>
      <w:r w:rsidRPr="00A66E21">
        <w:rPr>
          <w:rFonts w:asciiTheme="minorHAnsi" w:eastAsia="Calibri" w:hAnsiTheme="minorHAnsi" w:cs="Calibri"/>
          <w:color w:val="auto"/>
        </w:rPr>
        <w:t>,</w:t>
      </w:r>
      <w:r w:rsidRPr="00A66E21">
        <w:rPr>
          <w:rFonts w:asciiTheme="minorHAnsi" w:eastAsia="Calibri" w:hAnsiTheme="minorHAnsi" w:cs="Calibri"/>
          <w:i/>
          <w:color w:val="auto"/>
        </w:rPr>
        <w:t xml:space="preserve"> Translating Research Into a Seamless Transition Model</w:t>
      </w:r>
      <w:r w:rsidRPr="00A66E21">
        <w:rPr>
          <w:rFonts w:asciiTheme="minorHAnsi" w:eastAsia="Calibri" w:hAnsiTheme="minorHAnsi" w:cs="Calibri"/>
          <w:color w:val="auto"/>
        </w:rPr>
        <w:t xml:space="preserve"> (March 24, 2015) found online at: </w:t>
      </w:r>
      <w:hyperlink r:id="rId20" w:history="1">
        <w:r w:rsidR="000033B6" w:rsidRPr="00A66E21">
          <w:rPr>
            <w:rStyle w:val="Hyperlink"/>
            <w:rFonts w:asciiTheme="minorHAnsi" w:eastAsia="Calibri" w:hAnsiTheme="minorHAnsi" w:cs="Calibri"/>
          </w:rPr>
          <w:t>cde.sagepub.com/content/38/1/4</w:t>
        </w:r>
      </w:hyperlink>
      <w:r w:rsidR="000033B6" w:rsidRPr="00A66E21">
        <w:rPr>
          <w:rFonts w:asciiTheme="minorHAnsi" w:eastAsia="Calibri" w:hAnsiTheme="minorHAnsi" w:cs="Calibri"/>
          <w:color w:val="auto"/>
        </w:rPr>
        <w:t xml:space="preserve"> </w:t>
      </w:r>
    </w:p>
  </w:endnote>
  <w:endnote w:id="30">
    <w:p w:rsidR="00FC1AC2" w:rsidRPr="00A66E21" w:rsidRDefault="00793788" w:rsidP="00FC1AC2">
      <w:pPr>
        <w:rPr>
          <w:rFonts w:asciiTheme="minorHAnsi" w:eastAsia="Calibri" w:hAnsiTheme="minorHAnsi" w:cs="Calibri"/>
          <w:color w:val="auto"/>
        </w:rPr>
      </w:pPr>
      <w:r w:rsidRPr="00A66E21">
        <w:rPr>
          <w:rStyle w:val="EndnoteReference"/>
          <w:rFonts w:asciiTheme="minorHAnsi" w:hAnsiTheme="minorHAnsi"/>
        </w:rPr>
        <w:endnoteRef/>
      </w:r>
      <w:r w:rsidRPr="00A66E21">
        <w:rPr>
          <w:rFonts w:asciiTheme="minorHAnsi" w:hAnsiTheme="minorHAnsi"/>
        </w:rPr>
        <w:t xml:space="preserve"> </w:t>
      </w:r>
      <w:r w:rsidRPr="00A66E21">
        <w:rPr>
          <w:rFonts w:asciiTheme="minorHAnsi" w:eastAsia="Calibri" w:hAnsiTheme="minorHAnsi" w:cs="Calibri"/>
        </w:rPr>
        <w:t xml:space="preserve">See “Guideposts for Success” produced by the National Collaborative on Workforce and Disability/Youth (explaining that there is a professional consensus that work experiences and paid employment in the community are highly associated with positive post-school employment outcomes), cited in </w:t>
      </w:r>
      <w:r w:rsidRPr="00A66E21">
        <w:rPr>
          <w:rFonts w:asciiTheme="minorHAnsi" w:eastAsia="Calibri" w:hAnsiTheme="minorHAnsi" w:cs="Calibri"/>
          <w:i/>
        </w:rPr>
        <w:t>Translating Research Into a Seamless Transition Model</w:t>
      </w:r>
      <w:r w:rsidRPr="00A66E21">
        <w:rPr>
          <w:rFonts w:asciiTheme="minorHAnsi" w:eastAsia="Calibri" w:hAnsiTheme="minorHAnsi" w:cs="Calibri"/>
        </w:rPr>
        <w:t xml:space="preserve"> by Debra Martin </w:t>
      </w:r>
      <w:proofErr w:type="spellStart"/>
      <w:r w:rsidRPr="00A66E21">
        <w:rPr>
          <w:rFonts w:asciiTheme="minorHAnsi" w:eastAsia="Calibri" w:hAnsiTheme="minorHAnsi" w:cs="Calibri"/>
        </w:rPr>
        <w:t>Luecking</w:t>
      </w:r>
      <w:proofErr w:type="spellEnd"/>
      <w:r w:rsidRPr="00A66E21">
        <w:rPr>
          <w:rFonts w:asciiTheme="minorHAnsi" w:eastAsia="Calibri" w:hAnsiTheme="minorHAnsi" w:cs="Calibri"/>
        </w:rPr>
        <w:t xml:space="preserve"> and Richard G. </w:t>
      </w:r>
      <w:proofErr w:type="spellStart"/>
      <w:r w:rsidRPr="00A66E21">
        <w:rPr>
          <w:rFonts w:asciiTheme="minorHAnsi" w:eastAsia="Calibri" w:hAnsiTheme="minorHAnsi" w:cs="Calibri"/>
        </w:rPr>
        <w:t>Luecking</w:t>
      </w:r>
      <w:proofErr w:type="spellEnd"/>
      <w:r w:rsidRPr="00A66E21">
        <w:rPr>
          <w:rFonts w:asciiTheme="minorHAnsi" w:eastAsia="Calibri" w:hAnsiTheme="minorHAnsi" w:cs="Calibri"/>
        </w:rPr>
        <w:t xml:space="preserve"> </w:t>
      </w:r>
      <w:r w:rsidRPr="00A66E21">
        <w:rPr>
          <w:rFonts w:asciiTheme="minorHAnsi" w:eastAsia="Calibri" w:hAnsiTheme="minorHAnsi" w:cs="Calibri"/>
          <w:color w:val="auto"/>
        </w:rPr>
        <w:t xml:space="preserve">(March 24, 2015) found online at: </w:t>
      </w:r>
      <w:hyperlink r:id="rId21" w:history="1">
        <w:r w:rsidR="0016393F" w:rsidRPr="00A66E21">
          <w:rPr>
            <w:rStyle w:val="Hyperlink"/>
            <w:rFonts w:asciiTheme="minorHAnsi" w:eastAsia="Calibri" w:hAnsiTheme="minorHAnsi" w:cs="Calibri"/>
          </w:rPr>
          <w:t>cde.sagepub.com/content/38/1/4</w:t>
        </w:r>
      </w:hyperlink>
      <w:r w:rsidR="00FC1AC2" w:rsidRPr="00A66E21">
        <w:rPr>
          <w:rFonts w:asciiTheme="minorHAnsi" w:eastAsia="Calibri" w:hAnsiTheme="minorHAnsi" w:cs="Calibri"/>
          <w:color w:val="auto"/>
        </w:rPr>
        <w:t xml:space="preserve"> or </w:t>
      </w:r>
    </w:p>
    <w:p w:rsidR="00793788" w:rsidRPr="00A66E21" w:rsidRDefault="00FC1AC2" w:rsidP="00FC1AC2">
      <w:pPr>
        <w:rPr>
          <w:rFonts w:asciiTheme="minorHAnsi" w:hAnsiTheme="minorHAnsi"/>
          <w:color w:val="auto"/>
        </w:rPr>
      </w:pPr>
      <w:r w:rsidRPr="00A66E21">
        <w:rPr>
          <w:rFonts w:asciiTheme="minorHAnsi" w:eastAsia="Calibri" w:hAnsiTheme="minorHAnsi" w:cs="Calibri"/>
          <w:i/>
          <w:color w:val="auto"/>
        </w:rPr>
        <w:t xml:space="preserve">Building Skills </w:t>
      </w:r>
      <w:proofErr w:type="gramStart"/>
      <w:r w:rsidRPr="00A66E21">
        <w:rPr>
          <w:rFonts w:asciiTheme="minorHAnsi" w:eastAsia="Calibri" w:hAnsiTheme="minorHAnsi" w:cs="Calibri"/>
          <w:i/>
          <w:color w:val="auto"/>
        </w:rPr>
        <w:t>Through</w:t>
      </w:r>
      <w:proofErr w:type="gramEnd"/>
      <w:r w:rsidRPr="00A66E21">
        <w:rPr>
          <w:rFonts w:asciiTheme="minorHAnsi" w:eastAsia="Calibri" w:hAnsiTheme="minorHAnsi" w:cs="Calibri"/>
          <w:i/>
          <w:color w:val="auto"/>
        </w:rPr>
        <w:t xml:space="preserve"> Summer Jobs: Lessons from the Field</w:t>
      </w:r>
      <w:r w:rsidRPr="00A66E21">
        <w:rPr>
          <w:rFonts w:asciiTheme="minorHAnsi" w:eastAsia="Calibri" w:hAnsiTheme="minorHAnsi" w:cs="Calibri"/>
          <w:color w:val="auto"/>
        </w:rPr>
        <w:t xml:space="preserve"> (Rep.). (2015). Retrieved </w:t>
      </w:r>
      <w:hyperlink r:id="rId22" w:history="1">
        <w:r w:rsidRPr="00A66E21">
          <w:rPr>
            <w:rStyle w:val="Hyperlink"/>
            <w:rFonts w:asciiTheme="minorHAnsi" w:eastAsia="Calibri" w:hAnsiTheme="minorHAnsi" w:cs="Calibri"/>
          </w:rPr>
          <w:t>www.jpmorganchase.com/corporate/Corporate-Responsibility/document/54887-jpmc-summeryouth-aw2.pdf</w:t>
        </w:r>
      </w:hyperlink>
      <w:r w:rsidRPr="00A66E21">
        <w:rPr>
          <w:rFonts w:asciiTheme="minorHAnsi" w:eastAsia="Calibri" w:hAnsiTheme="minorHAnsi" w:cs="Calibri"/>
          <w:color w:val="auto"/>
        </w:rPr>
        <w:t xml:space="preserve"> </w:t>
      </w:r>
    </w:p>
  </w:endnote>
  <w:endnote w:id="31">
    <w:p w:rsidR="00A4270F" w:rsidRPr="00A66E21" w:rsidRDefault="00A4270F" w:rsidP="00A4270F">
      <w:pPr>
        <w:contextualSpacing/>
        <w:rPr>
          <w:rFonts w:asciiTheme="minorHAnsi" w:hAnsiTheme="minorHAnsi"/>
        </w:rPr>
      </w:pPr>
      <w:r w:rsidRPr="00A66E21">
        <w:rPr>
          <w:rFonts w:asciiTheme="minorHAnsi" w:hAnsiTheme="minorHAnsi"/>
          <w:color w:val="auto"/>
          <w:vertAlign w:val="superscript"/>
        </w:rPr>
        <w:endnoteRef/>
      </w:r>
      <w:r w:rsidRPr="00A66E21">
        <w:rPr>
          <w:rFonts w:asciiTheme="minorHAnsi" w:eastAsia="Calibri" w:hAnsiTheme="minorHAnsi" w:cs="Calibri"/>
          <w:color w:val="auto"/>
        </w:rPr>
        <w:t xml:space="preserve"> See 34 CFR 300.39(b</w:t>
      </w:r>
      <w:proofErr w:type="gramStart"/>
      <w:r w:rsidRPr="00A66E21">
        <w:rPr>
          <w:rFonts w:asciiTheme="minorHAnsi" w:eastAsia="Calibri" w:hAnsiTheme="minorHAnsi" w:cs="Calibri"/>
          <w:color w:val="auto"/>
        </w:rPr>
        <w:t>)(</w:t>
      </w:r>
      <w:proofErr w:type="gramEnd"/>
      <w:r w:rsidRPr="00A66E21">
        <w:rPr>
          <w:rFonts w:asciiTheme="minorHAnsi" w:eastAsia="Calibri" w:hAnsiTheme="minorHAnsi" w:cs="Calibri"/>
          <w:color w:val="auto"/>
        </w:rPr>
        <w:t xml:space="preserve">4)) (defining travel training). See also definition of travel training in recommendations </w:t>
      </w:r>
      <w:r w:rsidRPr="00A66E21">
        <w:rPr>
          <w:rFonts w:asciiTheme="minorHAnsi" w:hAnsiTheme="minorHAnsi"/>
        </w:rPr>
        <w:t xml:space="preserve">from the Massachusetts Travel Instruction Network </w:t>
      </w:r>
      <w:r w:rsidRPr="00A66E21">
        <w:rPr>
          <w:rFonts w:asciiTheme="minorHAnsi" w:eastAsia="Calibri" w:hAnsiTheme="minorHAnsi" w:cs="Calibri"/>
          <w:color w:val="auto"/>
        </w:rPr>
        <w:t xml:space="preserve">to Mass. Dept. of Transportation </w:t>
      </w:r>
      <w:r w:rsidRPr="00A66E21">
        <w:rPr>
          <w:rFonts w:asciiTheme="minorHAnsi" w:hAnsiTheme="minorHAnsi"/>
        </w:rPr>
        <w:t xml:space="preserve">(October 5, 2015), found online at </w:t>
      </w:r>
      <w:hyperlink r:id="rId23" w:history="1">
        <w:r w:rsidR="00475DCF" w:rsidRPr="00A66E21">
          <w:rPr>
            <w:rStyle w:val="Hyperlink"/>
            <w:rFonts w:asciiTheme="minorHAnsi" w:hAnsiTheme="minorHAnsi"/>
          </w:rPr>
          <w:t>www.mass.gov/eohhs/docs/hst/matin-performance-measures.pdf</w:t>
        </w:r>
      </w:hyperlink>
      <w:r w:rsidR="00475DCF" w:rsidRPr="00A66E21">
        <w:rPr>
          <w:rFonts w:asciiTheme="minorHAnsi" w:hAnsiTheme="minorHAnsi"/>
          <w:u w:val="single"/>
        </w:rPr>
        <w:t xml:space="preserve"> </w:t>
      </w:r>
    </w:p>
  </w:endnote>
  <w:endnote w:id="32">
    <w:p w:rsidR="001B2480" w:rsidRDefault="001B2480">
      <w:pPr>
        <w:pStyle w:val="EndnoteText"/>
      </w:pPr>
      <w:r w:rsidRPr="00A66E21">
        <w:rPr>
          <w:rStyle w:val="EndnoteReference"/>
          <w:rFonts w:asciiTheme="minorHAnsi" w:hAnsiTheme="minorHAnsi"/>
          <w:sz w:val="22"/>
          <w:szCs w:val="22"/>
        </w:rPr>
        <w:endnoteRef/>
      </w:r>
      <w:r w:rsidRPr="00A66E21">
        <w:rPr>
          <w:rFonts w:asciiTheme="minorHAnsi" w:hAnsiTheme="minorHAnsi"/>
          <w:sz w:val="22"/>
          <w:szCs w:val="22"/>
        </w:rPr>
        <w:t xml:space="preserve"> See </w:t>
      </w:r>
      <w:hyperlink r:id="rId24" w:history="1">
        <w:r w:rsidRPr="00A66E21">
          <w:rPr>
            <w:rStyle w:val="Hyperlink"/>
            <w:rFonts w:asciiTheme="minorHAnsi" w:hAnsiTheme="minorHAnsi"/>
            <w:sz w:val="22"/>
            <w:szCs w:val="22"/>
          </w:rPr>
          <w:t>www.mass.gov/edu/government/departments-and-boards/ese/</w:t>
        </w:r>
      </w:hyperlink>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5A" w:rsidRDefault="00E54000">
    <w:pPr>
      <w:tabs>
        <w:tab w:val="center" w:pos="4680"/>
        <w:tab w:val="right" w:pos="9360"/>
      </w:tabs>
      <w:spacing w:after="720"/>
      <w:jc w:val="center"/>
    </w:pPr>
    <w:r>
      <w:fldChar w:fldCharType="begin"/>
    </w:r>
    <w:r w:rsidR="00601486">
      <w:instrText>PAGE</w:instrText>
    </w:r>
    <w:r>
      <w:fldChar w:fldCharType="separate"/>
    </w:r>
    <w:r w:rsidR="00617C7B">
      <w:rPr>
        <w:noProof/>
      </w:rPr>
      <w:t>1</w:t>
    </w:r>
    <w:r>
      <w:fldChar w:fldCharType="end"/>
    </w:r>
  </w:p>
  <w:p w:rsidR="00E00D5A" w:rsidRDefault="00E00D5A">
    <w:pPr>
      <w:tabs>
        <w:tab w:val="center" w:pos="4680"/>
        <w:tab w:val="right" w:pos="9360"/>
      </w:tabs>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70" w:rsidRDefault="00161B70">
      <w:r>
        <w:separator/>
      </w:r>
    </w:p>
  </w:footnote>
  <w:footnote w:type="continuationSeparator" w:id="0">
    <w:p w:rsidR="00161B70" w:rsidRDefault="0016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5A" w:rsidRDefault="00E00D5A">
    <w:pPr>
      <w:tabs>
        <w:tab w:val="center" w:pos="4680"/>
        <w:tab w:val="right" w:pos="9360"/>
      </w:tabs>
      <w:spacing w:befor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676"/>
    <w:multiLevelType w:val="hybridMultilevel"/>
    <w:tmpl w:val="63C4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E3AE4"/>
    <w:multiLevelType w:val="hybridMultilevel"/>
    <w:tmpl w:val="57A6CF30"/>
    <w:lvl w:ilvl="0" w:tplc="C5D86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5552EB"/>
    <w:multiLevelType w:val="hybridMultilevel"/>
    <w:tmpl w:val="9852ED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C7A4587"/>
    <w:multiLevelType w:val="multilevel"/>
    <w:tmpl w:val="39EC6336"/>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3D5525E9"/>
    <w:multiLevelType w:val="multilevel"/>
    <w:tmpl w:val="20BAE2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3276CF9"/>
    <w:multiLevelType w:val="multilevel"/>
    <w:tmpl w:val="D7D81B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CA41110"/>
    <w:multiLevelType w:val="hybridMultilevel"/>
    <w:tmpl w:val="84C4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296347"/>
    <w:multiLevelType w:val="multilevel"/>
    <w:tmpl w:val="ED5A364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5"/>
  </w:num>
  <w:num w:numId="2">
    <w:abstractNumId w:val="7"/>
  </w:num>
  <w:num w:numId="3">
    <w:abstractNumId w:val="4"/>
  </w:num>
  <w:num w:numId="4">
    <w:abstractNumId w:val="3"/>
  </w:num>
  <w:num w:numId="5">
    <w:abstractNumId w:val="0"/>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5025"/>
  <w:defaultTabStop w:val="720"/>
  <w:characterSpacingControl w:val="doNotCompress"/>
  <w:hdrShapeDefaults>
    <o:shapedefaults v:ext="edit" spidmax="39937"/>
  </w:hdrShapeDefaults>
  <w:footnotePr>
    <w:footnote w:id="-1"/>
    <w:footnote w:id="0"/>
  </w:footnotePr>
  <w:endnotePr>
    <w:numFmt w:val="decimal"/>
    <w:endnote w:id="-1"/>
    <w:endnote w:id="0"/>
  </w:endnotePr>
  <w:compat/>
  <w:rsids>
    <w:rsidRoot w:val="00E00D5A"/>
    <w:rsid w:val="00000689"/>
    <w:rsid w:val="00001551"/>
    <w:rsid w:val="00001A22"/>
    <w:rsid w:val="00002246"/>
    <w:rsid w:val="000033B6"/>
    <w:rsid w:val="00010BB1"/>
    <w:rsid w:val="00011751"/>
    <w:rsid w:val="00014DE0"/>
    <w:rsid w:val="0001551E"/>
    <w:rsid w:val="000258C9"/>
    <w:rsid w:val="000335DE"/>
    <w:rsid w:val="00037152"/>
    <w:rsid w:val="0005120B"/>
    <w:rsid w:val="0005514C"/>
    <w:rsid w:val="00055315"/>
    <w:rsid w:val="00062D5D"/>
    <w:rsid w:val="000664B7"/>
    <w:rsid w:val="00066E9D"/>
    <w:rsid w:val="000741C2"/>
    <w:rsid w:val="00080B2C"/>
    <w:rsid w:val="00086D7F"/>
    <w:rsid w:val="000960BE"/>
    <w:rsid w:val="000A3B5F"/>
    <w:rsid w:val="000A7233"/>
    <w:rsid w:val="000C046F"/>
    <w:rsid w:val="000D1EA0"/>
    <w:rsid w:val="000D37E1"/>
    <w:rsid w:val="000D3AC5"/>
    <w:rsid w:val="000D4D13"/>
    <w:rsid w:val="000D65DC"/>
    <w:rsid w:val="000E40C2"/>
    <w:rsid w:val="000F01D2"/>
    <w:rsid w:val="000F5991"/>
    <w:rsid w:val="00101700"/>
    <w:rsid w:val="0010299F"/>
    <w:rsid w:val="00104020"/>
    <w:rsid w:val="001072FC"/>
    <w:rsid w:val="001074D6"/>
    <w:rsid w:val="00110112"/>
    <w:rsid w:val="00111925"/>
    <w:rsid w:val="00112130"/>
    <w:rsid w:val="00117459"/>
    <w:rsid w:val="001275EC"/>
    <w:rsid w:val="00130DE9"/>
    <w:rsid w:val="00132F09"/>
    <w:rsid w:val="00141A9C"/>
    <w:rsid w:val="0014528B"/>
    <w:rsid w:val="001501E8"/>
    <w:rsid w:val="001512CE"/>
    <w:rsid w:val="00154142"/>
    <w:rsid w:val="00161631"/>
    <w:rsid w:val="00161B70"/>
    <w:rsid w:val="0016393F"/>
    <w:rsid w:val="00172BBE"/>
    <w:rsid w:val="0018024E"/>
    <w:rsid w:val="00181650"/>
    <w:rsid w:val="0018782C"/>
    <w:rsid w:val="0019115C"/>
    <w:rsid w:val="00192658"/>
    <w:rsid w:val="00193B91"/>
    <w:rsid w:val="001972DC"/>
    <w:rsid w:val="001A7129"/>
    <w:rsid w:val="001A7BA1"/>
    <w:rsid w:val="001B0553"/>
    <w:rsid w:val="001B2480"/>
    <w:rsid w:val="001B423F"/>
    <w:rsid w:val="001B7F88"/>
    <w:rsid w:val="001C0AFD"/>
    <w:rsid w:val="001C3D97"/>
    <w:rsid w:val="001C6E5C"/>
    <w:rsid w:val="001D03EA"/>
    <w:rsid w:val="001D0641"/>
    <w:rsid w:val="001D14C1"/>
    <w:rsid w:val="001D76ED"/>
    <w:rsid w:val="001E5D91"/>
    <w:rsid w:val="001E68EC"/>
    <w:rsid w:val="001F444E"/>
    <w:rsid w:val="00204F5A"/>
    <w:rsid w:val="0020694C"/>
    <w:rsid w:val="00207492"/>
    <w:rsid w:val="002148E0"/>
    <w:rsid w:val="00215C8C"/>
    <w:rsid w:val="00217711"/>
    <w:rsid w:val="00217723"/>
    <w:rsid w:val="00225608"/>
    <w:rsid w:val="00226F34"/>
    <w:rsid w:val="002375D5"/>
    <w:rsid w:val="00243346"/>
    <w:rsid w:val="002503E1"/>
    <w:rsid w:val="00250C43"/>
    <w:rsid w:val="00254329"/>
    <w:rsid w:val="00257D03"/>
    <w:rsid w:val="00257F6D"/>
    <w:rsid w:val="00260034"/>
    <w:rsid w:val="00264DE9"/>
    <w:rsid w:val="0027064F"/>
    <w:rsid w:val="00277D7C"/>
    <w:rsid w:val="002819CB"/>
    <w:rsid w:val="00291AD4"/>
    <w:rsid w:val="002935AF"/>
    <w:rsid w:val="002965CD"/>
    <w:rsid w:val="002A21BE"/>
    <w:rsid w:val="002A27A2"/>
    <w:rsid w:val="002A5C53"/>
    <w:rsid w:val="002B1A0B"/>
    <w:rsid w:val="002C0453"/>
    <w:rsid w:val="002C112A"/>
    <w:rsid w:val="002C353D"/>
    <w:rsid w:val="002D35C9"/>
    <w:rsid w:val="002D4E0E"/>
    <w:rsid w:val="002D68DC"/>
    <w:rsid w:val="002F5007"/>
    <w:rsid w:val="00313F34"/>
    <w:rsid w:val="00314C62"/>
    <w:rsid w:val="00314EC1"/>
    <w:rsid w:val="00324AF4"/>
    <w:rsid w:val="003315BF"/>
    <w:rsid w:val="00342AB0"/>
    <w:rsid w:val="003453CC"/>
    <w:rsid w:val="003471E6"/>
    <w:rsid w:val="003472B9"/>
    <w:rsid w:val="003542BF"/>
    <w:rsid w:val="00356414"/>
    <w:rsid w:val="00357F52"/>
    <w:rsid w:val="00361480"/>
    <w:rsid w:val="00363CF8"/>
    <w:rsid w:val="00365441"/>
    <w:rsid w:val="00367ED9"/>
    <w:rsid w:val="00370274"/>
    <w:rsid w:val="0037042D"/>
    <w:rsid w:val="00381313"/>
    <w:rsid w:val="003922F8"/>
    <w:rsid w:val="00393080"/>
    <w:rsid w:val="003A10FD"/>
    <w:rsid w:val="003B0362"/>
    <w:rsid w:val="003B0B60"/>
    <w:rsid w:val="003B23AE"/>
    <w:rsid w:val="003B3969"/>
    <w:rsid w:val="003B541A"/>
    <w:rsid w:val="003C0BEB"/>
    <w:rsid w:val="003C396E"/>
    <w:rsid w:val="003C7F11"/>
    <w:rsid w:val="003D0715"/>
    <w:rsid w:val="003D13E7"/>
    <w:rsid w:val="003E29F2"/>
    <w:rsid w:val="003E34C3"/>
    <w:rsid w:val="003E4B2C"/>
    <w:rsid w:val="003F0611"/>
    <w:rsid w:val="003F0A00"/>
    <w:rsid w:val="003F2755"/>
    <w:rsid w:val="003F73CB"/>
    <w:rsid w:val="00402653"/>
    <w:rsid w:val="0040392C"/>
    <w:rsid w:val="004065D6"/>
    <w:rsid w:val="004108D3"/>
    <w:rsid w:val="004170B9"/>
    <w:rsid w:val="00420AEB"/>
    <w:rsid w:val="004420BE"/>
    <w:rsid w:val="004466A8"/>
    <w:rsid w:val="00453B66"/>
    <w:rsid w:val="00455EE0"/>
    <w:rsid w:val="00457EA5"/>
    <w:rsid w:val="00460492"/>
    <w:rsid w:val="00462F22"/>
    <w:rsid w:val="00465E1B"/>
    <w:rsid w:val="004741D5"/>
    <w:rsid w:val="00475DCF"/>
    <w:rsid w:val="00475F2B"/>
    <w:rsid w:val="00476CC2"/>
    <w:rsid w:val="00477526"/>
    <w:rsid w:val="004821CE"/>
    <w:rsid w:val="00485E47"/>
    <w:rsid w:val="00487ABE"/>
    <w:rsid w:val="00490F72"/>
    <w:rsid w:val="00495752"/>
    <w:rsid w:val="00495B9C"/>
    <w:rsid w:val="004A26C0"/>
    <w:rsid w:val="004A645A"/>
    <w:rsid w:val="004A667E"/>
    <w:rsid w:val="004A74BE"/>
    <w:rsid w:val="004B1611"/>
    <w:rsid w:val="004B417C"/>
    <w:rsid w:val="004C23FC"/>
    <w:rsid w:val="004C35B1"/>
    <w:rsid w:val="004C7D1F"/>
    <w:rsid w:val="004F329F"/>
    <w:rsid w:val="004F53C0"/>
    <w:rsid w:val="004F68CF"/>
    <w:rsid w:val="005003ED"/>
    <w:rsid w:val="00502809"/>
    <w:rsid w:val="0050535F"/>
    <w:rsid w:val="00505DDC"/>
    <w:rsid w:val="00520041"/>
    <w:rsid w:val="00524D64"/>
    <w:rsid w:val="00525FC9"/>
    <w:rsid w:val="00526E25"/>
    <w:rsid w:val="00536634"/>
    <w:rsid w:val="0054065C"/>
    <w:rsid w:val="00550FE4"/>
    <w:rsid w:val="00553971"/>
    <w:rsid w:val="00561375"/>
    <w:rsid w:val="005712CF"/>
    <w:rsid w:val="00571C38"/>
    <w:rsid w:val="00571CE7"/>
    <w:rsid w:val="00573E3A"/>
    <w:rsid w:val="005879B2"/>
    <w:rsid w:val="00590F2D"/>
    <w:rsid w:val="005946AD"/>
    <w:rsid w:val="005949C0"/>
    <w:rsid w:val="00595613"/>
    <w:rsid w:val="005A136D"/>
    <w:rsid w:val="005A5AEE"/>
    <w:rsid w:val="005B2F79"/>
    <w:rsid w:val="005C110D"/>
    <w:rsid w:val="005C40F6"/>
    <w:rsid w:val="005C5F6D"/>
    <w:rsid w:val="005C7F80"/>
    <w:rsid w:val="005E025D"/>
    <w:rsid w:val="005E1B08"/>
    <w:rsid w:val="005E3EA8"/>
    <w:rsid w:val="005E4A88"/>
    <w:rsid w:val="005E5AB2"/>
    <w:rsid w:val="005F036C"/>
    <w:rsid w:val="005F0943"/>
    <w:rsid w:val="005F43BB"/>
    <w:rsid w:val="005F50A0"/>
    <w:rsid w:val="00601486"/>
    <w:rsid w:val="00605463"/>
    <w:rsid w:val="00614ED8"/>
    <w:rsid w:val="00616B6C"/>
    <w:rsid w:val="00617C7B"/>
    <w:rsid w:val="006255B6"/>
    <w:rsid w:val="00640937"/>
    <w:rsid w:val="0066140B"/>
    <w:rsid w:val="00665CBA"/>
    <w:rsid w:val="0067192F"/>
    <w:rsid w:val="00680F5C"/>
    <w:rsid w:val="006815F9"/>
    <w:rsid w:val="00693A2C"/>
    <w:rsid w:val="00694368"/>
    <w:rsid w:val="00694C6B"/>
    <w:rsid w:val="006A2173"/>
    <w:rsid w:val="006A32B2"/>
    <w:rsid w:val="006A44B9"/>
    <w:rsid w:val="006A714C"/>
    <w:rsid w:val="006B14C3"/>
    <w:rsid w:val="006B15C4"/>
    <w:rsid w:val="006B175D"/>
    <w:rsid w:val="006B1C37"/>
    <w:rsid w:val="006B5191"/>
    <w:rsid w:val="006B6C7F"/>
    <w:rsid w:val="006C0B1F"/>
    <w:rsid w:val="006C1D3C"/>
    <w:rsid w:val="006C2A8D"/>
    <w:rsid w:val="006C61BE"/>
    <w:rsid w:val="006C7C96"/>
    <w:rsid w:val="006D0D2C"/>
    <w:rsid w:val="006D0EC1"/>
    <w:rsid w:val="006D161C"/>
    <w:rsid w:val="006D73B5"/>
    <w:rsid w:val="006E6F79"/>
    <w:rsid w:val="007017A6"/>
    <w:rsid w:val="007025D6"/>
    <w:rsid w:val="00706A87"/>
    <w:rsid w:val="00706D01"/>
    <w:rsid w:val="0071203A"/>
    <w:rsid w:val="00717663"/>
    <w:rsid w:val="007208B3"/>
    <w:rsid w:val="0072287D"/>
    <w:rsid w:val="00724FF4"/>
    <w:rsid w:val="00725F29"/>
    <w:rsid w:val="007320E4"/>
    <w:rsid w:val="00745985"/>
    <w:rsid w:val="00752C02"/>
    <w:rsid w:val="00753596"/>
    <w:rsid w:val="00756519"/>
    <w:rsid w:val="00762085"/>
    <w:rsid w:val="00763CC8"/>
    <w:rsid w:val="00763E7B"/>
    <w:rsid w:val="00771738"/>
    <w:rsid w:val="0077582B"/>
    <w:rsid w:val="0077613A"/>
    <w:rsid w:val="00776795"/>
    <w:rsid w:val="0077779E"/>
    <w:rsid w:val="00791732"/>
    <w:rsid w:val="00793788"/>
    <w:rsid w:val="00796298"/>
    <w:rsid w:val="00797B23"/>
    <w:rsid w:val="007A3967"/>
    <w:rsid w:val="007A4476"/>
    <w:rsid w:val="007A5765"/>
    <w:rsid w:val="007C689C"/>
    <w:rsid w:val="007D0980"/>
    <w:rsid w:val="007D1371"/>
    <w:rsid w:val="007D2860"/>
    <w:rsid w:val="007E1931"/>
    <w:rsid w:val="007E52C1"/>
    <w:rsid w:val="007E6D71"/>
    <w:rsid w:val="007F0D1A"/>
    <w:rsid w:val="007F1D82"/>
    <w:rsid w:val="007F35A5"/>
    <w:rsid w:val="008019C3"/>
    <w:rsid w:val="00803E4F"/>
    <w:rsid w:val="008075E8"/>
    <w:rsid w:val="0081296E"/>
    <w:rsid w:val="008148D8"/>
    <w:rsid w:val="008177C9"/>
    <w:rsid w:val="00825D01"/>
    <w:rsid w:val="00826D9D"/>
    <w:rsid w:val="00827A20"/>
    <w:rsid w:val="008308F2"/>
    <w:rsid w:val="00832652"/>
    <w:rsid w:val="008343F1"/>
    <w:rsid w:val="0083678A"/>
    <w:rsid w:val="008420AB"/>
    <w:rsid w:val="00844DF0"/>
    <w:rsid w:val="00846099"/>
    <w:rsid w:val="00846323"/>
    <w:rsid w:val="00846629"/>
    <w:rsid w:val="008466B5"/>
    <w:rsid w:val="008560C2"/>
    <w:rsid w:val="00867143"/>
    <w:rsid w:val="00873849"/>
    <w:rsid w:val="008750A2"/>
    <w:rsid w:val="008808B4"/>
    <w:rsid w:val="008832A1"/>
    <w:rsid w:val="00883A3B"/>
    <w:rsid w:val="00884582"/>
    <w:rsid w:val="00884D77"/>
    <w:rsid w:val="00893636"/>
    <w:rsid w:val="00894990"/>
    <w:rsid w:val="008A02BD"/>
    <w:rsid w:val="008A5AFE"/>
    <w:rsid w:val="008A76A1"/>
    <w:rsid w:val="008B331D"/>
    <w:rsid w:val="008B5100"/>
    <w:rsid w:val="008B6216"/>
    <w:rsid w:val="008B62CC"/>
    <w:rsid w:val="008C2BDD"/>
    <w:rsid w:val="008C391D"/>
    <w:rsid w:val="008D0885"/>
    <w:rsid w:val="008E6FFA"/>
    <w:rsid w:val="008E74BF"/>
    <w:rsid w:val="008F5A6F"/>
    <w:rsid w:val="00902600"/>
    <w:rsid w:val="00904D52"/>
    <w:rsid w:val="00905476"/>
    <w:rsid w:val="00905EBD"/>
    <w:rsid w:val="00911C0A"/>
    <w:rsid w:val="009120AC"/>
    <w:rsid w:val="00912B5C"/>
    <w:rsid w:val="00912BEE"/>
    <w:rsid w:val="00922B12"/>
    <w:rsid w:val="00925A08"/>
    <w:rsid w:val="00931A45"/>
    <w:rsid w:val="00934126"/>
    <w:rsid w:val="0094430F"/>
    <w:rsid w:val="00944BA8"/>
    <w:rsid w:val="0095459D"/>
    <w:rsid w:val="009755D8"/>
    <w:rsid w:val="00976729"/>
    <w:rsid w:val="00982083"/>
    <w:rsid w:val="00985D28"/>
    <w:rsid w:val="0099128D"/>
    <w:rsid w:val="0099543A"/>
    <w:rsid w:val="00996973"/>
    <w:rsid w:val="009972C8"/>
    <w:rsid w:val="009A44D4"/>
    <w:rsid w:val="009A5D8A"/>
    <w:rsid w:val="009B1335"/>
    <w:rsid w:val="009B16B6"/>
    <w:rsid w:val="009B2D6D"/>
    <w:rsid w:val="009B56CE"/>
    <w:rsid w:val="009C6B68"/>
    <w:rsid w:val="009C7888"/>
    <w:rsid w:val="009D10BB"/>
    <w:rsid w:val="009D377E"/>
    <w:rsid w:val="009D4DB4"/>
    <w:rsid w:val="009D5D80"/>
    <w:rsid w:val="009D66E8"/>
    <w:rsid w:val="009E1197"/>
    <w:rsid w:val="009F1E58"/>
    <w:rsid w:val="009F228E"/>
    <w:rsid w:val="009F41B4"/>
    <w:rsid w:val="009F41ED"/>
    <w:rsid w:val="009F4406"/>
    <w:rsid w:val="009F612D"/>
    <w:rsid w:val="009F6511"/>
    <w:rsid w:val="00A023AB"/>
    <w:rsid w:val="00A0694A"/>
    <w:rsid w:val="00A07FB4"/>
    <w:rsid w:val="00A145B3"/>
    <w:rsid w:val="00A17AC8"/>
    <w:rsid w:val="00A253FE"/>
    <w:rsid w:val="00A2541F"/>
    <w:rsid w:val="00A262E3"/>
    <w:rsid w:val="00A30462"/>
    <w:rsid w:val="00A32662"/>
    <w:rsid w:val="00A33DF2"/>
    <w:rsid w:val="00A354B7"/>
    <w:rsid w:val="00A42317"/>
    <w:rsid w:val="00A4270F"/>
    <w:rsid w:val="00A42C48"/>
    <w:rsid w:val="00A46F20"/>
    <w:rsid w:val="00A471C7"/>
    <w:rsid w:val="00A473EC"/>
    <w:rsid w:val="00A52FDF"/>
    <w:rsid w:val="00A61751"/>
    <w:rsid w:val="00A62F0D"/>
    <w:rsid w:val="00A66E21"/>
    <w:rsid w:val="00A6710D"/>
    <w:rsid w:val="00A677D7"/>
    <w:rsid w:val="00A72E30"/>
    <w:rsid w:val="00A76674"/>
    <w:rsid w:val="00A81500"/>
    <w:rsid w:val="00A85040"/>
    <w:rsid w:val="00A8685F"/>
    <w:rsid w:val="00AA00F8"/>
    <w:rsid w:val="00AA1AFC"/>
    <w:rsid w:val="00AA35A3"/>
    <w:rsid w:val="00AA4D27"/>
    <w:rsid w:val="00AA7D06"/>
    <w:rsid w:val="00AB1E96"/>
    <w:rsid w:val="00AB2A5C"/>
    <w:rsid w:val="00AB40D1"/>
    <w:rsid w:val="00AB5271"/>
    <w:rsid w:val="00AB64F4"/>
    <w:rsid w:val="00AB7CA4"/>
    <w:rsid w:val="00AC17B7"/>
    <w:rsid w:val="00AC5934"/>
    <w:rsid w:val="00AC5B92"/>
    <w:rsid w:val="00AD42B6"/>
    <w:rsid w:val="00AD59C4"/>
    <w:rsid w:val="00AE1221"/>
    <w:rsid w:val="00AE2FC4"/>
    <w:rsid w:val="00AE4083"/>
    <w:rsid w:val="00AE6E18"/>
    <w:rsid w:val="00AF286B"/>
    <w:rsid w:val="00AF5D8C"/>
    <w:rsid w:val="00B012E6"/>
    <w:rsid w:val="00B03622"/>
    <w:rsid w:val="00B068CF"/>
    <w:rsid w:val="00B1311D"/>
    <w:rsid w:val="00B202EB"/>
    <w:rsid w:val="00B21C6D"/>
    <w:rsid w:val="00B272E1"/>
    <w:rsid w:val="00B314EE"/>
    <w:rsid w:val="00B326EA"/>
    <w:rsid w:val="00B40AED"/>
    <w:rsid w:val="00B41757"/>
    <w:rsid w:val="00B420F6"/>
    <w:rsid w:val="00B42B88"/>
    <w:rsid w:val="00B433B1"/>
    <w:rsid w:val="00B51E28"/>
    <w:rsid w:val="00B54839"/>
    <w:rsid w:val="00B6013F"/>
    <w:rsid w:val="00B60758"/>
    <w:rsid w:val="00B60A04"/>
    <w:rsid w:val="00B63F9B"/>
    <w:rsid w:val="00B84C06"/>
    <w:rsid w:val="00B8550F"/>
    <w:rsid w:val="00B85F71"/>
    <w:rsid w:val="00BA20FD"/>
    <w:rsid w:val="00BA275F"/>
    <w:rsid w:val="00BA40F2"/>
    <w:rsid w:val="00BA500F"/>
    <w:rsid w:val="00BA6937"/>
    <w:rsid w:val="00BB1487"/>
    <w:rsid w:val="00BB7957"/>
    <w:rsid w:val="00BC07F8"/>
    <w:rsid w:val="00BC12CA"/>
    <w:rsid w:val="00BC43FC"/>
    <w:rsid w:val="00BC5A7E"/>
    <w:rsid w:val="00BC6A82"/>
    <w:rsid w:val="00BE3F13"/>
    <w:rsid w:val="00BF0494"/>
    <w:rsid w:val="00BF33FC"/>
    <w:rsid w:val="00BF5BDB"/>
    <w:rsid w:val="00C017D5"/>
    <w:rsid w:val="00C034E3"/>
    <w:rsid w:val="00C04796"/>
    <w:rsid w:val="00C0693F"/>
    <w:rsid w:val="00C06DD7"/>
    <w:rsid w:val="00C11D24"/>
    <w:rsid w:val="00C12887"/>
    <w:rsid w:val="00C14A3E"/>
    <w:rsid w:val="00C16E5A"/>
    <w:rsid w:val="00C20B33"/>
    <w:rsid w:val="00C403CE"/>
    <w:rsid w:val="00C410FF"/>
    <w:rsid w:val="00C41E98"/>
    <w:rsid w:val="00C42DEF"/>
    <w:rsid w:val="00C44DF0"/>
    <w:rsid w:val="00C51B7F"/>
    <w:rsid w:val="00C57223"/>
    <w:rsid w:val="00C57ECA"/>
    <w:rsid w:val="00C60868"/>
    <w:rsid w:val="00C639C5"/>
    <w:rsid w:val="00C670FB"/>
    <w:rsid w:val="00C73B4F"/>
    <w:rsid w:val="00C757D8"/>
    <w:rsid w:val="00C85D15"/>
    <w:rsid w:val="00C86B30"/>
    <w:rsid w:val="00C871F1"/>
    <w:rsid w:val="00C87906"/>
    <w:rsid w:val="00C90471"/>
    <w:rsid w:val="00C90905"/>
    <w:rsid w:val="00CA5269"/>
    <w:rsid w:val="00CA7C92"/>
    <w:rsid w:val="00CB4D81"/>
    <w:rsid w:val="00CC3DF4"/>
    <w:rsid w:val="00CC483A"/>
    <w:rsid w:val="00CD03E2"/>
    <w:rsid w:val="00CD0A19"/>
    <w:rsid w:val="00CD4DED"/>
    <w:rsid w:val="00CE7300"/>
    <w:rsid w:val="00CF106F"/>
    <w:rsid w:val="00CF181C"/>
    <w:rsid w:val="00CF58D1"/>
    <w:rsid w:val="00D01673"/>
    <w:rsid w:val="00D027ED"/>
    <w:rsid w:val="00D07AD9"/>
    <w:rsid w:val="00D13A90"/>
    <w:rsid w:val="00D159A2"/>
    <w:rsid w:val="00D15AE5"/>
    <w:rsid w:val="00D2724B"/>
    <w:rsid w:val="00D3229A"/>
    <w:rsid w:val="00D3620A"/>
    <w:rsid w:val="00D6116B"/>
    <w:rsid w:val="00D66716"/>
    <w:rsid w:val="00D67FC8"/>
    <w:rsid w:val="00D80923"/>
    <w:rsid w:val="00D87AA3"/>
    <w:rsid w:val="00D90644"/>
    <w:rsid w:val="00D93C69"/>
    <w:rsid w:val="00D95FCE"/>
    <w:rsid w:val="00DA570D"/>
    <w:rsid w:val="00DA6EAF"/>
    <w:rsid w:val="00DB4AED"/>
    <w:rsid w:val="00DC1B6F"/>
    <w:rsid w:val="00DD4EFD"/>
    <w:rsid w:val="00DD648E"/>
    <w:rsid w:val="00DE48F3"/>
    <w:rsid w:val="00DF2181"/>
    <w:rsid w:val="00DF5D87"/>
    <w:rsid w:val="00E004F9"/>
    <w:rsid w:val="00E00D5A"/>
    <w:rsid w:val="00E05BC2"/>
    <w:rsid w:val="00E1417B"/>
    <w:rsid w:val="00E14B71"/>
    <w:rsid w:val="00E24253"/>
    <w:rsid w:val="00E339AA"/>
    <w:rsid w:val="00E364DE"/>
    <w:rsid w:val="00E365E0"/>
    <w:rsid w:val="00E436EA"/>
    <w:rsid w:val="00E53E28"/>
    <w:rsid w:val="00E54000"/>
    <w:rsid w:val="00E67E61"/>
    <w:rsid w:val="00E67F9F"/>
    <w:rsid w:val="00E74755"/>
    <w:rsid w:val="00E75111"/>
    <w:rsid w:val="00E76565"/>
    <w:rsid w:val="00E8694B"/>
    <w:rsid w:val="00E92C6F"/>
    <w:rsid w:val="00E92CBB"/>
    <w:rsid w:val="00E94F72"/>
    <w:rsid w:val="00E97472"/>
    <w:rsid w:val="00EA1CA5"/>
    <w:rsid w:val="00EA37E7"/>
    <w:rsid w:val="00EA7DFC"/>
    <w:rsid w:val="00EB1BC2"/>
    <w:rsid w:val="00EB2BE3"/>
    <w:rsid w:val="00EC11CF"/>
    <w:rsid w:val="00ED0B96"/>
    <w:rsid w:val="00ED1397"/>
    <w:rsid w:val="00ED1943"/>
    <w:rsid w:val="00EE63A0"/>
    <w:rsid w:val="00EF03A8"/>
    <w:rsid w:val="00EF453B"/>
    <w:rsid w:val="00F05016"/>
    <w:rsid w:val="00F12E72"/>
    <w:rsid w:val="00F21B5D"/>
    <w:rsid w:val="00F313F2"/>
    <w:rsid w:val="00F32CD1"/>
    <w:rsid w:val="00F358AB"/>
    <w:rsid w:val="00F43DEC"/>
    <w:rsid w:val="00F46E11"/>
    <w:rsid w:val="00F47775"/>
    <w:rsid w:val="00F569A1"/>
    <w:rsid w:val="00F61323"/>
    <w:rsid w:val="00F61A62"/>
    <w:rsid w:val="00F663D7"/>
    <w:rsid w:val="00F72EDD"/>
    <w:rsid w:val="00F74FA7"/>
    <w:rsid w:val="00F775EE"/>
    <w:rsid w:val="00F875ED"/>
    <w:rsid w:val="00F87F09"/>
    <w:rsid w:val="00F9366B"/>
    <w:rsid w:val="00FA4704"/>
    <w:rsid w:val="00FA6730"/>
    <w:rsid w:val="00FA708E"/>
    <w:rsid w:val="00FC1AC2"/>
    <w:rsid w:val="00FC3855"/>
    <w:rsid w:val="00FC3D5D"/>
    <w:rsid w:val="00FD0250"/>
    <w:rsid w:val="00FD02E6"/>
    <w:rsid w:val="00FD1B4F"/>
    <w:rsid w:val="00FD3D2A"/>
    <w:rsid w:val="00FE1179"/>
    <w:rsid w:val="00FE31B0"/>
    <w:rsid w:val="00FE7971"/>
    <w:rsid w:val="00FF1DDE"/>
    <w:rsid w:val="00FF706B"/>
    <w:rsid w:val="00FF7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66B5"/>
  </w:style>
  <w:style w:type="paragraph" w:styleId="Heading1">
    <w:name w:val="heading 1"/>
    <w:basedOn w:val="Normal"/>
    <w:next w:val="Normal"/>
    <w:rsid w:val="008466B5"/>
    <w:pPr>
      <w:keepNext/>
      <w:keepLines/>
      <w:spacing w:before="200" w:line="276" w:lineRule="auto"/>
      <w:outlineLvl w:val="0"/>
    </w:pPr>
    <w:rPr>
      <w:rFonts w:ascii="Trebuchet MS" w:eastAsia="Trebuchet MS" w:hAnsi="Trebuchet MS" w:cs="Trebuchet MS"/>
      <w:sz w:val="32"/>
      <w:szCs w:val="32"/>
    </w:rPr>
  </w:style>
  <w:style w:type="paragraph" w:styleId="Heading2">
    <w:name w:val="heading 2"/>
    <w:basedOn w:val="Normal"/>
    <w:next w:val="Normal"/>
    <w:rsid w:val="008466B5"/>
    <w:pPr>
      <w:keepNext/>
      <w:keepLines/>
      <w:spacing w:before="200" w:line="276" w:lineRule="auto"/>
      <w:outlineLvl w:val="1"/>
    </w:pPr>
    <w:rPr>
      <w:rFonts w:ascii="Trebuchet MS" w:eastAsia="Trebuchet MS" w:hAnsi="Trebuchet MS" w:cs="Trebuchet MS"/>
      <w:b/>
      <w:sz w:val="26"/>
      <w:szCs w:val="26"/>
    </w:rPr>
  </w:style>
  <w:style w:type="paragraph" w:styleId="Heading3">
    <w:name w:val="heading 3"/>
    <w:basedOn w:val="Normal"/>
    <w:next w:val="Normal"/>
    <w:rsid w:val="008466B5"/>
    <w:pPr>
      <w:keepNext/>
      <w:keepLines/>
      <w:spacing w:before="160" w:line="276" w:lineRule="auto"/>
      <w:outlineLvl w:val="2"/>
    </w:pPr>
    <w:rPr>
      <w:rFonts w:ascii="Trebuchet MS" w:eastAsia="Trebuchet MS" w:hAnsi="Trebuchet MS" w:cs="Trebuchet MS"/>
      <w:b/>
      <w:color w:val="666666"/>
      <w:sz w:val="24"/>
      <w:szCs w:val="24"/>
    </w:rPr>
  </w:style>
  <w:style w:type="paragraph" w:styleId="Heading4">
    <w:name w:val="heading 4"/>
    <w:basedOn w:val="Normal"/>
    <w:next w:val="Normal"/>
    <w:rsid w:val="008466B5"/>
    <w:pPr>
      <w:keepNext/>
      <w:keepLines/>
      <w:spacing w:before="160" w:line="276" w:lineRule="auto"/>
      <w:outlineLvl w:val="3"/>
    </w:pPr>
    <w:rPr>
      <w:rFonts w:ascii="Trebuchet MS" w:eastAsia="Trebuchet MS" w:hAnsi="Trebuchet MS" w:cs="Trebuchet MS"/>
      <w:color w:val="666666"/>
      <w:u w:val="single"/>
    </w:rPr>
  </w:style>
  <w:style w:type="paragraph" w:styleId="Heading5">
    <w:name w:val="heading 5"/>
    <w:basedOn w:val="Normal"/>
    <w:next w:val="Normal"/>
    <w:rsid w:val="008466B5"/>
    <w:pPr>
      <w:keepNext/>
      <w:keepLines/>
      <w:spacing w:before="160" w:line="276" w:lineRule="auto"/>
      <w:outlineLvl w:val="4"/>
    </w:pPr>
    <w:rPr>
      <w:rFonts w:ascii="Trebuchet MS" w:eastAsia="Trebuchet MS" w:hAnsi="Trebuchet MS" w:cs="Trebuchet MS"/>
      <w:color w:val="666666"/>
    </w:rPr>
  </w:style>
  <w:style w:type="paragraph" w:styleId="Heading6">
    <w:name w:val="heading 6"/>
    <w:basedOn w:val="Normal"/>
    <w:next w:val="Normal"/>
    <w:rsid w:val="008466B5"/>
    <w:pPr>
      <w:keepNext/>
      <w:keepLines/>
      <w:spacing w:before="160" w:line="276" w:lineRule="auto"/>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466B5"/>
    <w:pPr>
      <w:keepNext/>
      <w:keepLines/>
      <w:spacing w:line="276" w:lineRule="auto"/>
    </w:pPr>
    <w:rPr>
      <w:rFonts w:ascii="Trebuchet MS" w:eastAsia="Trebuchet MS" w:hAnsi="Trebuchet MS" w:cs="Trebuchet MS"/>
      <w:sz w:val="42"/>
      <w:szCs w:val="42"/>
    </w:rPr>
  </w:style>
  <w:style w:type="paragraph" w:styleId="Subtitle">
    <w:name w:val="Subtitle"/>
    <w:basedOn w:val="Normal"/>
    <w:next w:val="Normal"/>
    <w:rsid w:val="008466B5"/>
    <w:pPr>
      <w:keepNext/>
      <w:keepLines/>
      <w:spacing w:after="200" w:line="276" w:lineRule="auto"/>
    </w:pPr>
    <w:rPr>
      <w:rFonts w:ascii="Trebuchet MS" w:eastAsia="Trebuchet MS" w:hAnsi="Trebuchet MS" w:cs="Trebuchet MS"/>
      <w:i/>
      <w:color w:val="666666"/>
      <w:sz w:val="26"/>
      <w:szCs w:val="26"/>
    </w:rPr>
  </w:style>
  <w:style w:type="paragraph" w:styleId="EndnoteText">
    <w:name w:val="endnote text"/>
    <w:basedOn w:val="Normal"/>
    <w:link w:val="EndnoteTextChar"/>
    <w:uiPriority w:val="99"/>
    <w:semiHidden/>
    <w:unhideWhenUsed/>
    <w:rsid w:val="006255B6"/>
    <w:rPr>
      <w:sz w:val="20"/>
      <w:szCs w:val="20"/>
    </w:rPr>
  </w:style>
  <w:style w:type="character" w:customStyle="1" w:styleId="EndnoteTextChar">
    <w:name w:val="Endnote Text Char"/>
    <w:basedOn w:val="DefaultParagraphFont"/>
    <w:link w:val="EndnoteText"/>
    <w:uiPriority w:val="99"/>
    <w:semiHidden/>
    <w:rsid w:val="006255B6"/>
    <w:rPr>
      <w:sz w:val="20"/>
      <w:szCs w:val="20"/>
    </w:rPr>
  </w:style>
  <w:style w:type="paragraph" w:styleId="FootnoteText">
    <w:name w:val="footnote text"/>
    <w:basedOn w:val="Normal"/>
    <w:link w:val="FootnoteTextChar"/>
    <w:uiPriority w:val="99"/>
    <w:semiHidden/>
    <w:unhideWhenUsed/>
    <w:rsid w:val="006255B6"/>
    <w:rPr>
      <w:sz w:val="20"/>
      <w:szCs w:val="20"/>
    </w:rPr>
  </w:style>
  <w:style w:type="character" w:customStyle="1" w:styleId="FootnoteTextChar">
    <w:name w:val="Footnote Text Char"/>
    <w:basedOn w:val="DefaultParagraphFont"/>
    <w:link w:val="FootnoteText"/>
    <w:uiPriority w:val="99"/>
    <w:semiHidden/>
    <w:rsid w:val="006255B6"/>
    <w:rPr>
      <w:sz w:val="20"/>
      <w:szCs w:val="20"/>
    </w:rPr>
  </w:style>
  <w:style w:type="character" w:styleId="EndnoteReference">
    <w:name w:val="endnote reference"/>
    <w:basedOn w:val="DefaultParagraphFont"/>
    <w:uiPriority w:val="99"/>
    <w:semiHidden/>
    <w:unhideWhenUsed/>
    <w:rsid w:val="006255B6"/>
    <w:rPr>
      <w:vertAlign w:val="superscript"/>
    </w:rPr>
  </w:style>
  <w:style w:type="character" w:styleId="FootnoteReference">
    <w:name w:val="footnote reference"/>
    <w:basedOn w:val="DefaultParagraphFont"/>
    <w:uiPriority w:val="99"/>
    <w:semiHidden/>
    <w:unhideWhenUsed/>
    <w:rsid w:val="006255B6"/>
    <w:rPr>
      <w:vertAlign w:val="superscript"/>
    </w:rPr>
  </w:style>
  <w:style w:type="character" w:styleId="CommentReference">
    <w:name w:val="annotation reference"/>
    <w:basedOn w:val="DefaultParagraphFont"/>
    <w:uiPriority w:val="99"/>
    <w:semiHidden/>
    <w:unhideWhenUsed/>
    <w:rsid w:val="00A32662"/>
    <w:rPr>
      <w:sz w:val="16"/>
      <w:szCs w:val="16"/>
    </w:rPr>
  </w:style>
  <w:style w:type="paragraph" w:styleId="CommentText">
    <w:name w:val="annotation text"/>
    <w:basedOn w:val="Normal"/>
    <w:link w:val="CommentTextChar"/>
    <w:uiPriority w:val="99"/>
    <w:unhideWhenUsed/>
    <w:rsid w:val="00A32662"/>
    <w:rPr>
      <w:sz w:val="20"/>
      <w:szCs w:val="20"/>
    </w:rPr>
  </w:style>
  <w:style w:type="character" w:customStyle="1" w:styleId="CommentTextChar">
    <w:name w:val="Comment Text Char"/>
    <w:basedOn w:val="DefaultParagraphFont"/>
    <w:link w:val="CommentText"/>
    <w:uiPriority w:val="99"/>
    <w:rsid w:val="00A32662"/>
    <w:rPr>
      <w:sz w:val="20"/>
      <w:szCs w:val="20"/>
    </w:rPr>
  </w:style>
  <w:style w:type="paragraph" w:styleId="CommentSubject">
    <w:name w:val="annotation subject"/>
    <w:basedOn w:val="CommentText"/>
    <w:next w:val="CommentText"/>
    <w:link w:val="CommentSubjectChar"/>
    <w:uiPriority w:val="99"/>
    <w:semiHidden/>
    <w:unhideWhenUsed/>
    <w:rsid w:val="00A32662"/>
    <w:rPr>
      <w:b/>
      <w:bCs/>
    </w:rPr>
  </w:style>
  <w:style w:type="character" w:customStyle="1" w:styleId="CommentSubjectChar">
    <w:name w:val="Comment Subject Char"/>
    <w:basedOn w:val="CommentTextChar"/>
    <w:link w:val="CommentSubject"/>
    <w:uiPriority w:val="99"/>
    <w:semiHidden/>
    <w:rsid w:val="00A32662"/>
    <w:rPr>
      <w:b/>
      <w:bCs/>
      <w:sz w:val="20"/>
      <w:szCs w:val="20"/>
    </w:rPr>
  </w:style>
  <w:style w:type="paragraph" w:styleId="BalloonText">
    <w:name w:val="Balloon Text"/>
    <w:basedOn w:val="Normal"/>
    <w:link w:val="BalloonTextChar"/>
    <w:uiPriority w:val="99"/>
    <w:semiHidden/>
    <w:unhideWhenUsed/>
    <w:rsid w:val="00A32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62"/>
    <w:rPr>
      <w:rFonts w:ascii="Segoe UI" w:hAnsi="Segoe UI" w:cs="Segoe UI"/>
      <w:sz w:val="18"/>
      <w:szCs w:val="18"/>
    </w:rPr>
  </w:style>
  <w:style w:type="character" w:styleId="Hyperlink">
    <w:name w:val="Hyperlink"/>
    <w:basedOn w:val="DefaultParagraphFont"/>
    <w:uiPriority w:val="99"/>
    <w:unhideWhenUsed/>
    <w:rsid w:val="00AA7D06"/>
    <w:rPr>
      <w:color w:val="0000FF" w:themeColor="hyperlink"/>
      <w:u w:val="single"/>
    </w:rPr>
  </w:style>
  <w:style w:type="paragraph" w:styleId="Revision">
    <w:name w:val="Revision"/>
    <w:hidden/>
    <w:uiPriority w:val="99"/>
    <w:semiHidden/>
    <w:rsid w:val="00C73B4F"/>
  </w:style>
  <w:style w:type="paragraph" w:styleId="Header">
    <w:name w:val="header"/>
    <w:basedOn w:val="Normal"/>
    <w:link w:val="HeaderChar"/>
    <w:uiPriority w:val="99"/>
    <w:unhideWhenUsed/>
    <w:rsid w:val="0077582B"/>
    <w:pPr>
      <w:tabs>
        <w:tab w:val="center" w:pos="4680"/>
        <w:tab w:val="right" w:pos="9360"/>
      </w:tabs>
    </w:pPr>
  </w:style>
  <w:style w:type="character" w:customStyle="1" w:styleId="HeaderChar">
    <w:name w:val="Header Char"/>
    <w:basedOn w:val="DefaultParagraphFont"/>
    <w:link w:val="Header"/>
    <w:uiPriority w:val="99"/>
    <w:rsid w:val="0077582B"/>
  </w:style>
  <w:style w:type="paragraph" w:styleId="Footer">
    <w:name w:val="footer"/>
    <w:basedOn w:val="Normal"/>
    <w:link w:val="FooterChar"/>
    <w:uiPriority w:val="99"/>
    <w:unhideWhenUsed/>
    <w:rsid w:val="0077582B"/>
    <w:pPr>
      <w:tabs>
        <w:tab w:val="center" w:pos="4680"/>
        <w:tab w:val="right" w:pos="9360"/>
      </w:tabs>
    </w:pPr>
  </w:style>
  <w:style w:type="character" w:customStyle="1" w:styleId="FooterChar">
    <w:name w:val="Footer Char"/>
    <w:basedOn w:val="DefaultParagraphFont"/>
    <w:link w:val="Footer"/>
    <w:uiPriority w:val="99"/>
    <w:rsid w:val="0077582B"/>
  </w:style>
  <w:style w:type="character" w:styleId="FollowedHyperlink">
    <w:name w:val="FollowedHyperlink"/>
    <w:basedOn w:val="DefaultParagraphFont"/>
    <w:uiPriority w:val="99"/>
    <w:semiHidden/>
    <w:unhideWhenUsed/>
    <w:rsid w:val="000033B6"/>
    <w:rPr>
      <w:color w:val="800080" w:themeColor="followedHyperlink"/>
      <w:u w:val="single"/>
    </w:rPr>
  </w:style>
  <w:style w:type="paragraph" w:styleId="ListParagraph">
    <w:name w:val="List Paragraph"/>
    <w:basedOn w:val="Normal"/>
    <w:uiPriority w:val="34"/>
    <w:qFormat/>
    <w:rsid w:val="008C2BDD"/>
    <w:pPr>
      <w:ind w:left="720"/>
      <w:contextualSpacing/>
    </w:pPr>
  </w:style>
</w:styles>
</file>

<file path=word/webSettings.xml><?xml version="1.0" encoding="utf-8"?>
<w:webSettings xmlns:r="http://schemas.openxmlformats.org/officeDocument/2006/relationships" xmlns:w="http://schemas.openxmlformats.org/wordprocessingml/2006/main">
  <w:divs>
    <w:div w:id="341126997">
      <w:bodyDiv w:val="1"/>
      <w:marLeft w:val="0"/>
      <w:marRight w:val="0"/>
      <w:marTop w:val="0"/>
      <w:marBottom w:val="0"/>
      <w:divBdr>
        <w:top w:val="none" w:sz="0" w:space="0" w:color="auto"/>
        <w:left w:val="none" w:sz="0" w:space="0" w:color="auto"/>
        <w:bottom w:val="none" w:sz="0" w:space="0" w:color="auto"/>
        <w:right w:val="none" w:sz="0" w:space="0" w:color="auto"/>
      </w:divBdr>
      <w:divsChild>
        <w:div w:id="455101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doe.mass.edu/ccr/schoolcounseling/ilpguidance2014.pdf" TargetMode="External"/><Relationship Id="rId13" Type="http://schemas.openxmlformats.org/officeDocument/2006/relationships/hyperlink" Target="http://www.doe.mass.edu/sped/28MR/28m9.pdf" TargetMode="External"/><Relationship Id="rId18" Type="http://schemas.openxmlformats.org/officeDocument/2006/relationships/hyperlink" Target="http://www.doe.mass.edu/sped/hehir/2012-04sped.pdf" TargetMode="External"/><Relationship Id="rId3" Type="http://schemas.openxmlformats.org/officeDocument/2006/relationships/hyperlink" Target="http://www2.ed.gov/about/offices/list/osers/osep/rda" TargetMode="External"/><Relationship Id="rId21" Type="http://schemas.openxmlformats.org/officeDocument/2006/relationships/hyperlink" Target="http://cde.sagepub.com/content/38/1/4" TargetMode="External"/><Relationship Id="rId7" Type="http://schemas.openxmlformats.org/officeDocument/2006/relationships/hyperlink" Target="http://www.skillslibrary.com/wbl.htm" TargetMode="External"/><Relationship Id="rId12" Type="http://schemas.openxmlformats.org/officeDocument/2006/relationships/hyperlink" Target="http://www.mass.gov/edu/birth-grade-12/higher-education/initiatives-and-special-programs/inclusive-concurrent-enrollment/" TargetMode="External"/><Relationship Id="rId17" Type="http://schemas.openxmlformats.org/officeDocument/2006/relationships/hyperlink" Target="http://profiles.doe.mass.edu/state_report/" TargetMode="External"/><Relationship Id="rId2" Type="http://schemas.openxmlformats.org/officeDocument/2006/relationships/hyperlink" Target="http://www.doe.mass.edu/sped/secondary-transition/default.html" TargetMode="External"/><Relationship Id="rId16" Type="http://schemas.openxmlformats.org/officeDocument/2006/relationships/hyperlink" Target="http://www.doe.mass.edu/connect/cde" TargetMode="External"/><Relationship Id="rId20" Type="http://schemas.openxmlformats.org/officeDocument/2006/relationships/hyperlink" Target="http://cde.sagepub.com/content/38/1/4" TargetMode="External"/><Relationship Id="rId1" Type="http://schemas.openxmlformats.org/officeDocument/2006/relationships/hyperlink" Target="http://www.doe.mass.edu/sped/secondary-transition/default.html" TargetMode="External"/><Relationship Id="rId6" Type="http://schemas.openxmlformats.org/officeDocument/2006/relationships/hyperlink" Target="http://www.massconnecting.org" TargetMode="External"/><Relationship Id="rId11" Type="http://schemas.openxmlformats.org/officeDocument/2006/relationships/hyperlink" Target="http://www.gatewaytocollege.org/" TargetMode="External"/><Relationship Id="rId24" Type="http://schemas.openxmlformats.org/officeDocument/2006/relationships/hyperlink" Target="http://www.mass.gov/edu/government/departments-and-boards/ese/" TargetMode="External"/><Relationship Id="rId5" Type="http://schemas.openxmlformats.org/officeDocument/2006/relationships/hyperlink" Target="http://www.doe.mass.edu/sped/advisories/2014-4ta.html" TargetMode="External"/><Relationship Id="rId15" Type="http://schemas.openxmlformats.org/officeDocument/2006/relationships/hyperlink" Target="http://www.doe.mass.edu/sped/secondary-transition/indicator13-transition-assessment.pdf" TargetMode="External"/><Relationship Id="rId23" Type="http://schemas.openxmlformats.org/officeDocument/2006/relationships/hyperlink" Target="http://www.mass.gov/eohhs/docs/hst/matin-performance-measures.pdf" TargetMode="External"/><Relationship Id="rId10" Type="http://schemas.openxmlformats.org/officeDocument/2006/relationships/hyperlink" Target="http://www.mass.edu/strategic/read_cdep.asp" TargetMode="External"/><Relationship Id="rId19" Type="http://schemas.openxmlformats.org/officeDocument/2006/relationships/hyperlink" Target="https://www2.ed.gov/policy/speced/guid/idea/memosdcltrs/062212workplacelre2q2012.pdf" TargetMode="External"/><Relationship Id="rId4" Type="http://schemas.openxmlformats.org/officeDocument/2006/relationships/hyperlink" Target="http://www.mass.edu/library/documents/2013College&amp;CareerReadinessDefinition.pdf" TargetMode="External"/><Relationship Id="rId9" Type="http://schemas.openxmlformats.org/officeDocument/2006/relationships/hyperlink" Target="https://www.doleta.gov/wioa" TargetMode="External"/><Relationship Id="rId14" Type="http://schemas.openxmlformats.org/officeDocument/2006/relationships/hyperlink" Target="http://www.doe.mass.edu/sped/advisories/13_1ta.html" TargetMode="External"/><Relationship Id="rId22" Type="http://schemas.openxmlformats.org/officeDocument/2006/relationships/hyperlink" Target="https://www.jpmorganchase.com/corporate/Corporate-Responsibility/document/54887-jpmc-summeryouth-aw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DESE-231-26220</_dlc_DocId>
    <_dlc_DocIdUrl xmlns="733efe1c-5bbe-4968-87dc-d400e65c879f">
      <Url>https://sharepoint.doemass.org/ese/webteam/cps/_layouts/DocIdRedir.aspx?ID=DESE-231-26220</Url>
      <Description>DESE-231-26220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39C8-39A1-41CE-8A2C-F76FB3A5F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242E0-45FA-491A-975C-1CD6311F17F3}">
  <ds:schemaRefs>
    <ds:schemaRef ds:uri="http://schemas.microsoft.com/sharepoint/events"/>
  </ds:schemaRefs>
</ds:datastoreItem>
</file>

<file path=customXml/itemProps3.xml><?xml version="1.0" encoding="utf-8"?>
<ds:datastoreItem xmlns:ds="http://schemas.openxmlformats.org/officeDocument/2006/customXml" ds:itemID="{CC0D9366-D423-4B3B-9D8E-D359EE43AF3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a4e05da-b9bc-4326-ad73-01ef31b95567"/>
    <ds:schemaRef ds:uri="733efe1c-5bbe-4968-87dc-d400e65c879f"/>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A5E6E71-F20F-4E11-907A-F87A5D87D338}">
  <ds:schemaRefs>
    <ds:schemaRef ds:uri="http://schemas.microsoft.com/sharepoint/v3/contenttype/forms"/>
  </ds:schemaRefs>
</ds:datastoreItem>
</file>

<file path=customXml/itemProps5.xml><?xml version="1.0" encoding="utf-8"?>
<ds:datastoreItem xmlns:ds="http://schemas.openxmlformats.org/officeDocument/2006/customXml" ds:itemID="{C8D8123E-995A-45AB-9C55-11EA86DD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2413</Words>
  <Characters>14811</Characters>
  <Application>Microsoft Office Word</Application>
  <DocSecurity>0</DocSecurity>
  <Lines>210</Lines>
  <Paragraphs>49</Paragraphs>
  <ScaleCrop>false</ScaleCrop>
  <HeadingPairs>
    <vt:vector size="2" baseType="variant">
      <vt:variant>
        <vt:lpstr>Title</vt:lpstr>
      </vt:variant>
      <vt:variant>
        <vt:i4>1</vt:i4>
      </vt:variant>
    </vt:vector>
  </HeadingPairs>
  <TitlesOfParts>
    <vt:vector size="1" baseType="lpstr">
      <vt:lpstr>Technical Assistance Advisory SPED 2017-1: Characteristics of High Quality Secondary Transition Services</vt:lpstr>
    </vt:vector>
  </TitlesOfParts>
  <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Assistance Advisory SPED 2017-1: Characteristics of High Quality Secondary Transition Services</dc:title>
  <dc:creator/>
  <cp:lastModifiedBy>ESE</cp:lastModifiedBy>
  <cp:revision>3</cp:revision>
  <cp:lastPrinted>2016-06-14T18:05:00Z</cp:lastPrinted>
  <dcterms:created xsi:type="dcterms:W3CDTF">2016-07-14T19:12:00Z</dcterms:created>
  <dcterms:modified xsi:type="dcterms:W3CDTF">2016-07-14T19:12:00Z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2016</vt:lpwstr>
  </property>
</Properties>
</file>