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788BF" w14:textId="7B3F976E" w:rsidR="000471EC" w:rsidRPr="001F45D6" w:rsidRDefault="007A74BE" w:rsidP="005831CF">
      <w:pPr>
        <w:contextualSpacing/>
        <w:rPr>
          <w:color w:val="1F4E79" w:themeColor="accent1" w:themeShade="80"/>
        </w:rPr>
      </w:pPr>
      <w:r w:rsidRPr="001F45D6">
        <w:rPr>
          <w:noProof/>
          <w:color w:val="1F4E79" w:themeColor="accent1" w:themeShade="80"/>
        </w:rPr>
        <w:drawing>
          <wp:anchor distT="0" distB="0" distL="114300" distR="114300" simplePos="0" relativeHeight="251658240" behindDoc="0" locked="0" layoutInCell="1" allowOverlap="1" wp14:anchorId="381D5CA2" wp14:editId="5FCDB551">
            <wp:simplePos x="0" y="0"/>
            <wp:positionH relativeFrom="margin">
              <wp:posOffset>5728387</wp:posOffset>
            </wp:positionH>
            <wp:positionV relativeFrom="paragraph">
              <wp:posOffset>15326</wp:posOffset>
            </wp:positionV>
            <wp:extent cx="646430" cy="640080"/>
            <wp:effectExtent l="0" t="0" r="1270" b="7620"/>
            <wp:wrapNone/>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0080"/>
                    </a:xfrm>
                    <a:prstGeom prst="rect">
                      <a:avLst/>
                    </a:prstGeom>
                    <a:noFill/>
                    <a:ln w="9525">
                      <a:noFill/>
                      <a:miter lim="800000"/>
                      <a:headEnd/>
                      <a:tailEnd/>
                    </a:ln>
                  </pic:spPr>
                </pic:pic>
              </a:graphicData>
            </a:graphic>
            <wp14:sizeRelV relativeFrom="margin">
              <wp14:pctHeight>0</wp14:pctHeight>
            </wp14:sizeRelV>
          </wp:anchor>
        </w:drawing>
      </w:r>
      <w:r w:rsidR="00800678" w:rsidRPr="001F45D6">
        <w:rPr>
          <w:noProof/>
          <w:color w:val="1F4E79" w:themeColor="accent1" w:themeShade="80"/>
        </w:rPr>
        <w:drawing>
          <wp:anchor distT="0" distB="0" distL="114300" distR="114300" simplePos="0" relativeHeight="251659264" behindDoc="0" locked="0" layoutInCell="1" allowOverlap="1" wp14:anchorId="2AA8F06A" wp14:editId="361DF20E">
            <wp:simplePos x="0" y="0"/>
            <wp:positionH relativeFrom="column">
              <wp:posOffset>-119706</wp:posOffset>
            </wp:positionH>
            <wp:positionV relativeFrom="paragraph">
              <wp:posOffset>515</wp:posOffset>
            </wp:positionV>
            <wp:extent cx="1397000" cy="677545"/>
            <wp:effectExtent l="0" t="0" r="0" b="0"/>
            <wp:wrapNone/>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0" cy="677545"/>
                    </a:xfrm>
                    <a:prstGeom prst="rect">
                      <a:avLst/>
                    </a:prstGeom>
                    <a:noFill/>
                    <a:ln w="9525">
                      <a:noFill/>
                      <a:miter lim="800000"/>
                      <a:headEnd/>
                      <a:tailEnd/>
                    </a:ln>
                  </pic:spPr>
                </pic:pic>
              </a:graphicData>
            </a:graphic>
          </wp:anchor>
        </w:drawing>
      </w:r>
    </w:p>
    <w:p w14:paraId="58A36CF3" w14:textId="77777777" w:rsidR="00DB11F1" w:rsidRPr="001F45D6" w:rsidRDefault="00DB11F1" w:rsidP="00DB11F1">
      <w:pPr>
        <w:pStyle w:val="Heading2"/>
        <w:jc w:val="center"/>
        <w:rPr>
          <w:rFonts w:asciiTheme="minorHAnsi" w:hAnsiTheme="minorHAnsi" w:cstheme="minorHAnsi"/>
          <w:color w:val="1F4E79" w:themeColor="accent1" w:themeShade="80"/>
          <w:sz w:val="36"/>
          <w:szCs w:val="36"/>
        </w:rPr>
      </w:pPr>
      <w:r>
        <w:rPr>
          <w:rFonts w:asciiTheme="minorHAnsi" w:hAnsiTheme="minorHAnsi" w:cstheme="minorHAnsi"/>
          <w:color w:val="1F4E79" w:themeColor="accent1" w:themeShade="80"/>
          <w:sz w:val="36"/>
          <w:szCs w:val="36"/>
        </w:rPr>
        <w:t xml:space="preserve">What is Significant Disproportionality </w:t>
      </w:r>
      <w:r>
        <w:rPr>
          <w:rFonts w:asciiTheme="minorHAnsi" w:hAnsiTheme="minorHAnsi" w:cstheme="minorHAnsi"/>
          <w:color w:val="1F4E79" w:themeColor="accent1" w:themeShade="80"/>
          <w:sz w:val="36"/>
          <w:szCs w:val="36"/>
        </w:rPr>
        <w:br/>
      </w:r>
      <w:r w:rsidRPr="001F45D6">
        <w:rPr>
          <w:rFonts w:asciiTheme="minorHAnsi" w:hAnsiTheme="minorHAnsi" w:cstheme="minorHAnsi"/>
          <w:color w:val="1F4E79" w:themeColor="accent1" w:themeShade="80"/>
          <w:sz w:val="36"/>
          <w:szCs w:val="36"/>
        </w:rPr>
        <w:t>Quick Reference Guide</w:t>
      </w:r>
    </w:p>
    <w:p w14:paraId="7763EA96" w14:textId="77777777" w:rsidR="00381BC9" w:rsidRPr="00800678" w:rsidRDefault="00381BC9" w:rsidP="00381BC9">
      <w:pPr>
        <w:pStyle w:val="Heading2"/>
        <w:spacing w:before="40" w:after="40" w:line="240" w:lineRule="auto"/>
        <w:rPr>
          <w:rFonts w:asciiTheme="minorHAnsi" w:hAnsiTheme="minorHAnsi" w:cstheme="minorHAnsi"/>
          <w:sz w:val="32"/>
        </w:rPr>
      </w:pPr>
      <w:r>
        <w:rPr>
          <w:rFonts w:asciiTheme="minorHAnsi" w:hAnsiTheme="minorHAnsi" w:cstheme="minorHAnsi"/>
          <w:sz w:val="32"/>
        </w:rPr>
        <w:t>What</w:t>
      </w:r>
      <w:r w:rsidRPr="00800678">
        <w:rPr>
          <w:rFonts w:asciiTheme="minorHAnsi" w:hAnsiTheme="minorHAnsi" w:cstheme="minorHAnsi"/>
          <w:sz w:val="32"/>
        </w:rPr>
        <w:t xml:space="preserve"> is significant disproportionality? </w:t>
      </w:r>
    </w:p>
    <w:p w14:paraId="4F2B7041" w14:textId="1415286D" w:rsidR="00381BC9" w:rsidRPr="00BD6F6B" w:rsidRDefault="00381BC9" w:rsidP="00381BC9">
      <w:pPr>
        <w:spacing w:after="0" w:line="240" w:lineRule="auto"/>
        <w:contextualSpacing/>
      </w:pPr>
      <w:r w:rsidRPr="00BD6F6B">
        <w:t>The Individuals with Disabilities Education Act (IDEA) requires states to collect and examine data to determine if significant disproportionality in special education based on race and ethnicity is occurring in the State and in local education agencies (LEAs). S</w:t>
      </w:r>
      <w:r w:rsidR="005A2BEE">
        <w:t xml:space="preserve">tate education agencies </w:t>
      </w:r>
      <w:r w:rsidRPr="00BD6F6B">
        <w:t>must examine and determine if disproportionality is occurring in LEAs with respect to:</w:t>
      </w:r>
    </w:p>
    <w:p w14:paraId="507E5FE1" w14:textId="5EFA550D" w:rsidR="00381BC9" w:rsidRPr="00BD6F6B" w:rsidRDefault="00381BC9" w:rsidP="00381BC9">
      <w:pPr>
        <w:pStyle w:val="ListParagraph"/>
        <w:numPr>
          <w:ilvl w:val="0"/>
          <w:numId w:val="1"/>
        </w:numPr>
        <w:spacing w:after="0" w:line="240" w:lineRule="auto"/>
      </w:pPr>
      <w:r w:rsidRPr="00BD6F6B">
        <w:t xml:space="preserve">the </w:t>
      </w:r>
      <w:r w:rsidRPr="00BD6F6B">
        <w:rPr>
          <w:b/>
        </w:rPr>
        <w:t>identification</w:t>
      </w:r>
      <w:r w:rsidRPr="00BD6F6B">
        <w:t xml:space="preserve"> of children as children with disabilities, including the identification of children as children with disabilities in accordance with a particular impairment</w:t>
      </w:r>
      <w:r w:rsidR="005A2BEE">
        <w:t xml:space="preserve"> that is described in IDEA</w:t>
      </w:r>
      <w:r w:rsidRPr="00BD6F6B">
        <w:t>;</w:t>
      </w:r>
    </w:p>
    <w:p w14:paraId="1B3114A8" w14:textId="0ABC8FCE" w:rsidR="00381BC9" w:rsidRPr="00BD6F6B" w:rsidRDefault="00381BC9" w:rsidP="00381BC9">
      <w:pPr>
        <w:pStyle w:val="ListParagraph"/>
        <w:numPr>
          <w:ilvl w:val="0"/>
          <w:numId w:val="1"/>
        </w:numPr>
        <w:spacing w:after="0" w:line="240" w:lineRule="auto"/>
      </w:pPr>
      <w:r w:rsidRPr="00BD6F6B">
        <w:t xml:space="preserve">the </w:t>
      </w:r>
      <w:r w:rsidRPr="00BD6F6B">
        <w:rPr>
          <w:b/>
        </w:rPr>
        <w:t>placement</w:t>
      </w:r>
      <w:r w:rsidRPr="00BD6F6B">
        <w:t xml:space="preserve"> in particular educational settings of</w:t>
      </w:r>
      <w:r w:rsidR="005A2BEE">
        <w:t xml:space="preserve"> these</w:t>
      </w:r>
      <w:r w:rsidRPr="00BD6F6B">
        <w:t xml:space="preserve"> children; and</w:t>
      </w:r>
    </w:p>
    <w:p w14:paraId="44F2234F" w14:textId="7EE579C5" w:rsidR="00381BC9" w:rsidRPr="00DD002E" w:rsidRDefault="00381BC9" w:rsidP="00381BC9">
      <w:pPr>
        <w:pStyle w:val="ListParagraph"/>
        <w:numPr>
          <w:ilvl w:val="0"/>
          <w:numId w:val="1"/>
        </w:numPr>
        <w:spacing w:after="0" w:line="240" w:lineRule="auto"/>
        <w:rPr>
          <w:sz w:val="20"/>
          <w:szCs w:val="20"/>
        </w:rPr>
      </w:pPr>
      <w:r w:rsidRPr="00BD6F6B">
        <w:t xml:space="preserve">the incidence, duration, and type of </w:t>
      </w:r>
      <w:r w:rsidRPr="00BD6F6B">
        <w:rPr>
          <w:b/>
        </w:rPr>
        <w:t xml:space="preserve">disciplinary </w:t>
      </w:r>
      <w:r w:rsidR="005A2BEE">
        <w:rPr>
          <w:b/>
        </w:rPr>
        <w:t xml:space="preserve">removals </w:t>
      </w:r>
      <w:r w:rsidR="005A2BEE" w:rsidRPr="006A41D0">
        <w:rPr>
          <w:bCs/>
        </w:rPr>
        <w:t>from a student’s placement</w:t>
      </w:r>
      <w:r w:rsidRPr="00BD6F6B">
        <w:t>, including suspensions and expulsions.</w:t>
      </w:r>
      <w:r>
        <w:rPr>
          <w:rStyle w:val="FootnoteReference"/>
          <w:sz w:val="20"/>
          <w:szCs w:val="20"/>
        </w:rPr>
        <w:footnoteReference w:id="1"/>
      </w:r>
    </w:p>
    <w:p w14:paraId="4076EB6A" w14:textId="2A474BB1" w:rsidR="00381BC9" w:rsidRPr="00A82628" w:rsidRDefault="00381BC9" w:rsidP="0064106D">
      <w:pPr>
        <w:pStyle w:val="Heading2"/>
        <w:spacing w:after="0" w:line="240" w:lineRule="auto"/>
        <w:contextualSpacing/>
        <w:rPr>
          <w:rFonts w:asciiTheme="minorHAnsi" w:hAnsiTheme="minorHAnsi" w:cstheme="minorHAnsi"/>
          <w:sz w:val="22"/>
          <w:szCs w:val="22"/>
        </w:rPr>
      </w:pPr>
    </w:p>
    <w:p w14:paraId="4ACDC06C" w14:textId="2377A80E" w:rsidR="000471EC" w:rsidRPr="00800678" w:rsidRDefault="00AD2BD7" w:rsidP="0064106D">
      <w:pPr>
        <w:pStyle w:val="Heading2"/>
        <w:spacing w:after="0" w:line="240" w:lineRule="auto"/>
        <w:contextualSpacing/>
        <w:rPr>
          <w:rFonts w:asciiTheme="minorHAnsi" w:hAnsiTheme="minorHAnsi" w:cstheme="minorHAnsi"/>
          <w:sz w:val="32"/>
        </w:rPr>
      </w:pPr>
      <w:r w:rsidRPr="00800678">
        <w:rPr>
          <w:rFonts w:asciiTheme="minorHAnsi" w:hAnsiTheme="minorHAnsi" w:cstheme="minorHAnsi"/>
          <w:sz w:val="32"/>
        </w:rPr>
        <w:t>How is s</w:t>
      </w:r>
      <w:r w:rsidR="00E228DB" w:rsidRPr="00800678">
        <w:rPr>
          <w:rFonts w:asciiTheme="minorHAnsi" w:hAnsiTheme="minorHAnsi" w:cstheme="minorHAnsi"/>
          <w:sz w:val="32"/>
        </w:rPr>
        <w:t xml:space="preserve">ignificant </w:t>
      </w:r>
      <w:r w:rsidRPr="00800678">
        <w:rPr>
          <w:rFonts w:asciiTheme="minorHAnsi" w:hAnsiTheme="minorHAnsi" w:cstheme="minorHAnsi"/>
          <w:sz w:val="32"/>
        </w:rPr>
        <w:t>d</w:t>
      </w:r>
      <w:r w:rsidR="00E228DB" w:rsidRPr="00800678">
        <w:rPr>
          <w:rFonts w:asciiTheme="minorHAnsi" w:hAnsiTheme="minorHAnsi" w:cstheme="minorHAnsi"/>
          <w:sz w:val="32"/>
        </w:rPr>
        <w:t>isproportionality</w:t>
      </w:r>
      <w:r w:rsidRPr="00800678">
        <w:rPr>
          <w:rFonts w:asciiTheme="minorHAnsi" w:hAnsiTheme="minorHAnsi" w:cstheme="minorHAnsi"/>
          <w:sz w:val="32"/>
        </w:rPr>
        <w:t xml:space="preserve"> calculated</w:t>
      </w:r>
      <w:r w:rsidR="00E228DB" w:rsidRPr="00800678">
        <w:rPr>
          <w:rFonts w:asciiTheme="minorHAnsi" w:hAnsiTheme="minorHAnsi" w:cstheme="minorHAnsi"/>
          <w:sz w:val="32"/>
        </w:rPr>
        <w:t xml:space="preserve">? </w:t>
      </w:r>
    </w:p>
    <w:p w14:paraId="5D74A065" w14:textId="038F1620" w:rsidR="002E2616" w:rsidRPr="00BD6F6B" w:rsidRDefault="00683ED0" w:rsidP="0064106D">
      <w:pPr>
        <w:spacing w:after="0" w:line="240" w:lineRule="auto"/>
        <w:contextualSpacing/>
        <w:rPr>
          <w:b/>
          <w:i/>
        </w:rPr>
      </w:pPr>
      <w:r w:rsidRPr="00BD6F6B">
        <w:rPr>
          <w:b/>
          <w:i/>
        </w:rPr>
        <w:t xml:space="preserve">The Massachusetts Department of Elementary and Secondary Education (DESE) must calculate disproportionality with respect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reas for significant disproportionality calculations"/>
        <w:tblDescription w:val="Table shows the 14 areas in wich DESE must make significant disproportionality calculations "/>
      </w:tblPr>
      <w:tblGrid>
        <w:gridCol w:w="1688"/>
        <w:gridCol w:w="8596"/>
      </w:tblGrid>
      <w:tr w:rsidR="000758AA" w:rsidRPr="00BD6F6B" w14:paraId="0CB1B9E3" w14:textId="77777777" w:rsidTr="00973FC7">
        <w:trPr>
          <w:trHeight w:val="100"/>
        </w:trPr>
        <w:tc>
          <w:tcPr>
            <w:tcW w:w="1688" w:type="dxa"/>
            <w:shd w:val="clear" w:color="auto" w:fill="FFFFFF" w:themeFill="background1"/>
          </w:tcPr>
          <w:p w14:paraId="629137F8" w14:textId="0F3F7941" w:rsidR="000758AA" w:rsidRPr="00BD6F6B" w:rsidRDefault="000758AA" w:rsidP="00973FC7">
            <w:pPr>
              <w:contextualSpacing/>
              <w:rPr>
                <w:b/>
                <w:color w:val="FFFFFF" w:themeColor="background1"/>
              </w:rPr>
            </w:pPr>
          </w:p>
        </w:tc>
        <w:tc>
          <w:tcPr>
            <w:tcW w:w="8596" w:type="dxa"/>
            <w:shd w:val="clear" w:color="auto" w:fill="FFFFFF" w:themeFill="background1"/>
          </w:tcPr>
          <w:p w14:paraId="781D0766" w14:textId="77777777" w:rsidR="000758AA" w:rsidRPr="00BD6F6B" w:rsidRDefault="000758AA" w:rsidP="00973FC7">
            <w:pPr>
              <w:contextualSpacing/>
              <w:rPr>
                <w:b/>
                <w:color w:val="FFFFFF" w:themeColor="background1"/>
              </w:rPr>
            </w:pPr>
            <w:r w:rsidRPr="00BD6F6B">
              <w:rPr>
                <w:b/>
                <w:color w:val="FFFFFF" w:themeColor="background1"/>
              </w:rPr>
              <w:t>Details</w:t>
            </w:r>
          </w:p>
        </w:tc>
      </w:tr>
      <w:tr w:rsidR="000758AA" w:rsidRPr="00BD6F6B" w14:paraId="507F6A38" w14:textId="77777777" w:rsidTr="00973FC7">
        <w:trPr>
          <w:trHeight w:val="1454"/>
        </w:trPr>
        <w:tc>
          <w:tcPr>
            <w:tcW w:w="1688" w:type="dxa"/>
            <w:shd w:val="clear" w:color="auto" w:fill="FDE9D9"/>
          </w:tcPr>
          <w:p w14:paraId="1934E740" w14:textId="77777777" w:rsidR="000758AA" w:rsidRPr="00BD6F6B" w:rsidRDefault="000758AA" w:rsidP="00973FC7">
            <w:pPr>
              <w:contextualSpacing/>
              <w:rPr>
                <w:b/>
              </w:rPr>
            </w:pPr>
            <w:r w:rsidRPr="00BD6F6B">
              <w:rPr>
                <w:b/>
              </w:rPr>
              <w:t>Identification</w:t>
            </w:r>
          </w:p>
        </w:tc>
        <w:tc>
          <w:tcPr>
            <w:tcW w:w="8596" w:type="dxa"/>
            <w:shd w:val="clear" w:color="auto" w:fill="FDE9D9"/>
          </w:tcPr>
          <w:p w14:paraId="1D98350E" w14:textId="69B85AAB" w:rsidR="000758AA" w:rsidRPr="00BD6F6B" w:rsidRDefault="000758AA" w:rsidP="00973FC7">
            <w:pPr>
              <w:contextualSpacing/>
              <w:rPr>
                <w:b/>
              </w:rPr>
            </w:pPr>
            <w:r w:rsidRPr="00BD6F6B">
              <w:rPr>
                <w:b/>
              </w:rPr>
              <w:t>The identification of children, ages 3 through 21, with:</w:t>
            </w:r>
          </w:p>
          <w:p w14:paraId="73381367" w14:textId="77777777" w:rsidR="000758AA" w:rsidRPr="00BD6F6B" w:rsidRDefault="000758AA" w:rsidP="00973FC7">
            <w:pPr>
              <w:numPr>
                <w:ilvl w:val="1"/>
                <w:numId w:val="2"/>
              </w:numPr>
              <w:contextualSpacing/>
            </w:pPr>
            <w:r w:rsidRPr="00BD6F6B">
              <w:t>A disability</w:t>
            </w:r>
          </w:p>
          <w:p w14:paraId="494D54E6" w14:textId="77777777" w:rsidR="000758AA" w:rsidRPr="00BD6F6B" w:rsidRDefault="000758AA" w:rsidP="00973FC7">
            <w:pPr>
              <w:numPr>
                <w:ilvl w:val="1"/>
                <w:numId w:val="2"/>
              </w:numPr>
              <w:contextualSpacing/>
            </w:pPr>
            <w:r w:rsidRPr="00BD6F6B">
              <w:t>An intellectual disability</w:t>
            </w:r>
          </w:p>
          <w:p w14:paraId="36BEC669" w14:textId="77777777" w:rsidR="000758AA" w:rsidRPr="00BD6F6B" w:rsidRDefault="000758AA" w:rsidP="00973FC7">
            <w:pPr>
              <w:numPr>
                <w:ilvl w:val="1"/>
                <w:numId w:val="2"/>
              </w:numPr>
              <w:contextualSpacing/>
            </w:pPr>
            <w:r w:rsidRPr="00BD6F6B">
              <w:t>A specific learning disability</w:t>
            </w:r>
          </w:p>
          <w:p w14:paraId="4FCE6F3A" w14:textId="77777777" w:rsidR="000758AA" w:rsidRPr="00BD6F6B" w:rsidRDefault="000758AA" w:rsidP="00973FC7">
            <w:pPr>
              <w:numPr>
                <w:ilvl w:val="1"/>
                <w:numId w:val="2"/>
              </w:numPr>
              <w:contextualSpacing/>
            </w:pPr>
            <w:r w:rsidRPr="00BD6F6B">
              <w:t>Emotional disturbance</w:t>
            </w:r>
          </w:p>
          <w:p w14:paraId="3D8DF00B" w14:textId="77777777" w:rsidR="000758AA" w:rsidRPr="00BD6F6B" w:rsidRDefault="000758AA" w:rsidP="00973FC7">
            <w:pPr>
              <w:numPr>
                <w:ilvl w:val="1"/>
                <w:numId w:val="2"/>
              </w:numPr>
              <w:contextualSpacing/>
            </w:pPr>
            <w:r w:rsidRPr="00BD6F6B">
              <w:t>Speech or language impairments</w:t>
            </w:r>
          </w:p>
          <w:p w14:paraId="093EA606" w14:textId="77777777" w:rsidR="000758AA" w:rsidRPr="00BD6F6B" w:rsidRDefault="000758AA" w:rsidP="00973FC7">
            <w:pPr>
              <w:numPr>
                <w:ilvl w:val="1"/>
                <w:numId w:val="2"/>
              </w:numPr>
              <w:contextualSpacing/>
            </w:pPr>
            <w:r w:rsidRPr="00BD6F6B">
              <w:t>Other health impairments</w:t>
            </w:r>
          </w:p>
          <w:p w14:paraId="4373E75B" w14:textId="77777777" w:rsidR="000758AA" w:rsidRPr="00BD6F6B" w:rsidRDefault="000758AA" w:rsidP="00973FC7">
            <w:pPr>
              <w:numPr>
                <w:ilvl w:val="1"/>
                <w:numId w:val="2"/>
              </w:numPr>
              <w:contextualSpacing/>
            </w:pPr>
            <w:r w:rsidRPr="00BD6F6B">
              <w:t xml:space="preserve">Autism </w:t>
            </w:r>
          </w:p>
        </w:tc>
      </w:tr>
      <w:tr w:rsidR="000758AA" w:rsidRPr="00BD6F6B" w14:paraId="42A5A961" w14:textId="77777777" w:rsidTr="00973FC7">
        <w:trPr>
          <w:trHeight w:val="115"/>
        </w:trPr>
        <w:tc>
          <w:tcPr>
            <w:tcW w:w="1688" w:type="dxa"/>
            <w:shd w:val="clear" w:color="auto" w:fill="FFFFFF" w:themeFill="background1"/>
          </w:tcPr>
          <w:p w14:paraId="431AD038" w14:textId="77777777" w:rsidR="000758AA" w:rsidRPr="00BD6F6B" w:rsidRDefault="000758AA" w:rsidP="00973FC7">
            <w:pPr>
              <w:contextualSpacing/>
              <w:rPr>
                <w:b/>
              </w:rPr>
            </w:pPr>
          </w:p>
        </w:tc>
        <w:tc>
          <w:tcPr>
            <w:tcW w:w="8596" w:type="dxa"/>
            <w:shd w:val="clear" w:color="auto" w:fill="FFFFFF" w:themeFill="background1"/>
          </w:tcPr>
          <w:p w14:paraId="76B2C111" w14:textId="77777777" w:rsidR="000758AA" w:rsidRPr="00BD6F6B" w:rsidRDefault="000758AA" w:rsidP="00973FC7">
            <w:pPr>
              <w:contextualSpacing/>
              <w:rPr>
                <w:b/>
              </w:rPr>
            </w:pPr>
          </w:p>
        </w:tc>
      </w:tr>
      <w:tr w:rsidR="000758AA" w:rsidRPr="00BD6F6B" w14:paraId="5B6AA5A0" w14:textId="77777777" w:rsidTr="00C734F7">
        <w:trPr>
          <w:trHeight w:val="882"/>
        </w:trPr>
        <w:tc>
          <w:tcPr>
            <w:tcW w:w="1688" w:type="dxa"/>
            <w:shd w:val="clear" w:color="auto" w:fill="FBD4B4"/>
          </w:tcPr>
          <w:p w14:paraId="685FBFFC" w14:textId="77777777" w:rsidR="000758AA" w:rsidRPr="00BD6F6B" w:rsidRDefault="000758AA" w:rsidP="00973FC7">
            <w:pPr>
              <w:contextualSpacing/>
              <w:rPr>
                <w:b/>
              </w:rPr>
            </w:pPr>
            <w:r w:rsidRPr="00BD6F6B">
              <w:rPr>
                <w:b/>
              </w:rPr>
              <w:t>Placement</w:t>
            </w:r>
          </w:p>
        </w:tc>
        <w:tc>
          <w:tcPr>
            <w:tcW w:w="8596" w:type="dxa"/>
            <w:shd w:val="clear" w:color="auto" w:fill="FBD4B4"/>
          </w:tcPr>
          <w:p w14:paraId="3C5506E8" w14:textId="77777777" w:rsidR="000758AA" w:rsidRPr="00BD6F6B" w:rsidRDefault="000758AA" w:rsidP="00973FC7">
            <w:pPr>
              <w:contextualSpacing/>
              <w:rPr>
                <w:b/>
              </w:rPr>
            </w:pPr>
            <w:r w:rsidRPr="00BD6F6B">
              <w:rPr>
                <w:b/>
              </w:rPr>
              <w:t>Placements of children with disabilities, ages 6 through 21:</w:t>
            </w:r>
          </w:p>
          <w:p w14:paraId="24F6BC63" w14:textId="77777777" w:rsidR="000758AA" w:rsidRPr="00BD6F6B" w:rsidRDefault="000758AA" w:rsidP="00973FC7">
            <w:pPr>
              <w:numPr>
                <w:ilvl w:val="0"/>
                <w:numId w:val="7"/>
              </w:numPr>
              <w:contextualSpacing/>
            </w:pPr>
            <w:r w:rsidRPr="00BD6F6B">
              <w:t xml:space="preserve">Inside a regular class less than 40% of the day </w:t>
            </w:r>
          </w:p>
          <w:p w14:paraId="28A5EE18" w14:textId="77777777" w:rsidR="000758AA" w:rsidRPr="00BD6F6B" w:rsidRDefault="000758AA" w:rsidP="00973FC7">
            <w:pPr>
              <w:numPr>
                <w:ilvl w:val="0"/>
                <w:numId w:val="7"/>
              </w:numPr>
              <w:contextualSpacing/>
            </w:pPr>
            <w:r w:rsidRPr="00BD6F6B">
              <w:t>Inside separate schools and residential facilities</w:t>
            </w:r>
          </w:p>
          <w:p w14:paraId="00ABD72E" w14:textId="77777777" w:rsidR="000758AA" w:rsidRPr="00BD6F6B" w:rsidRDefault="000758AA" w:rsidP="00973FC7">
            <w:pPr>
              <w:contextualSpacing/>
            </w:pPr>
          </w:p>
        </w:tc>
      </w:tr>
      <w:tr w:rsidR="000758AA" w:rsidRPr="00BD6F6B" w14:paraId="1893530E" w14:textId="77777777" w:rsidTr="00973FC7">
        <w:trPr>
          <w:trHeight w:val="182"/>
        </w:trPr>
        <w:tc>
          <w:tcPr>
            <w:tcW w:w="1688" w:type="dxa"/>
            <w:shd w:val="clear" w:color="auto" w:fill="FFFFFF" w:themeFill="background1"/>
          </w:tcPr>
          <w:p w14:paraId="2560C185" w14:textId="77777777" w:rsidR="000758AA" w:rsidRPr="00BD6F6B" w:rsidRDefault="000758AA" w:rsidP="00973FC7">
            <w:pPr>
              <w:contextualSpacing/>
            </w:pPr>
          </w:p>
        </w:tc>
        <w:tc>
          <w:tcPr>
            <w:tcW w:w="8596" w:type="dxa"/>
            <w:shd w:val="clear" w:color="auto" w:fill="FFFFFF" w:themeFill="background1"/>
          </w:tcPr>
          <w:p w14:paraId="0BECDAD2" w14:textId="77777777" w:rsidR="000758AA" w:rsidRPr="00BD6F6B" w:rsidRDefault="000758AA" w:rsidP="00973FC7">
            <w:pPr>
              <w:contextualSpacing/>
            </w:pPr>
          </w:p>
        </w:tc>
      </w:tr>
      <w:tr w:rsidR="000758AA" w:rsidRPr="00BD6F6B" w14:paraId="7315BFAC" w14:textId="77777777" w:rsidTr="00973FC7">
        <w:trPr>
          <w:trHeight w:val="1077"/>
        </w:trPr>
        <w:tc>
          <w:tcPr>
            <w:tcW w:w="1688" w:type="dxa"/>
            <w:shd w:val="clear" w:color="auto" w:fill="FDE9D9"/>
          </w:tcPr>
          <w:p w14:paraId="66E5EC5E" w14:textId="77777777" w:rsidR="000758AA" w:rsidRPr="00BD6F6B" w:rsidRDefault="000758AA" w:rsidP="00973FC7">
            <w:pPr>
              <w:contextualSpacing/>
              <w:rPr>
                <w:b/>
              </w:rPr>
            </w:pPr>
            <w:r w:rsidRPr="00BD6F6B">
              <w:rPr>
                <w:b/>
              </w:rPr>
              <w:t>Discipline</w:t>
            </w:r>
          </w:p>
        </w:tc>
        <w:tc>
          <w:tcPr>
            <w:tcW w:w="8596" w:type="dxa"/>
            <w:shd w:val="clear" w:color="auto" w:fill="FDE9D9"/>
          </w:tcPr>
          <w:p w14:paraId="1DA9B967" w14:textId="449AE07A" w:rsidR="000758AA" w:rsidRPr="00BD6F6B" w:rsidRDefault="000758AA" w:rsidP="00973FC7">
            <w:pPr>
              <w:contextualSpacing/>
              <w:rPr>
                <w:b/>
              </w:rPr>
            </w:pPr>
            <w:r w:rsidRPr="00BD6F6B">
              <w:rPr>
                <w:b/>
              </w:rPr>
              <w:t>Disciplin</w:t>
            </w:r>
            <w:r w:rsidR="005A2BEE">
              <w:rPr>
                <w:b/>
              </w:rPr>
              <w:t>ary removals</w:t>
            </w:r>
            <w:r w:rsidRPr="00BD6F6B">
              <w:rPr>
                <w:b/>
              </w:rPr>
              <w:t xml:space="preserve"> involving children with disabilities ages 3 through 21:</w:t>
            </w:r>
          </w:p>
          <w:p w14:paraId="133A6370" w14:textId="77777777" w:rsidR="000758AA" w:rsidRPr="00BD6F6B" w:rsidRDefault="000758AA" w:rsidP="00973FC7">
            <w:pPr>
              <w:pStyle w:val="ListParagraph"/>
              <w:numPr>
                <w:ilvl w:val="0"/>
                <w:numId w:val="8"/>
              </w:numPr>
            </w:pPr>
            <w:r w:rsidRPr="00BD6F6B">
              <w:t>Out-of-school suspensions and expulsions of 10 days or fewer</w:t>
            </w:r>
          </w:p>
          <w:p w14:paraId="420569F2" w14:textId="77777777" w:rsidR="000758AA" w:rsidRPr="00BD6F6B" w:rsidRDefault="000758AA" w:rsidP="00973FC7">
            <w:pPr>
              <w:pStyle w:val="ListParagraph"/>
              <w:numPr>
                <w:ilvl w:val="0"/>
                <w:numId w:val="8"/>
              </w:numPr>
            </w:pPr>
            <w:r w:rsidRPr="00BD6F6B">
              <w:t>Out-of-school suspensions and expulsions of more than 10 days</w:t>
            </w:r>
          </w:p>
          <w:p w14:paraId="64BE53D6" w14:textId="77777777" w:rsidR="000758AA" w:rsidRPr="00BD6F6B" w:rsidRDefault="000758AA" w:rsidP="00973FC7">
            <w:pPr>
              <w:pStyle w:val="ListParagraph"/>
              <w:numPr>
                <w:ilvl w:val="0"/>
                <w:numId w:val="8"/>
              </w:numPr>
            </w:pPr>
            <w:r w:rsidRPr="00BD6F6B">
              <w:t>In-school suspensions of 10 days or fewer</w:t>
            </w:r>
          </w:p>
          <w:p w14:paraId="74A31A4C" w14:textId="77777777" w:rsidR="000758AA" w:rsidRPr="00BD6F6B" w:rsidRDefault="000758AA" w:rsidP="00973FC7">
            <w:pPr>
              <w:pStyle w:val="ListParagraph"/>
              <w:numPr>
                <w:ilvl w:val="0"/>
                <w:numId w:val="8"/>
              </w:numPr>
            </w:pPr>
            <w:r w:rsidRPr="00BD6F6B">
              <w:t>In-school suspensions of more than 10 days</w:t>
            </w:r>
          </w:p>
          <w:p w14:paraId="3034C27B" w14:textId="77777777" w:rsidR="000758AA" w:rsidRPr="00BD6F6B" w:rsidRDefault="000758AA" w:rsidP="00973FC7">
            <w:pPr>
              <w:pStyle w:val="ListParagraph"/>
              <w:numPr>
                <w:ilvl w:val="0"/>
                <w:numId w:val="8"/>
              </w:numPr>
            </w:pPr>
            <w:r w:rsidRPr="00BD6F6B">
              <w:t>Disciplinary removals in total</w:t>
            </w:r>
          </w:p>
        </w:tc>
      </w:tr>
    </w:tbl>
    <w:p w14:paraId="261AA242" w14:textId="166CD153" w:rsidR="001F45D6" w:rsidRPr="00BD6F6B" w:rsidRDefault="001F45D6" w:rsidP="0064106D">
      <w:pPr>
        <w:spacing w:after="0" w:line="240" w:lineRule="auto"/>
        <w:contextualSpacing/>
        <w:rPr>
          <w:b/>
          <w:i/>
        </w:rPr>
      </w:pPr>
    </w:p>
    <w:p w14:paraId="0336A1E6" w14:textId="3B8D9D0E" w:rsidR="00BD6F6B" w:rsidRDefault="004E57DC" w:rsidP="0064106D">
      <w:pPr>
        <w:spacing w:after="0" w:line="240" w:lineRule="auto"/>
        <w:contextualSpacing/>
      </w:pPr>
      <w:r w:rsidRPr="00BD6F6B">
        <w:t xml:space="preserve">DESE must calculate identification, placement and </w:t>
      </w:r>
      <w:r w:rsidR="005A2BEE">
        <w:t xml:space="preserve">rates of </w:t>
      </w:r>
      <w:r w:rsidRPr="00BD6F6B">
        <w:t>disciplin</w:t>
      </w:r>
      <w:r w:rsidR="005A2BEE">
        <w:t>ary removal</w:t>
      </w:r>
      <w:r w:rsidRPr="00BD6F6B">
        <w:t xml:space="preserve"> in the above categories for seven racial or ethnic groups (African American/Black, American Indian or Alaskan Native, Asia</w:t>
      </w:r>
      <w:r w:rsidR="00715D23" w:rsidRPr="00BD6F6B">
        <w:t>n</w:t>
      </w:r>
      <w:r w:rsidRPr="00BD6F6B">
        <w:t>, Hispanic or Latino</w:t>
      </w:r>
      <w:r w:rsidR="00715D23" w:rsidRPr="00BD6F6B">
        <w:t>, Multi-racial</w:t>
      </w:r>
      <w:r w:rsidRPr="00BD6F6B">
        <w:t>, Native Haw</w:t>
      </w:r>
      <w:r w:rsidR="00715D23" w:rsidRPr="00BD6F6B">
        <w:t>aiian or Pacific Islander, and W</w:t>
      </w:r>
      <w:r w:rsidRPr="00BD6F6B">
        <w:t xml:space="preserve">hite), comparing rates for each group to rates for all other children within the LEA. Where numbers are too small for comparison, DESE compares the rates for </w:t>
      </w:r>
      <w:r w:rsidR="005A2BEE">
        <w:t xml:space="preserve">each </w:t>
      </w:r>
      <w:r w:rsidRPr="00BD6F6B">
        <w:t>groups to the state</w:t>
      </w:r>
      <w:r w:rsidR="005A2BEE">
        <w:t>’s</w:t>
      </w:r>
      <w:r w:rsidRPr="00BD6F6B">
        <w:t xml:space="preserve"> rate in </w:t>
      </w:r>
      <w:r w:rsidR="005A2BEE">
        <w:t>a</w:t>
      </w:r>
      <w:r w:rsidRPr="00BD6F6B">
        <w:t xml:space="preserve"> categor</w:t>
      </w:r>
      <w:r w:rsidR="005A2BEE">
        <w:t>y</w:t>
      </w:r>
      <w:r w:rsidRPr="00BD6F6B">
        <w:t xml:space="preserve">. These analyses must be done annually. </w:t>
      </w:r>
    </w:p>
    <w:p w14:paraId="76DDDADC" w14:textId="77777777" w:rsidR="00BD6F6B" w:rsidRDefault="00BD6F6B" w:rsidP="0064106D">
      <w:pPr>
        <w:spacing w:after="0" w:line="240" w:lineRule="auto"/>
        <w:contextualSpacing/>
      </w:pPr>
    </w:p>
    <w:p w14:paraId="0A50CAF4" w14:textId="34F08E9F" w:rsidR="00392FC7" w:rsidRPr="00BD6F6B" w:rsidRDefault="00683ED0" w:rsidP="0064106D">
      <w:pPr>
        <w:spacing w:after="0" w:line="240" w:lineRule="auto"/>
        <w:contextualSpacing/>
      </w:pPr>
      <w:r w:rsidRPr="00BD6F6B">
        <w:lastRenderedPageBreak/>
        <w:t xml:space="preserve">To make these calculations and identify </w:t>
      </w:r>
      <w:r w:rsidR="000758AA" w:rsidRPr="00BD6F6B">
        <w:t xml:space="preserve">LEAs </w:t>
      </w:r>
      <w:r w:rsidRPr="00BD6F6B">
        <w:t xml:space="preserve">with significant disproportionality, </w:t>
      </w:r>
      <w:r w:rsidR="005A2BEE">
        <w:t>DESE</w:t>
      </w:r>
      <w:r w:rsidR="005A2BEE" w:rsidRPr="00BD6F6B">
        <w:t xml:space="preserve"> </w:t>
      </w:r>
      <w:r w:rsidR="00077ED6" w:rsidRPr="00BD6F6B">
        <w:t>uses a risk ratio. In SY 20</w:t>
      </w:r>
      <w:r w:rsidR="00DF4A32">
        <w:t>21</w:t>
      </w:r>
      <w:r w:rsidR="00077ED6" w:rsidRPr="00BD6F6B">
        <w:t>-202</w:t>
      </w:r>
      <w:r w:rsidR="00DF4A32">
        <w:t>2</w:t>
      </w:r>
      <w:r w:rsidR="00077ED6" w:rsidRPr="00BD6F6B">
        <w:t xml:space="preserve">, </w:t>
      </w:r>
      <w:r w:rsidR="000758AA" w:rsidRPr="00BD6F6B">
        <w:t xml:space="preserve">an LEA </w:t>
      </w:r>
      <w:r w:rsidR="00077ED6" w:rsidRPr="00BD6F6B">
        <w:t xml:space="preserve">will be </w:t>
      </w:r>
      <w:r w:rsidR="00610531" w:rsidRPr="00BD6F6B">
        <w:t xml:space="preserve">identified </w:t>
      </w:r>
      <w:r w:rsidR="00BF7E65" w:rsidRPr="00BD6F6B">
        <w:t xml:space="preserve">with significant disproportionality </w:t>
      </w:r>
      <w:r w:rsidR="00077ED6" w:rsidRPr="00BD6F6B">
        <w:t>if its risk ratio for a particular racial</w:t>
      </w:r>
      <w:r w:rsidR="005A2BEE">
        <w:t xml:space="preserve"> or </w:t>
      </w:r>
      <w:r w:rsidR="00077ED6" w:rsidRPr="00BD6F6B">
        <w:t xml:space="preserve">ethnic group in a particular category is </w:t>
      </w:r>
      <w:r w:rsidR="00DF4A32">
        <w:t>3</w:t>
      </w:r>
      <w:r w:rsidR="00077ED6" w:rsidRPr="00BD6F6B">
        <w:t xml:space="preserve">.0 or greater for each of the previous </w:t>
      </w:r>
      <w:r w:rsidR="00610531" w:rsidRPr="00BD6F6B">
        <w:t xml:space="preserve">three </w:t>
      </w:r>
      <w:r w:rsidR="00077ED6" w:rsidRPr="00BD6F6B">
        <w:t>years.</w:t>
      </w:r>
      <w:r w:rsidR="000758AA" w:rsidRPr="00BD6F6B">
        <w:t xml:space="preserve"> </w:t>
      </w:r>
    </w:p>
    <w:p w14:paraId="01BC6503" w14:textId="77777777" w:rsidR="006E2E9C" w:rsidRPr="00BD6F6B" w:rsidRDefault="006E2E9C" w:rsidP="0064106D">
      <w:pPr>
        <w:pStyle w:val="Heading2"/>
        <w:spacing w:after="0" w:line="240" w:lineRule="auto"/>
        <w:contextualSpacing/>
        <w:rPr>
          <w:rFonts w:asciiTheme="minorHAnsi" w:hAnsiTheme="minorHAnsi" w:cstheme="minorHAnsi"/>
          <w:sz w:val="22"/>
          <w:szCs w:val="22"/>
        </w:rPr>
      </w:pPr>
    </w:p>
    <w:p w14:paraId="58869658" w14:textId="06017A45" w:rsidR="00683ED0" w:rsidRPr="001F45D6" w:rsidRDefault="00683ED0" w:rsidP="0064106D">
      <w:pPr>
        <w:pStyle w:val="Heading2"/>
        <w:spacing w:after="0" w:line="240" w:lineRule="auto"/>
        <w:contextualSpacing/>
        <w:rPr>
          <w:rFonts w:asciiTheme="minorHAnsi" w:hAnsiTheme="minorHAnsi" w:cstheme="minorHAnsi"/>
          <w:b w:val="0"/>
          <w:sz w:val="24"/>
          <w:szCs w:val="24"/>
        </w:rPr>
      </w:pPr>
      <w:r w:rsidRPr="001F45D6">
        <w:rPr>
          <w:rFonts w:asciiTheme="minorHAnsi" w:hAnsiTheme="minorHAnsi" w:cstheme="minorHAnsi"/>
          <w:sz w:val="24"/>
          <w:szCs w:val="24"/>
        </w:rPr>
        <w:t xml:space="preserve">What is a risk ratio? </w:t>
      </w:r>
    </w:p>
    <w:p w14:paraId="1FA91D60" w14:textId="0ED1CE3F" w:rsidR="00487403" w:rsidRPr="007C6CB9" w:rsidRDefault="00F77357" w:rsidP="0064106D">
      <w:pPr>
        <w:spacing w:after="0" w:line="240" w:lineRule="auto"/>
        <w:contextualSpacing/>
      </w:pPr>
      <w:r w:rsidRPr="007C6CB9">
        <w:t xml:space="preserve">A </w:t>
      </w:r>
      <w:r w:rsidRPr="007C6CB9">
        <w:rPr>
          <w:b/>
        </w:rPr>
        <w:t>risk ratio</w:t>
      </w:r>
      <w:r w:rsidRPr="007C6CB9">
        <w:t xml:space="preserve"> is </w:t>
      </w:r>
      <w:r w:rsidR="000758AA" w:rsidRPr="007C6CB9">
        <w:t xml:space="preserve">a </w:t>
      </w:r>
      <w:r w:rsidRPr="007C6CB9">
        <w:t>calculation performed by dividing the risk of a particular outcome for children in one racial or ethnic group within an LEA by the risk for children in all other racial and ethnic groups within the LEA.</w:t>
      </w:r>
      <w:r w:rsidR="007E7168">
        <w:rPr>
          <w:rStyle w:val="FootnoteReference"/>
        </w:rPr>
        <w:footnoteReference w:id="2"/>
      </w:r>
      <w:r w:rsidR="005A2BEE">
        <w:t xml:space="preserve"> </w:t>
      </w:r>
    </w:p>
    <w:p w14:paraId="3D766123" w14:textId="20393358" w:rsidR="005B276B" w:rsidRPr="007C6CB9" w:rsidRDefault="005B276B" w:rsidP="00BD6F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isk Ration Example #1"/>
      </w:tblPr>
      <w:tblGrid>
        <w:gridCol w:w="10800"/>
      </w:tblGrid>
      <w:tr w:rsidR="005B276B" w14:paraId="360698D2" w14:textId="77777777" w:rsidTr="007E072B">
        <w:trPr>
          <w:cantSplit/>
          <w:tblHeader/>
        </w:trPr>
        <w:tc>
          <w:tcPr>
            <w:tcW w:w="10790" w:type="dxa"/>
          </w:tcPr>
          <w:p w14:paraId="0ECCDA7D" w14:textId="6B7A7CD4" w:rsidR="005B276B" w:rsidRPr="001F45D6" w:rsidRDefault="005B276B" w:rsidP="005B276B">
            <w:pPr>
              <w:pStyle w:val="Heading2"/>
              <w:spacing w:after="0" w:line="240" w:lineRule="auto"/>
              <w:contextualSpacing/>
              <w:outlineLvl w:val="1"/>
              <w:rPr>
                <w:rFonts w:asciiTheme="minorHAnsi" w:hAnsiTheme="minorHAnsi" w:cstheme="minorHAnsi"/>
                <w:sz w:val="24"/>
                <w:szCs w:val="24"/>
              </w:rPr>
            </w:pPr>
            <w:r w:rsidRPr="001F45D6">
              <w:rPr>
                <w:rFonts w:asciiTheme="minorHAnsi" w:hAnsiTheme="minorHAnsi" w:cstheme="minorHAnsi"/>
                <w:sz w:val="24"/>
                <w:szCs w:val="24"/>
              </w:rPr>
              <w:t>Risk Ratio Example #1</w:t>
            </w:r>
            <w:r w:rsidR="00B96647">
              <w:rPr>
                <w:rFonts w:asciiTheme="minorHAnsi" w:hAnsiTheme="minorHAnsi" w:cstheme="minorHAnsi"/>
                <w:sz w:val="24"/>
                <w:szCs w:val="24"/>
              </w:rPr>
              <w:t xml:space="preserve"> </w:t>
            </w:r>
            <w:r w:rsidRPr="001F45D6">
              <w:rPr>
                <w:rFonts w:asciiTheme="minorHAnsi" w:hAnsiTheme="minorHAnsi" w:cstheme="minorHAnsi"/>
                <w:sz w:val="24"/>
                <w:szCs w:val="24"/>
              </w:rPr>
              <w:t>-</w:t>
            </w:r>
            <w:r w:rsidR="00B96647">
              <w:rPr>
                <w:rFonts w:asciiTheme="minorHAnsi" w:hAnsiTheme="minorHAnsi" w:cstheme="minorHAnsi"/>
                <w:sz w:val="24"/>
                <w:szCs w:val="24"/>
              </w:rPr>
              <w:t xml:space="preserve"> </w:t>
            </w:r>
            <w:r w:rsidRPr="001F45D6">
              <w:rPr>
                <w:rFonts w:asciiTheme="minorHAnsi" w:hAnsiTheme="minorHAnsi" w:cstheme="minorHAnsi"/>
                <w:sz w:val="24"/>
                <w:szCs w:val="24"/>
              </w:rPr>
              <w:t>Identification</w:t>
            </w:r>
          </w:p>
          <w:p w14:paraId="63E6B5A4" w14:textId="77777777" w:rsidR="005B276B" w:rsidRPr="007C6CB9" w:rsidRDefault="005B276B" w:rsidP="005B276B">
            <w:pPr>
              <w:contextualSpacing/>
            </w:pPr>
            <w:r w:rsidRPr="007C6CB9">
              <w:rPr>
                <w:i/>
                <w:iCs/>
              </w:rPr>
              <w:t xml:space="preserve">Example: The likelihood that an African American child will be identified as a child with a disability, compared to children in all other racial and ethnic groups. </w:t>
            </w:r>
          </w:p>
          <w:p w14:paraId="24D33251" w14:textId="6E4B931F" w:rsidR="005B276B" w:rsidRPr="007C6CB9" w:rsidRDefault="005B276B" w:rsidP="005B276B">
            <w:pPr>
              <w:pStyle w:val="ListParagraph"/>
              <w:numPr>
                <w:ilvl w:val="0"/>
                <w:numId w:val="10"/>
              </w:numPr>
            </w:pPr>
            <w:r w:rsidRPr="007C6CB9">
              <w:t xml:space="preserve">The example below compares the risk for African American children being identified as a child with a disability to the risk for non-African American children being identified as a child with a disability. </w:t>
            </w:r>
          </w:p>
          <w:p w14:paraId="36F82C54" w14:textId="27FA2BD9" w:rsidR="00B96647" w:rsidRDefault="00606584" w:rsidP="00606584">
            <w:pPr>
              <w:pStyle w:val="ListParagraph"/>
              <w:spacing w:before="120"/>
              <w:ind w:left="350"/>
              <w:rPr>
                <w:sz w:val="24"/>
                <w:szCs w:val="24"/>
              </w:rPr>
            </w:pPr>
            <w:r w:rsidRPr="007C6CB9">
              <w:rPr>
                <w:noProof/>
              </w:rPr>
              <w:drawing>
                <wp:inline distT="0" distB="0" distL="0" distR="0" wp14:anchorId="578BAAD5" wp14:editId="2425A411">
                  <wp:extent cx="6616700" cy="1662430"/>
                  <wp:effectExtent l="0" t="0" r="0" b="0"/>
                  <wp:docPr id="1" name="Picture 1" descr="Table showing an example of how an identificationrisk risk ratio is calculated " title="Risk Ratio Example #1-Iden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16700" cy="1662430"/>
                          </a:xfrm>
                          <a:prstGeom prst="rect">
                            <a:avLst/>
                          </a:prstGeom>
                        </pic:spPr>
                      </pic:pic>
                    </a:graphicData>
                  </a:graphic>
                </wp:inline>
              </w:drawing>
            </w:r>
          </w:p>
          <w:p w14:paraId="4370E432" w14:textId="77777777" w:rsidR="00606584" w:rsidRPr="00D66796" w:rsidRDefault="00606584" w:rsidP="00606584">
            <w:pPr>
              <w:pStyle w:val="ListParagraph"/>
              <w:spacing w:before="120"/>
              <w:ind w:left="350"/>
              <w:rPr>
                <w:sz w:val="24"/>
                <w:szCs w:val="24"/>
              </w:rPr>
            </w:pPr>
          </w:p>
          <w:p w14:paraId="4708C1FB" w14:textId="0746820F" w:rsidR="005B276B" w:rsidRPr="00B96647" w:rsidRDefault="005B276B" w:rsidP="00D66796">
            <w:pPr>
              <w:pStyle w:val="ListParagraph"/>
              <w:numPr>
                <w:ilvl w:val="0"/>
                <w:numId w:val="10"/>
              </w:numPr>
              <w:spacing w:before="120"/>
              <w:rPr>
                <w:sz w:val="24"/>
                <w:szCs w:val="24"/>
              </w:rPr>
            </w:pPr>
            <w:r w:rsidRPr="00B96647">
              <w:rPr>
                <w:bCs/>
              </w:rPr>
              <w:t xml:space="preserve">In the example above, African American children in the LEA are </w:t>
            </w:r>
            <w:r w:rsidRPr="008D2043">
              <w:rPr>
                <w:b/>
                <w:bCs/>
              </w:rPr>
              <w:t>2.0 times as likely to be identified as a child with a disability</w:t>
            </w:r>
            <w:r w:rsidRPr="00B96647">
              <w:rPr>
                <w:bCs/>
              </w:rPr>
              <w:t>, compared to children in all other racial and ethnic groups in the LEA.</w:t>
            </w:r>
          </w:p>
        </w:tc>
      </w:tr>
    </w:tbl>
    <w:p w14:paraId="034D0187" w14:textId="45B78977" w:rsidR="006E2E9C" w:rsidRPr="00BD6F6B" w:rsidRDefault="006E2E9C" w:rsidP="0064106D">
      <w:pPr>
        <w:pStyle w:val="Heading2"/>
        <w:spacing w:after="0" w:line="240" w:lineRule="auto"/>
        <w:contextualSpacing/>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isk Ratin Example #2"/>
      </w:tblPr>
      <w:tblGrid>
        <w:gridCol w:w="10800"/>
      </w:tblGrid>
      <w:tr w:rsidR="005B276B" w14:paraId="66725197" w14:textId="77777777" w:rsidTr="001D7664">
        <w:tc>
          <w:tcPr>
            <w:tcW w:w="10790" w:type="dxa"/>
          </w:tcPr>
          <w:p w14:paraId="3FC8C98A" w14:textId="721D9C3B" w:rsidR="005B276B" w:rsidRPr="007A74BE" w:rsidRDefault="005B276B" w:rsidP="005B276B">
            <w:pPr>
              <w:pStyle w:val="Heading2"/>
              <w:spacing w:after="0" w:line="240" w:lineRule="auto"/>
              <w:contextualSpacing/>
              <w:outlineLvl w:val="1"/>
              <w:rPr>
                <w:rFonts w:asciiTheme="minorHAnsi" w:hAnsiTheme="minorHAnsi" w:cstheme="minorHAnsi"/>
                <w:sz w:val="24"/>
              </w:rPr>
            </w:pPr>
            <w:r w:rsidRPr="007A74BE">
              <w:rPr>
                <w:rFonts w:asciiTheme="minorHAnsi" w:hAnsiTheme="minorHAnsi" w:cstheme="minorHAnsi"/>
                <w:sz w:val="24"/>
              </w:rPr>
              <w:t>Risk Ratio Example #2</w:t>
            </w:r>
            <w:r w:rsidR="00B96647">
              <w:rPr>
                <w:rFonts w:asciiTheme="minorHAnsi" w:hAnsiTheme="minorHAnsi" w:cstheme="minorHAnsi"/>
                <w:sz w:val="24"/>
              </w:rPr>
              <w:t xml:space="preserve"> </w:t>
            </w:r>
            <w:r w:rsidRPr="007A74BE">
              <w:rPr>
                <w:rFonts w:asciiTheme="minorHAnsi" w:hAnsiTheme="minorHAnsi" w:cstheme="minorHAnsi"/>
                <w:sz w:val="24"/>
              </w:rPr>
              <w:t>-</w:t>
            </w:r>
            <w:r w:rsidR="00B96647">
              <w:rPr>
                <w:rFonts w:asciiTheme="minorHAnsi" w:hAnsiTheme="minorHAnsi" w:cstheme="minorHAnsi"/>
                <w:sz w:val="24"/>
              </w:rPr>
              <w:t xml:space="preserve"> </w:t>
            </w:r>
            <w:r w:rsidRPr="007A74BE">
              <w:rPr>
                <w:rFonts w:asciiTheme="minorHAnsi" w:hAnsiTheme="minorHAnsi" w:cstheme="minorHAnsi"/>
                <w:sz w:val="24"/>
              </w:rPr>
              <w:t>Placement</w:t>
            </w:r>
          </w:p>
          <w:p w14:paraId="14E88BDA" w14:textId="565400E9" w:rsidR="005B276B" w:rsidRPr="00142D54" w:rsidRDefault="005B276B" w:rsidP="005B276B">
            <w:pPr>
              <w:contextualSpacing/>
            </w:pPr>
            <w:r w:rsidRPr="00142D54">
              <w:rPr>
                <w:i/>
              </w:rPr>
              <w:t>Example: The likelihood that a Hispanic/Latino child’s placement will be in a general education classroom less than 40% of the day, compared to that likelihood for a child in all other racial and ethnic groups</w:t>
            </w:r>
            <w:r w:rsidRPr="00142D54">
              <w:t xml:space="preserve">.  </w:t>
            </w:r>
          </w:p>
          <w:p w14:paraId="1EAB7912" w14:textId="77777777" w:rsidR="0055162D" w:rsidRDefault="005B276B" w:rsidP="005B276B">
            <w:pPr>
              <w:pStyle w:val="ListParagraph"/>
              <w:numPr>
                <w:ilvl w:val="0"/>
                <w:numId w:val="11"/>
              </w:numPr>
            </w:pPr>
            <w:r w:rsidRPr="00142D54">
              <w:t>The example below compares the risk for Hispanic/Latino children being placed in general education classroom less than 40% of the day to the risk for non-Hispanic/Latino children being placed in general education classroom less than 40% of the day</w:t>
            </w:r>
            <w:r w:rsidR="00F64D94">
              <w:t>.</w:t>
            </w:r>
          </w:p>
          <w:p w14:paraId="3849E012" w14:textId="116E6F21" w:rsidR="005B276B" w:rsidRPr="00142D54" w:rsidRDefault="0055162D" w:rsidP="0055162D">
            <w:r>
              <w:rPr>
                <w:noProof/>
              </w:rPr>
              <w:drawing>
                <wp:inline distT="0" distB="0" distL="0" distR="0" wp14:anchorId="54AA0460" wp14:editId="257FB293">
                  <wp:extent cx="6733309" cy="1725861"/>
                  <wp:effectExtent l="0" t="0" r="0" b="8255"/>
                  <wp:docPr id="10" name="Picture 10" title="Risk Ratio Example #1-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10239" cy="1745579"/>
                          </a:xfrm>
                          <a:prstGeom prst="rect">
                            <a:avLst/>
                          </a:prstGeom>
                        </pic:spPr>
                      </pic:pic>
                    </a:graphicData>
                  </a:graphic>
                </wp:inline>
              </w:drawing>
            </w:r>
            <w:r w:rsidR="00142D54">
              <w:br/>
            </w:r>
          </w:p>
          <w:p w14:paraId="46BD47A5" w14:textId="294BC7AC" w:rsidR="005B276B" w:rsidRPr="006B6740" w:rsidRDefault="005B276B" w:rsidP="007605EE">
            <w:pPr>
              <w:pStyle w:val="ListParagraph"/>
              <w:numPr>
                <w:ilvl w:val="0"/>
                <w:numId w:val="11"/>
              </w:numPr>
            </w:pPr>
            <w:r w:rsidRPr="006B6740">
              <w:t xml:space="preserve">In the example above, Hispanic/Latino children in the LEA are </w:t>
            </w:r>
            <w:r w:rsidRPr="008D2043">
              <w:rPr>
                <w:b/>
              </w:rPr>
              <w:t xml:space="preserve">4.2 </w:t>
            </w:r>
            <w:r w:rsidRPr="008D2043">
              <w:rPr>
                <w:b/>
                <w:bCs/>
              </w:rPr>
              <w:t>times as likely to</w:t>
            </w:r>
            <w:r w:rsidRPr="008D2043">
              <w:rPr>
                <w:b/>
              </w:rPr>
              <w:t xml:space="preserve"> be placed in general education classroom less than 40% of the day,</w:t>
            </w:r>
            <w:r w:rsidRPr="006B6740">
              <w:t xml:space="preserve"> compared to </w:t>
            </w:r>
            <w:r w:rsidRPr="006B6740">
              <w:rPr>
                <w:bCs/>
              </w:rPr>
              <w:t xml:space="preserve">children in all other racial and ethnic groups </w:t>
            </w:r>
            <w:r w:rsidR="00727259">
              <w:rPr>
                <w:bCs/>
              </w:rPr>
              <w:t xml:space="preserve"> with IEPs </w:t>
            </w:r>
            <w:r w:rsidRPr="006B6740">
              <w:rPr>
                <w:bCs/>
              </w:rPr>
              <w:t>in the LEA.</w:t>
            </w:r>
          </w:p>
        </w:tc>
      </w:tr>
    </w:tbl>
    <w:p w14:paraId="53D12677" w14:textId="0FEE62CB" w:rsidR="00112055" w:rsidRDefault="00112055" w:rsidP="0064106D">
      <w:pPr>
        <w:spacing w:after="0" w:line="240" w:lineRule="auto"/>
        <w:contextualSpacing/>
        <w:rPr>
          <w:b/>
        </w:rPr>
      </w:pPr>
    </w:p>
    <w:p w14:paraId="4750BA58" w14:textId="77777777" w:rsidR="00142D54" w:rsidRDefault="00142D54" w:rsidP="0064106D">
      <w:pPr>
        <w:spacing w:after="0" w:line="240" w:lineRule="auto"/>
        <w:contextualSpacing/>
        <w:rPr>
          <w:b/>
        </w:rPr>
      </w:pPr>
    </w:p>
    <w:p w14:paraId="5EFBC24E" w14:textId="525CF934" w:rsidR="005831CF" w:rsidRPr="007A74BE" w:rsidRDefault="008812B7" w:rsidP="0064106D">
      <w:pPr>
        <w:pStyle w:val="Heading2"/>
        <w:spacing w:after="0" w:line="240" w:lineRule="auto"/>
        <w:contextualSpacing/>
        <w:rPr>
          <w:rFonts w:asciiTheme="minorHAnsi" w:hAnsiTheme="minorHAnsi" w:cstheme="minorHAnsi"/>
          <w:sz w:val="24"/>
        </w:rPr>
      </w:pPr>
      <w:r w:rsidRPr="007A74BE">
        <w:rPr>
          <w:rFonts w:asciiTheme="minorHAnsi" w:hAnsiTheme="minorHAnsi" w:cstheme="minorHAnsi"/>
          <w:sz w:val="24"/>
        </w:rPr>
        <w:t xml:space="preserve">What if my district is very small? </w:t>
      </w:r>
    </w:p>
    <w:p w14:paraId="5FDA0132" w14:textId="77BB0292" w:rsidR="008812B7" w:rsidRPr="00004E56" w:rsidRDefault="000758AA" w:rsidP="0064106D">
      <w:pPr>
        <w:spacing w:after="0" w:line="240" w:lineRule="auto"/>
        <w:contextualSpacing/>
        <w:rPr>
          <w:b/>
          <w:szCs w:val="24"/>
        </w:rPr>
      </w:pPr>
      <w:r w:rsidRPr="00D66796">
        <w:rPr>
          <w:bCs/>
          <w:iCs/>
          <w:szCs w:val="24"/>
        </w:rPr>
        <w:t xml:space="preserve">DESE </w:t>
      </w:r>
      <w:r w:rsidR="008812B7" w:rsidRPr="00D66796">
        <w:rPr>
          <w:bCs/>
          <w:iCs/>
          <w:szCs w:val="24"/>
        </w:rPr>
        <w:t xml:space="preserve">will </w:t>
      </w:r>
      <w:r w:rsidRPr="00D66796">
        <w:rPr>
          <w:bCs/>
          <w:iCs/>
          <w:szCs w:val="24"/>
        </w:rPr>
        <w:t xml:space="preserve">only </w:t>
      </w:r>
      <w:r w:rsidR="008812B7" w:rsidRPr="00D66796">
        <w:rPr>
          <w:bCs/>
          <w:iCs/>
          <w:szCs w:val="24"/>
        </w:rPr>
        <w:t>calculate a risk ratio for groups that meet the minimum cell size (6) and n-size (20).</w:t>
      </w:r>
      <w:r w:rsidR="008812B7" w:rsidRPr="007E7168">
        <w:rPr>
          <w:bCs/>
          <w:szCs w:val="24"/>
        </w:rPr>
        <w:t xml:space="preserve"> </w:t>
      </w:r>
      <w:r w:rsidR="007E7168" w:rsidRPr="00407DD6">
        <w:rPr>
          <w:rStyle w:val="FootnoteReference"/>
          <w:szCs w:val="24"/>
        </w:rPr>
        <w:footnoteReference w:id="3"/>
      </w:r>
    </w:p>
    <w:p w14:paraId="51AA231C" w14:textId="77777777" w:rsidR="00610531" w:rsidRPr="00004E56" w:rsidRDefault="00610531" w:rsidP="0064106D">
      <w:pPr>
        <w:spacing w:after="0" w:line="240" w:lineRule="auto"/>
        <w:contextualSpacing/>
        <w:rPr>
          <w:b/>
          <w:bCs/>
          <w:szCs w:val="24"/>
        </w:rPr>
      </w:pPr>
    </w:p>
    <w:p w14:paraId="7B65EB16" w14:textId="69AE62A4" w:rsidR="00EB47BF" w:rsidRPr="00004E56" w:rsidRDefault="00392FC7" w:rsidP="004E57DC">
      <w:pPr>
        <w:spacing w:after="0" w:line="240" w:lineRule="auto"/>
        <w:contextualSpacing/>
        <w:rPr>
          <w:szCs w:val="24"/>
        </w:rPr>
      </w:pPr>
      <w:r w:rsidRPr="00004E56">
        <w:rPr>
          <w:b/>
          <w:bCs/>
          <w:szCs w:val="24"/>
        </w:rPr>
        <w:t>Cell size</w:t>
      </w:r>
      <w:r w:rsidR="00610531" w:rsidRPr="00004E56">
        <w:rPr>
          <w:b/>
          <w:bCs/>
          <w:szCs w:val="24"/>
        </w:rPr>
        <w:t xml:space="preserve"> </w:t>
      </w:r>
      <w:r w:rsidR="00610531" w:rsidRPr="00004E56">
        <w:rPr>
          <w:szCs w:val="24"/>
        </w:rPr>
        <w:t xml:space="preserve">refers to the </w:t>
      </w:r>
      <w:r w:rsidR="0086548E" w:rsidRPr="00004E56">
        <w:rPr>
          <w:szCs w:val="24"/>
        </w:rPr>
        <w:t>number</w:t>
      </w:r>
      <w:r w:rsidRPr="00004E56">
        <w:rPr>
          <w:szCs w:val="24"/>
        </w:rPr>
        <w:t xml:space="preserve"> of children in the racial/ethnic group(s) experiencing a particular outcome. </w:t>
      </w:r>
      <w:r w:rsidR="00610531" w:rsidRPr="00004E56">
        <w:rPr>
          <w:szCs w:val="24"/>
        </w:rPr>
        <w:t xml:space="preserve">It is the </w:t>
      </w:r>
      <w:r w:rsidR="004E57DC" w:rsidRPr="00004E56">
        <w:rPr>
          <w:bCs/>
          <w:szCs w:val="24"/>
        </w:rPr>
        <w:t>numerator</w:t>
      </w:r>
      <w:r w:rsidRPr="00004E56">
        <w:rPr>
          <w:szCs w:val="24"/>
        </w:rPr>
        <w:t xml:space="preserve"> in the risk calculation.</w:t>
      </w:r>
      <w:r w:rsidR="007D7181">
        <w:rPr>
          <w:rStyle w:val="FootnoteReference"/>
          <w:szCs w:val="24"/>
        </w:rPr>
        <w:footnoteReference w:id="4"/>
      </w:r>
    </w:p>
    <w:p w14:paraId="65E06713" w14:textId="77777777" w:rsidR="00621DC2" w:rsidRPr="00004E56" w:rsidRDefault="00621DC2" w:rsidP="004E57DC">
      <w:pPr>
        <w:spacing w:after="0" w:line="240" w:lineRule="auto"/>
        <w:contextualSpacing/>
        <w:rPr>
          <w:szCs w:val="24"/>
        </w:rPr>
      </w:pPr>
    </w:p>
    <w:p w14:paraId="2CAEA511" w14:textId="715FF2B9" w:rsidR="00EB47BF" w:rsidRPr="00004E56" w:rsidRDefault="00392FC7" w:rsidP="004E57DC">
      <w:pPr>
        <w:spacing w:after="0" w:line="240" w:lineRule="auto"/>
        <w:contextualSpacing/>
        <w:rPr>
          <w:szCs w:val="24"/>
        </w:rPr>
      </w:pPr>
      <w:r w:rsidRPr="00004E56">
        <w:rPr>
          <w:b/>
          <w:bCs/>
          <w:szCs w:val="24"/>
        </w:rPr>
        <w:t>N-size</w:t>
      </w:r>
      <w:r w:rsidR="00610531" w:rsidRPr="00004E56">
        <w:rPr>
          <w:b/>
          <w:bCs/>
          <w:szCs w:val="24"/>
        </w:rPr>
        <w:t xml:space="preserve"> </w:t>
      </w:r>
      <w:r w:rsidR="00610531" w:rsidRPr="00004E56">
        <w:rPr>
          <w:szCs w:val="24"/>
        </w:rPr>
        <w:t xml:space="preserve">refers to the </w:t>
      </w:r>
      <w:r w:rsidR="00621DC2" w:rsidRPr="00004E56">
        <w:rPr>
          <w:szCs w:val="24"/>
        </w:rPr>
        <w:t>n</w:t>
      </w:r>
      <w:r w:rsidRPr="00004E56">
        <w:rPr>
          <w:szCs w:val="24"/>
        </w:rPr>
        <w:t xml:space="preserve">umber of children in the racial/ethnic group(s) enrolled in a district with respect to identification, </w:t>
      </w:r>
      <w:r w:rsidR="00200907" w:rsidRPr="00004E56">
        <w:rPr>
          <w:i/>
          <w:iCs/>
          <w:szCs w:val="24"/>
        </w:rPr>
        <w:t>or</w:t>
      </w:r>
      <w:r w:rsidR="00200907" w:rsidRPr="00004E56">
        <w:rPr>
          <w:szCs w:val="24"/>
        </w:rPr>
        <w:t xml:space="preserve"> </w:t>
      </w:r>
      <w:r w:rsidRPr="00004E56">
        <w:rPr>
          <w:szCs w:val="24"/>
        </w:rPr>
        <w:t>the number of children with disabilities enrolled in an LEA with respect to placement and discipline.</w:t>
      </w:r>
      <w:r w:rsidR="00610531" w:rsidRPr="00004E56">
        <w:rPr>
          <w:szCs w:val="24"/>
        </w:rPr>
        <w:t xml:space="preserve"> N-size is the </w:t>
      </w:r>
      <w:r w:rsidR="00610531" w:rsidRPr="00004E56">
        <w:rPr>
          <w:bCs/>
          <w:szCs w:val="24"/>
        </w:rPr>
        <w:t>d</w:t>
      </w:r>
      <w:r w:rsidRPr="00004E56">
        <w:rPr>
          <w:bCs/>
          <w:szCs w:val="24"/>
        </w:rPr>
        <w:t>enominator</w:t>
      </w:r>
      <w:r w:rsidRPr="00004E56">
        <w:rPr>
          <w:szCs w:val="24"/>
        </w:rPr>
        <w:t xml:space="preserve"> in the risk calculation.</w:t>
      </w:r>
      <w:r w:rsidR="00294244">
        <w:rPr>
          <w:rStyle w:val="FootnoteReference"/>
          <w:szCs w:val="24"/>
        </w:rPr>
        <w:footnoteReference w:id="5"/>
      </w:r>
      <w:r w:rsidRPr="00004E56">
        <w:rPr>
          <w:szCs w:val="24"/>
        </w:rPr>
        <w:t xml:space="preserve"> </w:t>
      </w:r>
    </w:p>
    <w:p w14:paraId="42FF54C4" w14:textId="77777777" w:rsidR="008812B7" w:rsidRPr="00004E56" w:rsidRDefault="008812B7" w:rsidP="0064106D">
      <w:pPr>
        <w:spacing w:after="0" w:line="240" w:lineRule="auto"/>
        <w:contextualSpacing/>
        <w:rPr>
          <w:sz w:val="20"/>
        </w:rPr>
      </w:pPr>
    </w:p>
    <w:p w14:paraId="5863CA01" w14:textId="77777777" w:rsidR="00FA425F" w:rsidRPr="007A74BE" w:rsidRDefault="00FA425F" w:rsidP="0064106D">
      <w:pPr>
        <w:pStyle w:val="Heading2"/>
        <w:spacing w:after="0" w:line="240" w:lineRule="auto"/>
        <w:contextualSpacing/>
        <w:rPr>
          <w:rFonts w:asciiTheme="minorHAnsi" w:hAnsiTheme="minorHAnsi" w:cstheme="minorHAnsi"/>
          <w:sz w:val="24"/>
        </w:rPr>
      </w:pPr>
      <w:r w:rsidRPr="007A74BE">
        <w:rPr>
          <w:rFonts w:asciiTheme="minorHAnsi" w:hAnsiTheme="minorHAnsi" w:cstheme="minorHAnsi"/>
          <w:sz w:val="24"/>
        </w:rPr>
        <w:t>What if the comparison group is too small?</w:t>
      </w:r>
    </w:p>
    <w:p w14:paraId="267FA899" w14:textId="45AFCB99" w:rsidR="006E2E9C" w:rsidRPr="00004E56" w:rsidRDefault="00FA425F" w:rsidP="005B276B">
      <w:pPr>
        <w:spacing w:after="0" w:line="240" w:lineRule="auto"/>
        <w:contextualSpacing/>
      </w:pPr>
      <w:r w:rsidRPr="00004E56">
        <w:t>If the group meet</w:t>
      </w:r>
      <w:r w:rsidR="00B96647">
        <w:t>s</w:t>
      </w:r>
      <w:r w:rsidRPr="00004E56">
        <w:t xml:space="preserve"> the minimum cell and n-size, but there are not enough students in all other racial</w:t>
      </w:r>
      <w:r w:rsidR="00B96647">
        <w:t xml:space="preserve"> </w:t>
      </w:r>
      <w:r w:rsidR="00B96647" w:rsidRPr="006B6740">
        <w:rPr>
          <w:b/>
        </w:rPr>
        <w:t>or</w:t>
      </w:r>
      <w:r w:rsidR="00B96647">
        <w:t xml:space="preserve"> </w:t>
      </w:r>
      <w:r w:rsidRPr="00004E56">
        <w:t xml:space="preserve">ethnic groups in the LEA, </w:t>
      </w:r>
      <w:r w:rsidR="000758AA" w:rsidRPr="00004E56">
        <w:t xml:space="preserve">DESE will </w:t>
      </w:r>
      <w:r w:rsidRPr="00004E56">
        <w:t xml:space="preserve">use an </w:t>
      </w:r>
      <w:r w:rsidRPr="00004E56">
        <w:rPr>
          <w:b/>
        </w:rPr>
        <w:t>alternate risk ratio</w:t>
      </w:r>
      <w:r w:rsidR="009D3AA1" w:rsidRPr="00004E56">
        <w:t>. An alternate risk ratio is</w:t>
      </w:r>
      <w:r w:rsidRPr="00004E56">
        <w:t xml:space="preserve"> calculation performed by dividing the risk of a particular outcome for children in one racial or ethnic group within an LEA by the risk of that outcome for children in all other racial or ethnic groups in the State.</w:t>
      </w:r>
      <w:r w:rsidR="007D7181">
        <w:rPr>
          <w:rStyle w:val="FootnoteReference"/>
        </w:rPr>
        <w:footnoteReference w:id="6"/>
      </w:r>
    </w:p>
    <w:p w14:paraId="6DFE05E4" w14:textId="77777777" w:rsidR="007605EE" w:rsidRPr="005B276B" w:rsidRDefault="007605EE" w:rsidP="005B276B">
      <w:pPr>
        <w:spacing w:after="0" w:line="240" w:lineRule="auto"/>
        <w:contextualSpacing/>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ternate Risk Ratio Example"/>
      </w:tblPr>
      <w:tblGrid>
        <w:gridCol w:w="10800"/>
      </w:tblGrid>
      <w:tr w:rsidR="005B276B" w14:paraId="22C2A10F" w14:textId="77777777" w:rsidTr="001D7664">
        <w:tc>
          <w:tcPr>
            <w:tcW w:w="10790" w:type="dxa"/>
          </w:tcPr>
          <w:p w14:paraId="4202B031" w14:textId="77777777" w:rsidR="005B276B" w:rsidRPr="007A74BE" w:rsidRDefault="005B276B" w:rsidP="005B276B">
            <w:pPr>
              <w:pStyle w:val="Heading2"/>
              <w:spacing w:after="0" w:line="240" w:lineRule="auto"/>
              <w:contextualSpacing/>
              <w:outlineLvl w:val="1"/>
              <w:rPr>
                <w:rFonts w:asciiTheme="minorHAnsi" w:hAnsiTheme="minorHAnsi" w:cstheme="minorHAnsi"/>
                <w:sz w:val="24"/>
              </w:rPr>
            </w:pPr>
            <w:r w:rsidRPr="007A74BE">
              <w:rPr>
                <w:rFonts w:asciiTheme="minorHAnsi" w:hAnsiTheme="minorHAnsi" w:cstheme="minorHAnsi"/>
                <w:sz w:val="24"/>
              </w:rPr>
              <w:t>Alternate Risk Ratio Example-Disciplinary Removal</w:t>
            </w:r>
          </w:p>
          <w:p w14:paraId="7C2E11D4" w14:textId="77777777" w:rsidR="005B276B" w:rsidRPr="002F1675" w:rsidRDefault="005B276B" w:rsidP="005B276B">
            <w:pPr>
              <w:contextualSpacing/>
            </w:pPr>
            <w:r w:rsidRPr="002F1675">
              <w:rPr>
                <w:i/>
                <w:iCs/>
              </w:rPr>
              <w:t xml:space="preserve">Example: The likelihood that a Hispanic/Latino child with an IEP will experience a disciplinary removal, compared to children in all other racial and ethnic groups. </w:t>
            </w:r>
          </w:p>
          <w:p w14:paraId="6F314750" w14:textId="278BD2F6" w:rsidR="005B276B" w:rsidRDefault="005B276B" w:rsidP="007605EE">
            <w:pPr>
              <w:pStyle w:val="ListParagraph"/>
              <w:numPr>
                <w:ilvl w:val="0"/>
                <w:numId w:val="9"/>
              </w:numPr>
            </w:pPr>
            <w:r w:rsidRPr="002F1675">
              <w:t>The example below compares the risk for Hispanic/Latino children with IEPs to the risk for non-Hispanic Latino children with IEPs</w:t>
            </w:r>
          </w:p>
          <w:p w14:paraId="4A1187D0" w14:textId="76ACEE56" w:rsidR="00606584" w:rsidRDefault="00606584" w:rsidP="00606584">
            <w:pPr>
              <w:pStyle w:val="ListParagraph"/>
            </w:pPr>
            <w:r w:rsidRPr="002F1675">
              <w:rPr>
                <w:noProof/>
                <w:sz w:val="20"/>
              </w:rPr>
              <w:drawing>
                <wp:inline distT="0" distB="0" distL="0" distR="0" wp14:anchorId="4A436B62" wp14:editId="177B77BB">
                  <wp:extent cx="6305550" cy="1685925"/>
                  <wp:effectExtent l="0" t="0" r="0" b="9525"/>
                  <wp:docPr id="6" name="Picture 6" descr="Table showing an example of how a discplinary alternate risk ratio is calculated " title="Alternate Risk Ratio Example-Disciplinary Rem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305550" cy="1685925"/>
                          </a:xfrm>
                          <a:prstGeom prst="rect">
                            <a:avLst/>
                          </a:prstGeom>
                        </pic:spPr>
                      </pic:pic>
                    </a:graphicData>
                  </a:graphic>
                </wp:inline>
              </w:drawing>
            </w:r>
          </w:p>
          <w:p w14:paraId="63405C4A" w14:textId="77777777" w:rsidR="00606584" w:rsidRPr="002F1675" w:rsidRDefault="00606584" w:rsidP="00606584">
            <w:pPr>
              <w:pStyle w:val="ListParagraph"/>
            </w:pPr>
          </w:p>
          <w:p w14:paraId="791B2E0D" w14:textId="55107EE8" w:rsidR="005B276B" w:rsidRPr="00D66796" w:rsidRDefault="005B276B" w:rsidP="0064106D">
            <w:pPr>
              <w:pStyle w:val="ListParagraph"/>
              <w:numPr>
                <w:ilvl w:val="0"/>
                <w:numId w:val="9"/>
              </w:numPr>
              <w:rPr>
                <w:sz w:val="24"/>
              </w:rPr>
            </w:pPr>
            <w:r w:rsidRPr="00D66796">
              <w:rPr>
                <w:bCs/>
              </w:rPr>
              <w:t xml:space="preserve">In the example above Hispanic/Latino students with IEPs in the LEA are </w:t>
            </w:r>
            <w:r w:rsidRPr="008D2043">
              <w:rPr>
                <w:b/>
                <w:bCs/>
              </w:rPr>
              <w:t>7.0 times as likely to be disciplined</w:t>
            </w:r>
            <w:r w:rsidRPr="00D66796">
              <w:rPr>
                <w:bCs/>
              </w:rPr>
              <w:t xml:space="preserve">, compared to students with IEPs in all other racial and ethnic groups across the state. </w:t>
            </w:r>
          </w:p>
        </w:tc>
      </w:tr>
    </w:tbl>
    <w:p w14:paraId="7FE3EAB7" w14:textId="671011C4" w:rsidR="0048320B" w:rsidRPr="005A00C3" w:rsidRDefault="0048320B" w:rsidP="005A00C3">
      <w:pPr>
        <w:spacing w:after="0" w:line="240" w:lineRule="auto"/>
        <w:contextualSpacing/>
        <w:rPr>
          <w:b/>
        </w:rPr>
      </w:pPr>
      <w:r>
        <w:rPr>
          <w:rFonts w:cstheme="minorHAnsi"/>
          <w:sz w:val="24"/>
        </w:rPr>
        <w:br w:type="page"/>
      </w:r>
    </w:p>
    <w:p w14:paraId="42729B36" w14:textId="11CCFBC8" w:rsidR="009F058B" w:rsidRPr="007A74BE" w:rsidRDefault="009F058B" w:rsidP="0064106D">
      <w:pPr>
        <w:pStyle w:val="Heading2"/>
        <w:spacing w:after="0" w:line="240" w:lineRule="auto"/>
        <w:contextualSpacing/>
        <w:rPr>
          <w:rFonts w:asciiTheme="minorHAnsi" w:hAnsiTheme="minorHAnsi" w:cstheme="minorHAnsi"/>
          <w:sz w:val="24"/>
        </w:rPr>
      </w:pPr>
      <w:r w:rsidRPr="007A74BE">
        <w:rPr>
          <w:rFonts w:asciiTheme="minorHAnsi" w:hAnsiTheme="minorHAnsi" w:cstheme="minorHAnsi"/>
          <w:sz w:val="24"/>
        </w:rPr>
        <w:lastRenderedPageBreak/>
        <w:t>Are there any other exceptions?</w:t>
      </w:r>
    </w:p>
    <w:p w14:paraId="41B93119" w14:textId="78C866CA" w:rsidR="009F058B" w:rsidRDefault="009F058B" w:rsidP="0064106D">
      <w:pPr>
        <w:spacing w:after="0" w:line="240" w:lineRule="auto"/>
        <w:contextualSpacing/>
      </w:pPr>
      <w:r w:rsidRPr="006B43CF">
        <w:t xml:space="preserve">A </w:t>
      </w:r>
      <w:r w:rsidR="00B96647">
        <w:t>S</w:t>
      </w:r>
      <w:r w:rsidRPr="006B43CF">
        <w:t xml:space="preserve">tate is not required to make an identification of significant disproportionality if the </w:t>
      </w:r>
      <w:r w:rsidR="0082511A" w:rsidRPr="006B43CF">
        <w:t xml:space="preserve">LEA </w:t>
      </w:r>
      <w:r w:rsidRPr="006B43CF">
        <w:t xml:space="preserve">is making </w:t>
      </w:r>
      <w:r w:rsidRPr="006B43CF">
        <w:rPr>
          <w:b/>
        </w:rPr>
        <w:t>reasonable progress</w:t>
      </w:r>
      <w:r w:rsidRPr="006B43CF">
        <w:t xml:space="preserve">. Reasonable progress </w:t>
      </w:r>
      <w:r w:rsidR="0082511A" w:rsidRPr="006B43CF">
        <w:t xml:space="preserve">means </w:t>
      </w:r>
      <w:r w:rsidRPr="006B43CF">
        <w:t>lowering the risk ratio or alternate risk ratio for the group and category in each of the two prior consecutive years.</w:t>
      </w:r>
      <w:r w:rsidR="007D7181">
        <w:rPr>
          <w:rStyle w:val="FootnoteReference"/>
        </w:rPr>
        <w:footnoteReference w:id="7"/>
      </w:r>
      <w:r w:rsidRPr="006B43CF">
        <w:t xml:space="preserve"> In Massachusett</w:t>
      </w:r>
      <w:r w:rsidR="00610531" w:rsidRPr="006B43CF">
        <w:t>s, an LEA</w:t>
      </w:r>
      <w:r w:rsidRPr="006B43CF">
        <w:t xml:space="preserve"> is considered to have made reasonable progress if it has lowered its risk ratio or alternate risk ratio by at least 0.1 in each of the two prior consecutive years</w:t>
      </w:r>
      <w:r w:rsidR="00610531" w:rsidRPr="006B43CF">
        <w:t>.</w:t>
      </w:r>
    </w:p>
    <w:p w14:paraId="1D4EE22E" w14:textId="77777777" w:rsidR="00B96647" w:rsidRPr="006B43CF" w:rsidRDefault="00B96647" w:rsidP="0064106D">
      <w:pPr>
        <w:spacing w:after="0" w:line="240" w:lineRule="auto"/>
        <w:contextualSpacing/>
      </w:pPr>
    </w:p>
    <w:tbl>
      <w:tblPr>
        <w:tblStyle w:val="TableGrid"/>
        <w:tblW w:w="6583" w:type="dxa"/>
        <w:jc w:val="center"/>
        <w:tblLook w:val="04A0" w:firstRow="1" w:lastRow="0" w:firstColumn="1" w:lastColumn="0" w:noHBand="0" w:noVBand="1"/>
        <w:tblCaption w:val="Reasonable Progress Examples"/>
        <w:tblDescription w:val="Table showing examples of 2 dstricts that would be considered making reasonable progress and 1 that would not. "/>
      </w:tblPr>
      <w:tblGrid>
        <w:gridCol w:w="1127"/>
        <w:gridCol w:w="886"/>
        <w:gridCol w:w="886"/>
        <w:gridCol w:w="886"/>
        <w:gridCol w:w="2798"/>
      </w:tblGrid>
      <w:tr w:rsidR="0082511A" w:rsidRPr="006B43CF" w14:paraId="239BC6EB" w14:textId="77777777" w:rsidTr="0082511A">
        <w:trPr>
          <w:tblHeader/>
          <w:jc w:val="center"/>
        </w:trPr>
        <w:tc>
          <w:tcPr>
            <w:tcW w:w="1127" w:type="dxa"/>
          </w:tcPr>
          <w:p w14:paraId="778C6DB9" w14:textId="77777777" w:rsidR="0082511A" w:rsidRPr="006B43CF" w:rsidRDefault="0082511A" w:rsidP="00973FC7">
            <w:pPr>
              <w:contextualSpacing/>
            </w:pPr>
          </w:p>
        </w:tc>
        <w:tc>
          <w:tcPr>
            <w:tcW w:w="886" w:type="dxa"/>
          </w:tcPr>
          <w:p w14:paraId="615A4D8A" w14:textId="77777777" w:rsidR="0082511A" w:rsidRPr="006B43CF" w:rsidRDefault="0082511A" w:rsidP="00973FC7">
            <w:pPr>
              <w:contextualSpacing/>
            </w:pPr>
            <w:r w:rsidRPr="006B43CF">
              <w:t>Year 1</w:t>
            </w:r>
          </w:p>
        </w:tc>
        <w:tc>
          <w:tcPr>
            <w:tcW w:w="886" w:type="dxa"/>
          </w:tcPr>
          <w:p w14:paraId="605D805F" w14:textId="77777777" w:rsidR="0082511A" w:rsidRPr="006B43CF" w:rsidRDefault="0082511A" w:rsidP="00973FC7">
            <w:pPr>
              <w:contextualSpacing/>
            </w:pPr>
            <w:r w:rsidRPr="006B43CF">
              <w:t>Year 2</w:t>
            </w:r>
          </w:p>
        </w:tc>
        <w:tc>
          <w:tcPr>
            <w:tcW w:w="886" w:type="dxa"/>
          </w:tcPr>
          <w:p w14:paraId="7E12A329" w14:textId="77777777" w:rsidR="0082511A" w:rsidRPr="006B43CF" w:rsidRDefault="0082511A" w:rsidP="00973FC7">
            <w:pPr>
              <w:contextualSpacing/>
            </w:pPr>
            <w:r w:rsidRPr="006B43CF">
              <w:t>Year 3</w:t>
            </w:r>
          </w:p>
        </w:tc>
        <w:tc>
          <w:tcPr>
            <w:tcW w:w="2798" w:type="dxa"/>
          </w:tcPr>
          <w:p w14:paraId="2C0A5641" w14:textId="77777777" w:rsidR="0082511A" w:rsidRPr="006B43CF" w:rsidRDefault="0082511A" w:rsidP="00973FC7">
            <w:pPr>
              <w:contextualSpacing/>
            </w:pPr>
            <w:r w:rsidRPr="006B43CF">
              <w:t>Reasonable Progress</w:t>
            </w:r>
          </w:p>
        </w:tc>
      </w:tr>
      <w:tr w:rsidR="0082511A" w:rsidRPr="006B43CF" w14:paraId="5303829C" w14:textId="77777777" w:rsidTr="0082511A">
        <w:trPr>
          <w:jc w:val="center"/>
        </w:trPr>
        <w:tc>
          <w:tcPr>
            <w:tcW w:w="1127" w:type="dxa"/>
          </w:tcPr>
          <w:p w14:paraId="2A2AEDE7" w14:textId="77777777" w:rsidR="0082511A" w:rsidRPr="006B43CF" w:rsidRDefault="0082511A" w:rsidP="00973FC7">
            <w:pPr>
              <w:contextualSpacing/>
            </w:pPr>
            <w:r w:rsidRPr="006B43CF">
              <w:t>District 1</w:t>
            </w:r>
          </w:p>
        </w:tc>
        <w:tc>
          <w:tcPr>
            <w:tcW w:w="886" w:type="dxa"/>
          </w:tcPr>
          <w:p w14:paraId="4BF58A2A" w14:textId="77777777" w:rsidR="0082511A" w:rsidRPr="006B43CF" w:rsidRDefault="0082511A" w:rsidP="00973FC7">
            <w:pPr>
              <w:contextualSpacing/>
            </w:pPr>
            <w:r w:rsidRPr="006B43CF">
              <w:t>5.6</w:t>
            </w:r>
          </w:p>
        </w:tc>
        <w:tc>
          <w:tcPr>
            <w:tcW w:w="886" w:type="dxa"/>
          </w:tcPr>
          <w:p w14:paraId="25C23F88" w14:textId="77777777" w:rsidR="0082511A" w:rsidRPr="006B43CF" w:rsidRDefault="0082511A" w:rsidP="00973FC7">
            <w:pPr>
              <w:contextualSpacing/>
            </w:pPr>
            <w:r w:rsidRPr="006B43CF">
              <w:t>5.3</w:t>
            </w:r>
          </w:p>
        </w:tc>
        <w:tc>
          <w:tcPr>
            <w:tcW w:w="886" w:type="dxa"/>
          </w:tcPr>
          <w:p w14:paraId="280C08D1" w14:textId="77777777" w:rsidR="0082511A" w:rsidRPr="006B43CF" w:rsidRDefault="0082511A" w:rsidP="00973FC7">
            <w:pPr>
              <w:contextualSpacing/>
            </w:pPr>
            <w:r w:rsidRPr="006B43CF">
              <w:t>5.2</w:t>
            </w:r>
          </w:p>
        </w:tc>
        <w:tc>
          <w:tcPr>
            <w:tcW w:w="2798" w:type="dxa"/>
          </w:tcPr>
          <w:p w14:paraId="70BB0D8B" w14:textId="77777777" w:rsidR="0082511A" w:rsidRPr="006B43CF" w:rsidRDefault="0082511A" w:rsidP="00973FC7">
            <w:pPr>
              <w:contextualSpacing/>
            </w:pPr>
            <w:r w:rsidRPr="006B43CF">
              <w:t>Meets Reasonable Progress</w:t>
            </w:r>
          </w:p>
        </w:tc>
      </w:tr>
      <w:tr w:rsidR="0082511A" w:rsidRPr="006B43CF" w14:paraId="0CB37AC7" w14:textId="77777777" w:rsidTr="0082511A">
        <w:trPr>
          <w:jc w:val="center"/>
        </w:trPr>
        <w:tc>
          <w:tcPr>
            <w:tcW w:w="1127" w:type="dxa"/>
          </w:tcPr>
          <w:p w14:paraId="48B670EA" w14:textId="77777777" w:rsidR="0082511A" w:rsidRPr="006B43CF" w:rsidRDefault="0082511A" w:rsidP="00973FC7">
            <w:pPr>
              <w:contextualSpacing/>
            </w:pPr>
            <w:r w:rsidRPr="006B43CF">
              <w:t>District 2</w:t>
            </w:r>
          </w:p>
        </w:tc>
        <w:tc>
          <w:tcPr>
            <w:tcW w:w="886" w:type="dxa"/>
          </w:tcPr>
          <w:p w14:paraId="1A169D79" w14:textId="77777777" w:rsidR="0082511A" w:rsidRPr="006B43CF" w:rsidRDefault="0082511A" w:rsidP="00973FC7">
            <w:pPr>
              <w:contextualSpacing/>
            </w:pPr>
            <w:r w:rsidRPr="006B43CF">
              <w:t>4.9</w:t>
            </w:r>
          </w:p>
        </w:tc>
        <w:tc>
          <w:tcPr>
            <w:tcW w:w="886" w:type="dxa"/>
          </w:tcPr>
          <w:p w14:paraId="70A3E3FA" w14:textId="77777777" w:rsidR="0082511A" w:rsidRPr="006B43CF" w:rsidRDefault="0082511A" w:rsidP="00973FC7">
            <w:pPr>
              <w:contextualSpacing/>
            </w:pPr>
            <w:r w:rsidRPr="006B43CF">
              <w:t>4.8</w:t>
            </w:r>
          </w:p>
        </w:tc>
        <w:tc>
          <w:tcPr>
            <w:tcW w:w="886" w:type="dxa"/>
          </w:tcPr>
          <w:p w14:paraId="5A6DD06D" w14:textId="77777777" w:rsidR="0082511A" w:rsidRPr="006B43CF" w:rsidRDefault="0082511A" w:rsidP="00973FC7">
            <w:pPr>
              <w:contextualSpacing/>
            </w:pPr>
            <w:r w:rsidRPr="006B43CF">
              <w:t>4.6</w:t>
            </w:r>
          </w:p>
        </w:tc>
        <w:tc>
          <w:tcPr>
            <w:tcW w:w="2798" w:type="dxa"/>
          </w:tcPr>
          <w:p w14:paraId="41E1C0EF" w14:textId="77777777" w:rsidR="0082511A" w:rsidRPr="006B43CF" w:rsidRDefault="0082511A" w:rsidP="00973FC7">
            <w:pPr>
              <w:contextualSpacing/>
            </w:pPr>
            <w:r w:rsidRPr="006B43CF">
              <w:t>Meets Reasonable Progress</w:t>
            </w:r>
          </w:p>
        </w:tc>
      </w:tr>
      <w:tr w:rsidR="0082511A" w:rsidRPr="006B43CF" w14:paraId="70C1F40E" w14:textId="77777777" w:rsidTr="0082511A">
        <w:trPr>
          <w:jc w:val="center"/>
        </w:trPr>
        <w:tc>
          <w:tcPr>
            <w:tcW w:w="1127" w:type="dxa"/>
          </w:tcPr>
          <w:p w14:paraId="5C79D1A0" w14:textId="77777777" w:rsidR="0082511A" w:rsidRPr="006B43CF" w:rsidRDefault="0082511A" w:rsidP="00973FC7">
            <w:pPr>
              <w:contextualSpacing/>
            </w:pPr>
            <w:r w:rsidRPr="006B43CF">
              <w:t>District 3</w:t>
            </w:r>
          </w:p>
        </w:tc>
        <w:tc>
          <w:tcPr>
            <w:tcW w:w="886" w:type="dxa"/>
          </w:tcPr>
          <w:p w14:paraId="486BBCD8" w14:textId="77777777" w:rsidR="0082511A" w:rsidRPr="006B43CF" w:rsidRDefault="0082511A" w:rsidP="00973FC7">
            <w:pPr>
              <w:contextualSpacing/>
            </w:pPr>
            <w:r w:rsidRPr="006B43CF">
              <w:t>4.7</w:t>
            </w:r>
          </w:p>
        </w:tc>
        <w:tc>
          <w:tcPr>
            <w:tcW w:w="886" w:type="dxa"/>
          </w:tcPr>
          <w:p w14:paraId="68387C83" w14:textId="77777777" w:rsidR="0082511A" w:rsidRPr="006B43CF" w:rsidRDefault="0082511A" w:rsidP="00973FC7">
            <w:pPr>
              <w:contextualSpacing/>
            </w:pPr>
            <w:r w:rsidRPr="006B43CF">
              <w:t>4.9</w:t>
            </w:r>
          </w:p>
        </w:tc>
        <w:tc>
          <w:tcPr>
            <w:tcW w:w="886" w:type="dxa"/>
          </w:tcPr>
          <w:p w14:paraId="5A0DA9D2" w14:textId="77777777" w:rsidR="0082511A" w:rsidRPr="006B43CF" w:rsidRDefault="0082511A" w:rsidP="00973FC7">
            <w:pPr>
              <w:contextualSpacing/>
            </w:pPr>
            <w:r w:rsidRPr="006B43CF">
              <w:t>4.3</w:t>
            </w:r>
          </w:p>
        </w:tc>
        <w:tc>
          <w:tcPr>
            <w:tcW w:w="2798" w:type="dxa"/>
          </w:tcPr>
          <w:p w14:paraId="5938BD45" w14:textId="4F0D6F5A" w:rsidR="0082511A" w:rsidRPr="006B43CF" w:rsidRDefault="00BF4FAF" w:rsidP="00973FC7">
            <w:pPr>
              <w:contextualSpacing/>
            </w:pPr>
            <w:r>
              <w:t>Does Not Meet</w:t>
            </w:r>
            <w:r w:rsidR="0082511A" w:rsidRPr="006B43CF">
              <w:t xml:space="preserve"> Reasonable Progress</w:t>
            </w:r>
          </w:p>
        </w:tc>
      </w:tr>
    </w:tbl>
    <w:p w14:paraId="5321D1A9" w14:textId="4534E8C7" w:rsidR="006E2E9C" w:rsidRPr="00112055" w:rsidRDefault="006E2E9C" w:rsidP="0064106D">
      <w:pPr>
        <w:spacing w:after="0" w:line="240" w:lineRule="auto"/>
        <w:contextualSpacing/>
        <w:rPr>
          <w:sz w:val="24"/>
          <w:szCs w:val="24"/>
        </w:rPr>
      </w:pPr>
    </w:p>
    <w:p w14:paraId="032434C2" w14:textId="14B5E85E" w:rsidR="007A74BE" w:rsidRPr="00112055" w:rsidRDefault="007A74BE" w:rsidP="0064106D">
      <w:pPr>
        <w:pStyle w:val="Heading2"/>
        <w:spacing w:after="0" w:line="240" w:lineRule="auto"/>
        <w:contextualSpacing/>
        <w:rPr>
          <w:rFonts w:asciiTheme="minorHAnsi" w:hAnsiTheme="minorHAnsi" w:cstheme="minorHAnsi"/>
          <w:sz w:val="24"/>
          <w:szCs w:val="24"/>
        </w:rPr>
      </w:pPr>
      <w:r w:rsidRPr="00112055">
        <w:rPr>
          <w:rFonts w:asciiTheme="minorHAnsi" w:hAnsiTheme="minorHAnsi" w:cstheme="minorHAnsi"/>
          <w:sz w:val="24"/>
          <w:szCs w:val="24"/>
        </w:rPr>
        <w:t>DESE Significant Disproportionality Resources</w:t>
      </w:r>
    </w:p>
    <w:p w14:paraId="1EEAE86A" w14:textId="77777777" w:rsidR="0082511A" w:rsidRPr="006B43CF" w:rsidRDefault="006D448B" w:rsidP="0064106D">
      <w:pPr>
        <w:pStyle w:val="ListParagraph"/>
        <w:numPr>
          <w:ilvl w:val="0"/>
          <w:numId w:val="12"/>
        </w:numPr>
        <w:spacing w:after="0" w:line="240" w:lineRule="auto"/>
      </w:pPr>
      <w:r w:rsidRPr="006B43CF">
        <w:t>Memorandum on Significant Dispropor</w:t>
      </w:r>
      <w:r w:rsidR="0082511A" w:rsidRPr="006B43CF">
        <w:t>tionality in Special Education:</w:t>
      </w:r>
    </w:p>
    <w:p w14:paraId="781F3FD4" w14:textId="5EC0A0EF" w:rsidR="006D448B" w:rsidRPr="006B43CF" w:rsidRDefault="009A5D73" w:rsidP="0082511A">
      <w:pPr>
        <w:pStyle w:val="ListParagraph"/>
        <w:numPr>
          <w:ilvl w:val="1"/>
          <w:numId w:val="12"/>
        </w:numPr>
        <w:spacing w:after="0" w:line="240" w:lineRule="auto"/>
      </w:pPr>
      <w:hyperlink r:id="rId17" w:history="1">
        <w:r w:rsidR="006D448B" w:rsidRPr="006B43CF">
          <w:rPr>
            <w:rStyle w:val="Hyperlink"/>
          </w:rPr>
          <w:t>http://www.doe.mass.edu/sped/advisories/2019-0621dispro.docx</w:t>
        </w:r>
      </w:hyperlink>
      <w:r w:rsidR="006D448B" w:rsidRPr="006B43CF">
        <w:t xml:space="preserve"> </w:t>
      </w:r>
    </w:p>
    <w:p w14:paraId="7DD564F1" w14:textId="77777777" w:rsidR="0082511A" w:rsidRPr="006B43CF" w:rsidRDefault="00A82578" w:rsidP="0064106D">
      <w:pPr>
        <w:pStyle w:val="ListParagraph"/>
        <w:numPr>
          <w:ilvl w:val="0"/>
          <w:numId w:val="12"/>
        </w:numPr>
        <w:spacing w:after="0" w:line="240" w:lineRule="auto"/>
      </w:pPr>
      <w:r w:rsidRPr="006B43CF">
        <w:t xml:space="preserve">Massachusetts’ Significant Disproportionality Website: </w:t>
      </w:r>
    </w:p>
    <w:p w14:paraId="0AFED3FB" w14:textId="34E2DA17" w:rsidR="00A82578" w:rsidRPr="006B43CF" w:rsidRDefault="009A5D73" w:rsidP="0082511A">
      <w:pPr>
        <w:pStyle w:val="ListParagraph"/>
        <w:numPr>
          <w:ilvl w:val="1"/>
          <w:numId w:val="12"/>
        </w:numPr>
        <w:spacing w:after="0" w:line="240" w:lineRule="auto"/>
      </w:pPr>
      <w:hyperlink r:id="rId18" w:history="1">
        <w:r w:rsidR="00A82578" w:rsidRPr="006B43CF">
          <w:rPr>
            <w:rStyle w:val="Hyperlink"/>
          </w:rPr>
          <w:t>http://www.doe.mass.edu/sped/idea2004/sig-dispro/</w:t>
        </w:r>
      </w:hyperlink>
      <w:r w:rsidR="00A82578" w:rsidRPr="006B43CF">
        <w:t xml:space="preserve"> </w:t>
      </w:r>
    </w:p>
    <w:p w14:paraId="053439EF" w14:textId="77777777" w:rsidR="0082511A" w:rsidRPr="006B43CF" w:rsidRDefault="006D448B" w:rsidP="0064106D">
      <w:pPr>
        <w:pStyle w:val="ListParagraph"/>
        <w:numPr>
          <w:ilvl w:val="0"/>
          <w:numId w:val="12"/>
        </w:numPr>
        <w:spacing w:after="0" w:line="240" w:lineRule="auto"/>
      </w:pPr>
      <w:r w:rsidRPr="006B43CF">
        <w:t>Significant Disproportional</w:t>
      </w:r>
      <w:r w:rsidR="0082511A" w:rsidRPr="006B43CF">
        <w:t>ity Webinars and Presentations:</w:t>
      </w:r>
    </w:p>
    <w:p w14:paraId="21A01167" w14:textId="19B30E31" w:rsidR="00A82578" w:rsidRPr="006B43CF" w:rsidRDefault="009A5D73" w:rsidP="0082511A">
      <w:pPr>
        <w:pStyle w:val="ListParagraph"/>
        <w:numPr>
          <w:ilvl w:val="1"/>
          <w:numId w:val="12"/>
        </w:numPr>
        <w:spacing w:after="0" w:line="240" w:lineRule="auto"/>
      </w:pPr>
      <w:hyperlink r:id="rId19" w:history="1">
        <w:r w:rsidR="006D448B" w:rsidRPr="006B43CF">
          <w:rPr>
            <w:rStyle w:val="Hyperlink"/>
          </w:rPr>
          <w:t>http://www.doe.mass.edu/sped/idea2004/sig-dispro/webinars.html</w:t>
        </w:r>
      </w:hyperlink>
      <w:r w:rsidR="006D448B" w:rsidRPr="006B43CF">
        <w:t xml:space="preserve"> </w:t>
      </w:r>
    </w:p>
    <w:p w14:paraId="57CB2EA6" w14:textId="77777777" w:rsidR="0082511A" w:rsidRPr="006B43CF" w:rsidRDefault="003E1230" w:rsidP="0064106D">
      <w:pPr>
        <w:pStyle w:val="ListParagraph"/>
        <w:numPr>
          <w:ilvl w:val="0"/>
          <w:numId w:val="12"/>
        </w:numPr>
        <w:spacing w:after="0" w:line="240" w:lineRule="auto"/>
      </w:pPr>
      <w:r w:rsidRPr="006B43CF">
        <w:t xml:space="preserve">Other Significant Disproportionality Resources: </w:t>
      </w:r>
    </w:p>
    <w:p w14:paraId="22112946" w14:textId="7F42B066" w:rsidR="003E1230" w:rsidRPr="006B43CF" w:rsidRDefault="009A5D73" w:rsidP="0082511A">
      <w:pPr>
        <w:pStyle w:val="ListParagraph"/>
        <w:numPr>
          <w:ilvl w:val="1"/>
          <w:numId w:val="12"/>
        </w:numPr>
        <w:spacing w:after="0" w:line="240" w:lineRule="auto"/>
      </w:pPr>
      <w:hyperlink r:id="rId20" w:history="1">
        <w:r w:rsidR="003E1230" w:rsidRPr="006B43CF">
          <w:rPr>
            <w:rStyle w:val="Hyperlink"/>
          </w:rPr>
          <w:t>http://www.doe.mass.edu/sped/idea2004/sig-dispro/resources.html</w:t>
        </w:r>
      </w:hyperlink>
      <w:r w:rsidR="003E1230" w:rsidRPr="006B43CF">
        <w:t xml:space="preserve"> </w:t>
      </w:r>
    </w:p>
    <w:p w14:paraId="3C76307E" w14:textId="77777777" w:rsidR="00E61D85" w:rsidRPr="006B43CF" w:rsidRDefault="00E61D85" w:rsidP="00E61D85">
      <w:pPr>
        <w:spacing w:after="0" w:line="240" w:lineRule="auto"/>
        <w:ind w:left="1080"/>
      </w:pPr>
    </w:p>
    <w:p w14:paraId="6F88716F" w14:textId="64FAFA60" w:rsidR="00E61D85" w:rsidRPr="006B43CF" w:rsidRDefault="00E61D85" w:rsidP="004D45AE">
      <w:pPr>
        <w:spacing w:after="0" w:line="240" w:lineRule="auto"/>
        <w:jc w:val="center"/>
      </w:pPr>
      <w:r w:rsidRPr="006B43CF">
        <w:t xml:space="preserve">For questions related to Significant Disproportionality, please email </w:t>
      </w:r>
      <w:hyperlink r:id="rId21" w:history="1">
        <w:r w:rsidRPr="006B43CF">
          <w:rPr>
            <w:rStyle w:val="Hyperlink"/>
          </w:rPr>
          <w:t>specialeducation@doe.mass.edu</w:t>
        </w:r>
      </w:hyperlink>
      <w:r w:rsidRPr="006B43CF">
        <w:t>.</w:t>
      </w:r>
    </w:p>
    <w:sectPr w:rsidR="00E61D85" w:rsidRPr="006B43CF" w:rsidSect="00800678">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1044" w14:textId="77777777" w:rsidR="009A5D73" w:rsidRDefault="009A5D73" w:rsidP="0033575D">
      <w:pPr>
        <w:spacing w:after="0" w:line="240" w:lineRule="auto"/>
      </w:pPr>
      <w:r>
        <w:separator/>
      </w:r>
    </w:p>
  </w:endnote>
  <w:endnote w:type="continuationSeparator" w:id="0">
    <w:p w14:paraId="28E326F8" w14:textId="77777777" w:rsidR="009A5D73" w:rsidRDefault="009A5D73" w:rsidP="0033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E751" w14:textId="3653F2C5" w:rsidR="0033575D" w:rsidRDefault="0033575D" w:rsidP="008427F5">
    <w:r>
      <w:t xml:space="preserve">Updated: </w:t>
    </w:r>
    <w:r w:rsidR="00142D54">
      <w:t>October</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EFD2E" w14:textId="77777777" w:rsidR="009A5D73" w:rsidRDefault="009A5D73" w:rsidP="0033575D">
      <w:pPr>
        <w:spacing w:after="0" w:line="240" w:lineRule="auto"/>
      </w:pPr>
      <w:r>
        <w:separator/>
      </w:r>
    </w:p>
  </w:footnote>
  <w:footnote w:type="continuationSeparator" w:id="0">
    <w:p w14:paraId="33A46F48" w14:textId="77777777" w:rsidR="009A5D73" w:rsidRDefault="009A5D73" w:rsidP="0033575D">
      <w:pPr>
        <w:spacing w:after="0" w:line="240" w:lineRule="auto"/>
      </w:pPr>
      <w:r>
        <w:continuationSeparator/>
      </w:r>
    </w:p>
  </w:footnote>
  <w:footnote w:id="1">
    <w:p w14:paraId="1F7E92B2" w14:textId="77777777" w:rsidR="00381BC9" w:rsidRPr="00606584" w:rsidRDefault="00381BC9" w:rsidP="00381BC9">
      <w:pPr>
        <w:pStyle w:val="FootnoteText"/>
        <w:rPr>
          <w:lang w:val="pt-PT"/>
        </w:rPr>
      </w:pPr>
      <w:r>
        <w:rPr>
          <w:rStyle w:val="FootnoteReference"/>
        </w:rPr>
        <w:footnoteRef/>
      </w:r>
      <w:r w:rsidRPr="00606584">
        <w:rPr>
          <w:lang w:val="pt-PT"/>
        </w:rPr>
        <w:t xml:space="preserve">  </w:t>
      </w:r>
      <w:hyperlink r:id="rId1" w:history="1">
        <w:r w:rsidRPr="00606584">
          <w:rPr>
            <w:rStyle w:val="Hyperlink"/>
            <w:lang w:val="pt-PT"/>
          </w:rPr>
          <w:t>34 C.F.R. §300.647</w:t>
        </w:r>
      </w:hyperlink>
    </w:p>
  </w:footnote>
  <w:footnote w:id="2">
    <w:p w14:paraId="16BBB0B8" w14:textId="6B360B61" w:rsidR="007E7168" w:rsidRPr="00606584" w:rsidRDefault="007E7168" w:rsidP="00C32900">
      <w:pPr>
        <w:pStyle w:val="FootnoteText"/>
        <w:tabs>
          <w:tab w:val="left" w:pos="1085"/>
        </w:tabs>
        <w:rPr>
          <w:lang w:val="pt-PT"/>
        </w:rPr>
      </w:pPr>
      <w:r>
        <w:rPr>
          <w:rStyle w:val="FootnoteReference"/>
        </w:rPr>
        <w:footnoteRef/>
      </w:r>
      <w:r w:rsidRPr="00606584">
        <w:rPr>
          <w:lang w:val="pt-PT"/>
        </w:rPr>
        <w:t xml:space="preserve"> </w:t>
      </w:r>
      <w:hyperlink r:id="rId2" w:history="1">
        <w:r w:rsidR="00C32900" w:rsidRPr="00606584">
          <w:rPr>
            <w:rStyle w:val="Hyperlink"/>
            <w:lang w:val="pt-PT"/>
          </w:rPr>
          <w:t>34 C.F.R. §300.647(a)(6)</w:t>
        </w:r>
      </w:hyperlink>
    </w:p>
  </w:footnote>
  <w:footnote w:id="3">
    <w:p w14:paraId="5C5EA4AE" w14:textId="2F1EDC25" w:rsidR="007E7168" w:rsidRPr="00606584" w:rsidRDefault="007E7168">
      <w:pPr>
        <w:pStyle w:val="FootnoteText"/>
        <w:rPr>
          <w:lang w:val="pt-PT"/>
        </w:rPr>
      </w:pPr>
      <w:r>
        <w:rPr>
          <w:rStyle w:val="FootnoteReference"/>
        </w:rPr>
        <w:footnoteRef/>
      </w:r>
      <w:r w:rsidRPr="00606584">
        <w:rPr>
          <w:lang w:val="pt-PT"/>
        </w:rPr>
        <w:t xml:space="preserve"> </w:t>
      </w:r>
      <w:hyperlink r:id="rId3" w:history="1">
        <w:r w:rsidRPr="00606584">
          <w:rPr>
            <w:rStyle w:val="Hyperlink"/>
            <w:lang w:val="pt-PT"/>
          </w:rPr>
          <w:t xml:space="preserve">34 </w:t>
        </w:r>
        <w:r w:rsidRPr="00606584">
          <w:rPr>
            <w:rStyle w:val="Hyperlink"/>
            <w:lang w:val="pt-PT"/>
          </w:rPr>
          <w:t>C.F.R. §300.647</w:t>
        </w:r>
      </w:hyperlink>
    </w:p>
  </w:footnote>
  <w:footnote w:id="4">
    <w:p w14:paraId="620B0B76" w14:textId="00526074" w:rsidR="007D7181" w:rsidRPr="00606584" w:rsidRDefault="007D7181">
      <w:pPr>
        <w:pStyle w:val="FootnoteText"/>
        <w:rPr>
          <w:lang w:val="pt-PT"/>
        </w:rPr>
      </w:pPr>
      <w:r>
        <w:rPr>
          <w:rStyle w:val="FootnoteReference"/>
        </w:rPr>
        <w:footnoteRef/>
      </w:r>
      <w:r w:rsidRPr="00606584">
        <w:rPr>
          <w:lang w:val="pt-PT"/>
        </w:rPr>
        <w:t xml:space="preserve"> </w:t>
      </w:r>
      <w:hyperlink r:id="rId4" w:history="1">
        <w:r w:rsidRPr="00606584">
          <w:rPr>
            <w:rStyle w:val="Hyperlink"/>
            <w:lang w:val="pt-PT"/>
          </w:rPr>
          <w:t xml:space="preserve">34 </w:t>
        </w:r>
        <w:r w:rsidRPr="00606584">
          <w:rPr>
            <w:rStyle w:val="Hyperlink"/>
            <w:lang w:val="pt-PT"/>
          </w:rPr>
          <w:t>C.F.R. §300.647(a)(3)</w:t>
        </w:r>
      </w:hyperlink>
    </w:p>
  </w:footnote>
  <w:footnote w:id="5">
    <w:p w14:paraId="08EF93E7" w14:textId="37736439" w:rsidR="00294244" w:rsidRPr="00606584" w:rsidRDefault="00294244">
      <w:pPr>
        <w:pStyle w:val="FootnoteText"/>
        <w:rPr>
          <w:lang w:val="pt-PT"/>
        </w:rPr>
      </w:pPr>
      <w:r>
        <w:rPr>
          <w:rStyle w:val="FootnoteReference"/>
        </w:rPr>
        <w:footnoteRef/>
      </w:r>
      <w:r w:rsidRPr="00606584">
        <w:rPr>
          <w:lang w:val="pt-PT"/>
        </w:rPr>
        <w:t xml:space="preserve"> </w:t>
      </w:r>
      <w:hyperlink r:id="rId5" w:history="1">
        <w:r w:rsidRPr="00606584">
          <w:rPr>
            <w:rStyle w:val="Hyperlink"/>
            <w:lang w:val="pt-PT"/>
          </w:rPr>
          <w:t xml:space="preserve">34 </w:t>
        </w:r>
        <w:r w:rsidRPr="00606584">
          <w:rPr>
            <w:rStyle w:val="Hyperlink"/>
            <w:lang w:val="pt-PT"/>
          </w:rPr>
          <w:t>C.F.R. §300.647(a)(4)</w:t>
        </w:r>
      </w:hyperlink>
    </w:p>
  </w:footnote>
  <w:footnote w:id="6">
    <w:p w14:paraId="712C5B56" w14:textId="2E35372C" w:rsidR="007D7181" w:rsidRPr="00606584" w:rsidRDefault="007D7181">
      <w:pPr>
        <w:pStyle w:val="FootnoteText"/>
        <w:rPr>
          <w:lang w:val="pt-PT"/>
        </w:rPr>
      </w:pPr>
      <w:r>
        <w:rPr>
          <w:rStyle w:val="FootnoteReference"/>
        </w:rPr>
        <w:footnoteRef/>
      </w:r>
      <w:r w:rsidRPr="00606584">
        <w:rPr>
          <w:lang w:val="pt-PT"/>
        </w:rPr>
        <w:t xml:space="preserve"> </w:t>
      </w:r>
      <w:hyperlink r:id="rId6" w:history="1">
        <w:r w:rsidRPr="00606584">
          <w:rPr>
            <w:rStyle w:val="Hyperlink"/>
            <w:lang w:val="pt-PT"/>
          </w:rPr>
          <w:t xml:space="preserve">34 </w:t>
        </w:r>
        <w:r w:rsidRPr="00606584">
          <w:rPr>
            <w:rStyle w:val="Hyperlink"/>
            <w:lang w:val="pt-PT"/>
          </w:rPr>
          <w:t>C.F.R. §300.647(b)(5)</w:t>
        </w:r>
      </w:hyperlink>
    </w:p>
  </w:footnote>
  <w:footnote w:id="7">
    <w:p w14:paraId="61EF001F" w14:textId="6FD0079B" w:rsidR="007D7181" w:rsidRPr="00C80228" w:rsidRDefault="007D7181">
      <w:pPr>
        <w:pStyle w:val="FootnoteText"/>
        <w:rPr>
          <w:lang w:val="pt-PT"/>
        </w:rPr>
      </w:pPr>
      <w:r>
        <w:rPr>
          <w:rStyle w:val="FootnoteReference"/>
        </w:rPr>
        <w:footnoteRef/>
      </w:r>
      <w:r w:rsidRPr="00C80228">
        <w:rPr>
          <w:lang w:val="pt-PT"/>
        </w:rPr>
        <w:t xml:space="preserve"> </w:t>
      </w:r>
      <w:hyperlink r:id="rId7" w:history="1">
        <w:r w:rsidRPr="00C80228">
          <w:rPr>
            <w:rStyle w:val="Hyperlink"/>
            <w:lang w:val="pt-PT"/>
          </w:rPr>
          <w:t>34 C.F.R. §300.647(b)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88B1D" w14:textId="1FA5AFFD" w:rsidR="0016729E" w:rsidRDefault="00167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045A"/>
    <w:multiLevelType w:val="hybridMultilevel"/>
    <w:tmpl w:val="B29C94D8"/>
    <w:lvl w:ilvl="0" w:tplc="77AA2876">
      <w:start w:val="1"/>
      <w:numFmt w:val="decimal"/>
      <w:lvlText w:val="%1."/>
      <w:lvlJc w:val="left"/>
      <w:pPr>
        <w:tabs>
          <w:tab w:val="num" w:pos="720"/>
        </w:tabs>
        <w:ind w:left="720" w:hanging="360"/>
      </w:pPr>
    </w:lvl>
    <w:lvl w:ilvl="1" w:tplc="9A58ADEA">
      <w:start w:val="1"/>
      <w:numFmt w:val="decimal"/>
      <w:lvlText w:val="%2."/>
      <w:lvlJc w:val="left"/>
      <w:pPr>
        <w:tabs>
          <w:tab w:val="num" w:pos="1440"/>
        </w:tabs>
        <w:ind w:left="1440" w:hanging="360"/>
      </w:pPr>
    </w:lvl>
    <w:lvl w:ilvl="2" w:tplc="57CCA638" w:tentative="1">
      <w:start w:val="1"/>
      <w:numFmt w:val="decimal"/>
      <w:lvlText w:val="%3."/>
      <w:lvlJc w:val="left"/>
      <w:pPr>
        <w:tabs>
          <w:tab w:val="num" w:pos="2160"/>
        </w:tabs>
        <w:ind w:left="2160" w:hanging="360"/>
      </w:pPr>
    </w:lvl>
    <w:lvl w:ilvl="3" w:tplc="621ADCFE" w:tentative="1">
      <w:start w:val="1"/>
      <w:numFmt w:val="decimal"/>
      <w:lvlText w:val="%4."/>
      <w:lvlJc w:val="left"/>
      <w:pPr>
        <w:tabs>
          <w:tab w:val="num" w:pos="2880"/>
        </w:tabs>
        <w:ind w:left="2880" w:hanging="360"/>
      </w:pPr>
    </w:lvl>
    <w:lvl w:ilvl="4" w:tplc="B10E0C66" w:tentative="1">
      <w:start w:val="1"/>
      <w:numFmt w:val="decimal"/>
      <w:lvlText w:val="%5."/>
      <w:lvlJc w:val="left"/>
      <w:pPr>
        <w:tabs>
          <w:tab w:val="num" w:pos="3600"/>
        </w:tabs>
        <w:ind w:left="3600" w:hanging="360"/>
      </w:pPr>
    </w:lvl>
    <w:lvl w:ilvl="5" w:tplc="240070B8" w:tentative="1">
      <w:start w:val="1"/>
      <w:numFmt w:val="decimal"/>
      <w:lvlText w:val="%6."/>
      <w:lvlJc w:val="left"/>
      <w:pPr>
        <w:tabs>
          <w:tab w:val="num" w:pos="4320"/>
        </w:tabs>
        <w:ind w:left="4320" w:hanging="360"/>
      </w:pPr>
    </w:lvl>
    <w:lvl w:ilvl="6" w:tplc="D422D624" w:tentative="1">
      <w:start w:val="1"/>
      <w:numFmt w:val="decimal"/>
      <w:lvlText w:val="%7."/>
      <w:lvlJc w:val="left"/>
      <w:pPr>
        <w:tabs>
          <w:tab w:val="num" w:pos="5040"/>
        </w:tabs>
        <w:ind w:left="5040" w:hanging="360"/>
      </w:pPr>
    </w:lvl>
    <w:lvl w:ilvl="7" w:tplc="B5DA20F6" w:tentative="1">
      <w:start w:val="1"/>
      <w:numFmt w:val="decimal"/>
      <w:lvlText w:val="%8."/>
      <w:lvlJc w:val="left"/>
      <w:pPr>
        <w:tabs>
          <w:tab w:val="num" w:pos="5760"/>
        </w:tabs>
        <w:ind w:left="5760" w:hanging="360"/>
      </w:pPr>
    </w:lvl>
    <w:lvl w:ilvl="8" w:tplc="BDA4B1BA" w:tentative="1">
      <w:start w:val="1"/>
      <w:numFmt w:val="decimal"/>
      <w:lvlText w:val="%9."/>
      <w:lvlJc w:val="left"/>
      <w:pPr>
        <w:tabs>
          <w:tab w:val="num" w:pos="6480"/>
        </w:tabs>
        <w:ind w:left="6480" w:hanging="360"/>
      </w:pPr>
    </w:lvl>
  </w:abstractNum>
  <w:abstractNum w:abstractNumId="1" w15:restartNumberingAfterBreak="0">
    <w:nsid w:val="13BD5B5F"/>
    <w:multiLevelType w:val="hybridMultilevel"/>
    <w:tmpl w:val="4C98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6511"/>
    <w:multiLevelType w:val="hybridMultilevel"/>
    <w:tmpl w:val="121AD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7501F"/>
    <w:multiLevelType w:val="hybridMultilevel"/>
    <w:tmpl w:val="DEECA60E"/>
    <w:lvl w:ilvl="0" w:tplc="174C1B68">
      <w:start w:val="1"/>
      <w:numFmt w:val="bullet"/>
      <w:lvlText w:val="o"/>
      <w:lvlJc w:val="left"/>
      <w:pPr>
        <w:tabs>
          <w:tab w:val="num" w:pos="720"/>
        </w:tabs>
        <w:ind w:left="720" w:hanging="360"/>
      </w:pPr>
      <w:rPr>
        <w:rFonts w:ascii="Courier New" w:hAnsi="Courier New" w:hint="default"/>
      </w:rPr>
    </w:lvl>
    <w:lvl w:ilvl="1" w:tplc="BC4A1626">
      <w:start w:val="1"/>
      <w:numFmt w:val="bullet"/>
      <w:lvlText w:val="o"/>
      <w:lvlJc w:val="left"/>
      <w:pPr>
        <w:tabs>
          <w:tab w:val="num" w:pos="1440"/>
        </w:tabs>
        <w:ind w:left="1440" w:hanging="360"/>
      </w:pPr>
      <w:rPr>
        <w:rFonts w:ascii="Courier New" w:hAnsi="Courier New" w:hint="default"/>
      </w:rPr>
    </w:lvl>
    <w:lvl w:ilvl="2" w:tplc="F4922D36">
      <w:start w:val="29"/>
      <w:numFmt w:val="bullet"/>
      <w:lvlText w:val=""/>
      <w:lvlJc w:val="left"/>
      <w:pPr>
        <w:tabs>
          <w:tab w:val="num" w:pos="2160"/>
        </w:tabs>
        <w:ind w:left="2160" w:hanging="360"/>
      </w:pPr>
      <w:rPr>
        <w:rFonts w:ascii="Wingdings" w:hAnsi="Wingdings" w:hint="default"/>
      </w:rPr>
    </w:lvl>
    <w:lvl w:ilvl="3" w:tplc="E8324996" w:tentative="1">
      <w:start w:val="1"/>
      <w:numFmt w:val="bullet"/>
      <w:lvlText w:val="o"/>
      <w:lvlJc w:val="left"/>
      <w:pPr>
        <w:tabs>
          <w:tab w:val="num" w:pos="2880"/>
        </w:tabs>
        <w:ind w:left="2880" w:hanging="360"/>
      </w:pPr>
      <w:rPr>
        <w:rFonts w:ascii="Courier New" w:hAnsi="Courier New" w:hint="default"/>
      </w:rPr>
    </w:lvl>
    <w:lvl w:ilvl="4" w:tplc="4D2023A6" w:tentative="1">
      <w:start w:val="1"/>
      <w:numFmt w:val="bullet"/>
      <w:lvlText w:val="o"/>
      <w:lvlJc w:val="left"/>
      <w:pPr>
        <w:tabs>
          <w:tab w:val="num" w:pos="3600"/>
        </w:tabs>
        <w:ind w:left="3600" w:hanging="360"/>
      </w:pPr>
      <w:rPr>
        <w:rFonts w:ascii="Courier New" w:hAnsi="Courier New" w:hint="default"/>
      </w:rPr>
    </w:lvl>
    <w:lvl w:ilvl="5" w:tplc="F35469A2" w:tentative="1">
      <w:start w:val="1"/>
      <w:numFmt w:val="bullet"/>
      <w:lvlText w:val="o"/>
      <w:lvlJc w:val="left"/>
      <w:pPr>
        <w:tabs>
          <w:tab w:val="num" w:pos="4320"/>
        </w:tabs>
        <w:ind w:left="4320" w:hanging="360"/>
      </w:pPr>
      <w:rPr>
        <w:rFonts w:ascii="Courier New" w:hAnsi="Courier New" w:hint="default"/>
      </w:rPr>
    </w:lvl>
    <w:lvl w:ilvl="6" w:tplc="EA904AB0" w:tentative="1">
      <w:start w:val="1"/>
      <w:numFmt w:val="bullet"/>
      <w:lvlText w:val="o"/>
      <w:lvlJc w:val="left"/>
      <w:pPr>
        <w:tabs>
          <w:tab w:val="num" w:pos="5040"/>
        </w:tabs>
        <w:ind w:left="5040" w:hanging="360"/>
      </w:pPr>
      <w:rPr>
        <w:rFonts w:ascii="Courier New" w:hAnsi="Courier New" w:hint="default"/>
      </w:rPr>
    </w:lvl>
    <w:lvl w:ilvl="7" w:tplc="948EA812" w:tentative="1">
      <w:start w:val="1"/>
      <w:numFmt w:val="bullet"/>
      <w:lvlText w:val="o"/>
      <w:lvlJc w:val="left"/>
      <w:pPr>
        <w:tabs>
          <w:tab w:val="num" w:pos="5760"/>
        </w:tabs>
        <w:ind w:left="5760" w:hanging="360"/>
      </w:pPr>
      <w:rPr>
        <w:rFonts w:ascii="Courier New" w:hAnsi="Courier New" w:hint="default"/>
      </w:rPr>
    </w:lvl>
    <w:lvl w:ilvl="8" w:tplc="37BCA7C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4B0A749F"/>
    <w:multiLevelType w:val="hybridMultilevel"/>
    <w:tmpl w:val="0FC2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11127"/>
    <w:multiLevelType w:val="hybridMultilevel"/>
    <w:tmpl w:val="94A2A5BA"/>
    <w:lvl w:ilvl="0" w:tplc="9A58ADEA">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C0EC2"/>
    <w:multiLevelType w:val="hybridMultilevel"/>
    <w:tmpl w:val="5B82F710"/>
    <w:lvl w:ilvl="0" w:tplc="9A58ADEA">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73A70"/>
    <w:multiLevelType w:val="hybridMultilevel"/>
    <w:tmpl w:val="2E4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A1816"/>
    <w:multiLevelType w:val="hybridMultilevel"/>
    <w:tmpl w:val="5B82F710"/>
    <w:lvl w:ilvl="0" w:tplc="9A58ADEA">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64D37"/>
    <w:multiLevelType w:val="hybridMultilevel"/>
    <w:tmpl w:val="EFD8D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652DC"/>
    <w:multiLevelType w:val="hybridMultilevel"/>
    <w:tmpl w:val="4BCA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44E0B"/>
    <w:multiLevelType w:val="hybridMultilevel"/>
    <w:tmpl w:val="A5CAE1A0"/>
    <w:lvl w:ilvl="0" w:tplc="6090D61A">
      <w:start w:val="8"/>
      <w:numFmt w:val="decimal"/>
      <w:lvlText w:val="%1."/>
      <w:lvlJc w:val="left"/>
      <w:pPr>
        <w:tabs>
          <w:tab w:val="num" w:pos="720"/>
        </w:tabs>
        <w:ind w:left="720" w:hanging="360"/>
      </w:pPr>
    </w:lvl>
    <w:lvl w:ilvl="1" w:tplc="27240780">
      <w:start w:val="1"/>
      <w:numFmt w:val="decimal"/>
      <w:lvlText w:val="%2."/>
      <w:lvlJc w:val="left"/>
      <w:pPr>
        <w:tabs>
          <w:tab w:val="num" w:pos="1440"/>
        </w:tabs>
        <w:ind w:left="1440" w:hanging="360"/>
      </w:pPr>
    </w:lvl>
    <w:lvl w:ilvl="2" w:tplc="372CEC10" w:tentative="1">
      <w:start w:val="1"/>
      <w:numFmt w:val="decimal"/>
      <w:lvlText w:val="%3."/>
      <w:lvlJc w:val="left"/>
      <w:pPr>
        <w:tabs>
          <w:tab w:val="num" w:pos="2160"/>
        </w:tabs>
        <w:ind w:left="2160" w:hanging="360"/>
      </w:pPr>
    </w:lvl>
    <w:lvl w:ilvl="3" w:tplc="ACE6A9C4" w:tentative="1">
      <w:start w:val="1"/>
      <w:numFmt w:val="decimal"/>
      <w:lvlText w:val="%4."/>
      <w:lvlJc w:val="left"/>
      <w:pPr>
        <w:tabs>
          <w:tab w:val="num" w:pos="2880"/>
        </w:tabs>
        <w:ind w:left="2880" w:hanging="360"/>
      </w:pPr>
    </w:lvl>
    <w:lvl w:ilvl="4" w:tplc="58948B80" w:tentative="1">
      <w:start w:val="1"/>
      <w:numFmt w:val="decimal"/>
      <w:lvlText w:val="%5."/>
      <w:lvlJc w:val="left"/>
      <w:pPr>
        <w:tabs>
          <w:tab w:val="num" w:pos="3600"/>
        </w:tabs>
        <w:ind w:left="3600" w:hanging="360"/>
      </w:pPr>
    </w:lvl>
    <w:lvl w:ilvl="5" w:tplc="10284ED2" w:tentative="1">
      <w:start w:val="1"/>
      <w:numFmt w:val="decimal"/>
      <w:lvlText w:val="%6."/>
      <w:lvlJc w:val="left"/>
      <w:pPr>
        <w:tabs>
          <w:tab w:val="num" w:pos="4320"/>
        </w:tabs>
        <w:ind w:left="4320" w:hanging="360"/>
      </w:pPr>
    </w:lvl>
    <w:lvl w:ilvl="6" w:tplc="4EA0A440" w:tentative="1">
      <w:start w:val="1"/>
      <w:numFmt w:val="decimal"/>
      <w:lvlText w:val="%7."/>
      <w:lvlJc w:val="left"/>
      <w:pPr>
        <w:tabs>
          <w:tab w:val="num" w:pos="5040"/>
        </w:tabs>
        <w:ind w:left="5040" w:hanging="360"/>
      </w:pPr>
    </w:lvl>
    <w:lvl w:ilvl="7" w:tplc="93989C84" w:tentative="1">
      <w:start w:val="1"/>
      <w:numFmt w:val="decimal"/>
      <w:lvlText w:val="%8."/>
      <w:lvlJc w:val="left"/>
      <w:pPr>
        <w:tabs>
          <w:tab w:val="num" w:pos="5760"/>
        </w:tabs>
        <w:ind w:left="5760" w:hanging="360"/>
      </w:pPr>
    </w:lvl>
    <w:lvl w:ilvl="8" w:tplc="1174D4C6" w:tentative="1">
      <w:start w:val="1"/>
      <w:numFmt w:val="decimal"/>
      <w:lvlText w:val="%9."/>
      <w:lvlJc w:val="left"/>
      <w:pPr>
        <w:tabs>
          <w:tab w:val="num" w:pos="6480"/>
        </w:tabs>
        <w:ind w:left="6480" w:hanging="360"/>
      </w:pPr>
    </w:lvl>
  </w:abstractNum>
  <w:num w:numId="1">
    <w:abstractNumId w:val="7"/>
  </w:num>
  <w:num w:numId="2">
    <w:abstractNumId w:val="0"/>
  </w:num>
  <w:num w:numId="3">
    <w:abstractNumId w:val="11"/>
  </w:num>
  <w:num w:numId="4">
    <w:abstractNumId w:val="5"/>
  </w:num>
  <w:num w:numId="5">
    <w:abstractNumId w:val="3"/>
  </w:num>
  <w:num w:numId="6">
    <w:abstractNumId w:val="9"/>
  </w:num>
  <w:num w:numId="7">
    <w:abstractNumId w:val="8"/>
  </w:num>
  <w:num w:numId="8">
    <w:abstractNumId w:val="6"/>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EC"/>
    <w:rsid w:val="00004E56"/>
    <w:rsid w:val="00006475"/>
    <w:rsid w:val="000211E0"/>
    <w:rsid w:val="0004195C"/>
    <w:rsid w:val="000460A6"/>
    <w:rsid w:val="000471EC"/>
    <w:rsid w:val="000758AA"/>
    <w:rsid w:val="00077ED6"/>
    <w:rsid w:val="000A6E4E"/>
    <w:rsid w:val="000E052E"/>
    <w:rsid w:val="000F5438"/>
    <w:rsid w:val="001014E2"/>
    <w:rsid w:val="00112055"/>
    <w:rsid w:val="00142931"/>
    <w:rsid w:val="00142D54"/>
    <w:rsid w:val="0016729E"/>
    <w:rsid w:val="00191550"/>
    <w:rsid w:val="001D7664"/>
    <w:rsid w:val="001F45D6"/>
    <w:rsid w:val="00200907"/>
    <w:rsid w:val="00214561"/>
    <w:rsid w:val="00226837"/>
    <w:rsid w:val="00232B01"/>
    <w:rsid w:val="00232BEA"/>
    <w:rsid w:val="00286DCF"/>
    <w:rsid w:val="00294244"/>
    <w:rsid w:val="002960A5"/>
    <w:rsid w:val="002A2EE2"/>
    <w:rsid w:val="002C627C"/>
    <w:rsid w:val="002E2616"/>
    <w:rsid w:val="002F1675"/>
    <w:rsid w:val="0033575D"/>
    <w:rsid w:val="0033613E"/>
    <w:rsid w:val="00351D39"/>
    <w:rsid w:val="00381BC9"/>
    <w:rsid w:val="00392FC7"/>
    <w:rsid w:val="003A1BA7"/>
    <w:rsid w:val="003B380C"/>
    <w:rsid w:val="003E1230"/>
    <w:rsid w:val="003E17FB"/>
    <w:rsid w:val="00407DD6"/>
    <w:rsid w:val="00447F5F"/>
    <w:rsid w:val="0048320B"/>
    <w:rsid w:val="00485DB9"/>
    <w:rsid w:val="00487403"/>
    <w:rsid w:val="004A2E53"/>
    <w:rsid w:val="004D45AE"/>
    <w:rsid w:val="004E57DC"/>
    <w:rsid w:val="00510281"/>
    <w:rsid w:val="0052355D"/>
    <w:rsid w:val="00534AA1"/>
    <w:rsid w:val="0055162D"/>
    <w:rsid w:val="00574672"/>
    <w:rsid w:val="005831CF"/>
    <w:rsid w:val="00583B5A"/>
    <w:rsid w:val="005856B4"/>
    <w:rsid w:val="005A00C3"/>
    <w:rsid w:val="005A2BEE"/>
    <w:rsid w:val="005B276B"/>
    <w:rsid w:val="005B35A2"/>
    <w:rsid w:val="005D056D"/>
    <w:rsid w:val="00606584"/>
    <w:rsid w:val="00610531"/>
    <w:rsid w:val="00621DC2"/>
    <w:rsid w:val="006250CC"/>
    <w:rsid w:val="0064106D"/>
    <w:rsid w:val="00656BF2"/>
    <w:rsid w:val="00660CD4"/>
    <w:rsid w:val="00683ED0"/>
    <w:rsid w:val="006A41D0"/>
    <w:rsid w:val="006B43CF"/>
    <w:rsid w:val="006B6740"/>
    <w:rsid w:val="006D136D"/>
    <w:rsid w:val="006D448B"/>
    <w:rsid w:val="006E2E9C"/>
    <w:rsid w:val="006F0D6E"/>
    <w:rsid w:val="00701C92"/>
    <w:rsid w:val="00715D23"/>
    <w:rsid w:val="00727259"/>
    <w:rsid w:val="00737BE6"/>
    <w:rsid w:val="007605EE"/>
    <w:rsid w:val="007A6317"/>
    <w:rsid w:val="007A74BE"/>
    <w:rsid w:val="007B5DA8"/>
    <w:rsid w:val="007C6CB9"/>
    <w:rsid w:val="007C6CCC"/>
    <w:rsid w:val="007D7181"/>
    <w:rsid w:val="007E072B"/>
    <w:rsid w:val="007E7168"/>
    <w:rsid w:val="00800678"/>
    <w:rsid w:val="008141CF"/>
    <w:rsid w:val="00820B6F"/>
    <w:rsid w:val="0082511A"/>
    <w:rsid w:val="008373A1"/>
    <w:rsid w:val="008427F5"/>
    <w:rsid w:val="0086548E"/>
    <w:rsid w:val="00870E58"/>
    <w:rsid w:val="008812B7"/>
    <w:rsid w:val="00881CAF"/>
    <w:rsid w:val="008872E7"/>
    <w:rsid w:val="008D2043"/>
    <w:rsid w:val="009015F2"/>
    <w:rsid w:val="00920E09"/>
    <w:rsid w:val="00943CE5"/>
    <w:rsid w:val="00966A8D"/>
    <w:rsid w:val="00990E8E"/>
    <w:rsid w:val="009A3A56"/>
    <w:rsid w:val="009A5D73"/>
    <w:rsid w:val="009B4088"/>
    <w:rsid w:val="009C0A59"/>
    <w:rsid w:val="009D3AA1"/>
    <w:rsid w:val="009F058B"/>
    <w:rsid w:val="00A12A91"/>
    <w:rsid w:val="00A143DA"/>
    <w:rsid w:val="00A45099"/>
    <w:rsid w:val="00A54C8A"/>
    <w:rsid w:val="00A82578"/>
    <w:rsid w:val="00A82628"/>
    <w:rsid w:val="00AC32B7"/>
    <w:rsid w:val="00AD2BD7"/>
    <w:rsid w:val="00B96647"/>
    <w:rsid w:val="00BD6F6B"/>
    <w:rsid w:val="00BF4FAF"/>
    <w:rsid w:val="00BF7E65"/>
    <w:rsid w:val="00C21326"/>
    <w:rsid w:val="00C216B3"/>
    <w:rsid w:val="00C279B5"/>
    <w:rsid w:val="00C32900"/>
    <w:rsid w:val="00C501E0"/>
    <w:rsid w:val="00C57F62"/>
    <w:rsid w:val="00C734F7"/>
    <w:rsid w:val="00C76271"/>
    <w:rsid w:val="00C80228"/>
    <w:rsid w:val="00C90C98"/>
    <w:rsid w:val="00CA16A8"/>
    <w:rsid w:val="00CB37DD"/>
    <w:rsid w:val="00CF0755"/>
    <w:rsid w:val="00D26BAE"/>
    <w:rsid w:val="00D6622B"/>
    <w:rsid w:val="00D66796"/>
    <w:rsid w:val="00D74C47"/>
    <w:rsid w:val="00D77B67"/>
    <w:rsid w:val="00D82EDE"/>
    <w:rsid w:val="00DB11F1"/>
    <w:rsid w:val="00DC1EC1"/>
    <w:rsid w:val="00DF1B00"/>
    <w:rsid w:val="00DF4A32"/>
    <w:rsid w:val="00E228DB"/>
    <w:rsid w:val="00E61D85"/>
    <w:rsid w:val="00E66640"/>
    <w:rsid w:val="00E97B18"/>
    <w:rsid w:val="00EB47BF"/>
    <w:rsid w:val="00EC3C69"/>
    <w:rsid w:val="00EF1376"/>
    <w:rsid w:val="00F07217"/>
    <w:rsid w:val="00F419D9"/>
    <w:rsid w:val="00F47AD5"/>
    <w:rsid w:val="00F63F6E"/>
    <w:rsid w:val="00F64D94"/>
    <w:rsid w:val="00F77357"/>
    <w:rsid w:val="00FA425F"/>
    <w:rsid w:val="00FD6997"/>
    <w:rsid w:val="00FF4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8C140"/>
  <w15:chartTrackingRefBased/>
  <w15:docId w15:val="{C952E526-A70C-4E5D-B1B1-9B5B6E4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0678"/>
    <w:pPr>
      <w:spacing w:after="120" w:line="276" w:lineRule="auto"/>
      <w:outlineLvl w:val="1"/>
    </w:pPr>
    <w:rPr>
      <w:rFonts w:ascii="Arial" w:eastAsia="Calibri" w:hAnsi="Arial" w:cs="Times New Roman"/>
      <w:b/>
      <w:color w:val="E15D1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438"/>
    <w:pPr>
      <w:ind w:left="720"/>
      <w:contextualSpacing/>
    </w:pPr>
  </w:style>
  <w:style w:type="paragraph" w:styleId="Header">
    <w:name w:val="header"/>
    <w:basedOn w:val="Normal"/>
    <w:link w:val="HeaderChar"/>
    <w:uiPriority w:val="99"/>
    <w:unhideWhenUsed/>
    <w:rsid w:val="0033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75D"/>
  </w:style>
  <w:style w:type="paragraph" w:styleId="Footer">
    <w:name w:val="footer"/>
    <w:basedOn w:val="Normal"/>
    <w:link w:val="FooterChar"/>
    <w:uiPriority w:val="99"/>
    <w:unhideWhenUsed/>
    <w:rsid w:val="0033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75D"/>
  </w:style>
  <w:style w:type="character" w:styleId="CommentReference">
    <w:name w:val="annotation reference"/>
    <w:basedOn w:val="DefaultParagraphFont"/>
    <w:uiPriority w:val="99"/>
    <w:semiHidden/>
    <w:unhideWhenUsed/>
    <w:rsid w:val="00C21326"/>
    <w:rPr>
      <w:sz w:val="16"/>
      <w:szCs w:val="16"/>
    </w:rPr>
  </w:style>
  <w:style w:type="paragraph" w:styleId="CommentText">
    <w:name w:val="annotation text"/>
    <w:basedOn w:val="Normal"/>
    <w:link w:val="CommentTextChar"/>
    <w:uiPriority w:val="99"/>
    <w:semiHidden/>
    <w:unhideWhenUsed/>
    <w:rsid w:val="00C21326"/>
    <w:pPr>
      <w:spacing w:line="240" w:lineRule="auto"/>
    </w:pPr>
    <w:rPr>
      <w:sz w:val="20"/>
      <w:szCs w:val="20"/>
    </w:rPr>
  </w:style>
  <w:style w:type="character" w:customStyle="1" w:styleId="CommentTextChar">
    <w:name w:val="Comment Text Char"/>
    <w:basedOn w:val="DefaultParagraphFont"/>
    <w:link w:val="CommentText"/>
    <w:uiPriority w:val="99"/>
    <w:semiHidden/>
    <w:rsid w:val="00C21326"/>
    <w:rPr>
      <w:sz w:val="20"/>
      <w:szCs w:val="20"/>
    </w:rPr>
  </w:style>
  <w:style w:type="paragraph" w:styleId="CommentSubject">
    <w:name w:val="annotation subject"/>
    <w:basedOn w:val="CommentText"/>
    <w:next w:val="CommentText"/>
    <w:link w:val="CommentSubjectChar"/>
    <w:uiPriority w:val="99"/>
    <w:semiHidden/>
    <w:unhideWhenUsed/>
    <w:rsid w:val="00C21326"/>
    <w:rPr>
      <w:b/>
      <w:bCs/>
    </w:rPr>
  </w:style>
  <w:style w:type="character" w:customStyle="1" w:styleId="CommentSubjectChar">
    <w:name w:val="Comment Subject Char"/>
    <w:basedOn w:val="CommentTextChar"/>
    <w:link w:val="CommentSubject"/>
    <w:uiPriority w:val="99"/>
    <w:semiHidden/>
    <w:rsid w:val="00C21326"/>
    <w:rPr>
      <w:b/>
      <w:bCs/>
      <w:sz w:val="20"/>
      <w:szCs w:val="20"/>
    </w:rPr>
  </w:style>
  <w:style w:type="paragraph" w:styleId="BalloonText">
    <w:name w:val="Balloon Text"/>
    <w:basedOn w:val="Normal"/>
    <w:link w:val="BalloonTextChar"/>
    <w:uiPriority w:val="99"/>
    <w:semiHidden/>
    <w:unhideWhenUsed/>
    <w:rsid w:val="00C2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26"/>
    <w:rPr>
      <w:rFonts w:ascii="Segoe UI" w:hAnsi="Segoe UI" w:cs="Segoe UI"/>
      <w:sz w:val="18"/>
      <w:szCs w:val="18"/>
    </w:rPr>
  </w:style>
  <w:style w:type="table" w:styleId="GridTable2-Accent2">
    <w:name w:val="Grid Table 2 Accent 2"/>
    <w:basedOn w:val="TableNormal"/>
    <w:uiPriority w:val="47"/>
    <w:rsid w:val="002E261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
    <w:name w:val="Grid Table 2"/>
    <w:basedOn w:val="TableNormal"/>
    <w:uiPriority w:val="47"/>
    <w:rsid w:val="002E261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800678"/>
    <w:rPr>
      <w:rFonts w:ascii="Arial" w:eastAsia="Calibri" w:hAnsi="Arial" w:cs="Times New Roman"/>
      <w:b/>
      <w:color w:val="E15D15"/>
      <w:sz w:val="28"/>
      <w:szCs w:val="28"/>
    </w:rPr>
  </w:style>
  <w:style w:type="character" w:styleId="Hyperlink">
    <w:name w:val="Hyperlink"/>
    <w:basedOn w:val="DefaultParagraphFont"/>
    <w:uiPriority w:val="99"/>
    <w:unhideWhenUsed/>
    <w:rsid w:val="00A82578"/>
    <w:rPr>
      <w:color w:val="0563C1" w:themeColor="hyperlink"/>
      <w:u w:val="single"/>
    </w:rPr>
  </w:style>
  <w:style w:type="character" w:styleId="FollowedHyperlink">
    <w:name w:val="FollowedHyperlink"/>
    <w:basedOn w:val="DefaultParagraphFont"/>
    <w:uiPriority w:val="99"/>
    <w:semiHidden/>
    <w:unhideWhenUsed/>
    <w:rsid w:val="006D448B"/>
    <w:rPr>
      <w:color w:val="954F72" w:themeColor="followedHyperlink"/>
      <w:u w:val="single"/>
    </w:rPr>
  </w:style>
  <w:style w:type="paragraph" w:styleId="FootnoteText">
    <w:name w:val="footnote text"/>
    <w:basedOn w:val="Normal"/>
    <w:link w:val="FootnoteTextChar"/>
    <w:uiPriority w:val="99"/>
    <w:semiHidden/>
    <w:unhideWhenUsed/>
    <w:rsid w:val="00381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1BC9"/>
    <w:rPr>
      <w:sz w:val="20"/>
      <w:szCs w:val="20"/>
    </w:rPr>
  </w:style>
  <w:style w:type="character" w:styleId="FootnoteReference">
    <w:name w:val="footnote reference"/>
    <w:basedOn w:val="DefaultParagraphFont"/>
    <w:uiPriority w:val="99"/>
    <w:semiHidden/>
    <w:unhideWhenUsed/>
    <w:rsid w:val="00381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0913">
      <w:bodyDiv w:val="1"/>
      <w:marLeft w:val="0"/>
      <w:marRight w:val="0"/>
      <w:marTop w:val="0"/>
      <w:marBottom w:val="0"/>
      <w:divBdr>
        <w:top w:val="none" w:sz="0" w:space="0" w:color="auto"/>
        <w:left w:val="none" w:sz="0" w:space="0" w:color="auto"/>
        <w:bottom w:val="none" w:sz="0" w:space="0" w:color="auto"/>
        <w:right w:val="none" w:sz="0" w:space="0" w:color="auto"/>
      </w:divBdr>
    </w:div>
    <w:div w:id="24721172">
      <w:bodyDiv w:val="1"/>
      <w:marLeft w:val="0"/>
      <w:marRight w:val="0"/>
      <w:marTop w:val="0"/>
      <w:marBottom w:val="0"/>
      <w:divBdr>
        <w:top w:val="none" w:sz="0" w:space="0" w:color="auto"/>
        <w:left w:val="none" w:sz="0" w:space="0" w:color="auto"/>
        <w:bottom w:val="none" w:sz="0" w:space="0" w:color="auto"/>
        <w:right w:val="none" w:sz="0" w:space="0" w:color="auto"/>
      </w:divBdr>
      <w:divsChild>
        <w:div w:id="1288121420">
          <w:marLeft w:val="1627"/>
          <w:marRight w:val="0"/>
          <w:marTop w:val="0"/>
          <w:marBottom w:val="0"/>
          <w:divBdr>
            <w:top w:val="none" w:sz="0" w:space="0" w:color="auto"/>
            <w:left w:val="none" w:sz="0" w:space="0" w:color="auto"/>
            <w:bottom w:val="none" w:sz="0" w:space="0" w:color="auto"/>
            <w:right w:val="none" w:sz="0" w:space="0" w:color="auto"/>
          </w:divBdr>
        </w:div>
        <w:div w:id="1214661104">
          <w:marLeft w:val="1627"/>
          <w:marRight w:val="0"/>
          <w:marTop w:val="0"/>
          <w:marBottom w:val="0"/>
          <w:divBdr>
            <w:top w:val="none" w:sz="0" w:space="0" w:color="auto"/>
            <w:left w:val="none" w:sz="0" w:space="0" w:color="auto"/>
            <w:bottom w:val="none" w:sz="0" w:space="0" w:color="auto"/>
            <w:right w:val="none" w:sz="0" w:space="0" w:color="auto"/>
          </w:divBdr>
        </w:div>
        <w:div w:id="1453750684">
          <w:marLeft w:val="1627"/>
          <w:marRight w:val="0"/>
          <w:marTop w:val="0"/>
          <w:marBottom w:val="0"/>
          <w:divBdr>
            <w:top w:val="none" w:sz="0" w:space="0" w:color="auto"/>
            <w:left w:val="none" w:sz="0" w:space="0" w:color="auto"/>
            <w:bottom w:val="none" w:sz="0" w:space="0" w:color="auto"/>
            <w:right w:val="none" w:sz="0" w:space="0" w:color="auto"/>
          </w:divBdr>
        </w:div>
        <w:div w:id="1242643216">
          <w:marLeft w:val="1627"/>
          <w:marRight w:val="0"/>
          <w:marTop w:val="0"/>
          <w:marBottom w:val="0"/>
          <w:divBdr>
            <w:top w:val="none" w:sz="0" w:space="0" w:color="auto"/>
            <w:left w:val="none" w:sz="0" w:space="0" w:color="auto"/>
            <w:bottom w:val="none" w:sz="0" w:space="0" w:color="auto"/>
            <w:right w:val="none" w:sz="0" w:space="0" w:color="auto"/>
          </w:divBdr>
        </w:div>
        <w:div w:id="1097672138">
          <w:marLeft w:val="1627"/>
          <w:marRight w:val="0"/>
          <w:marTop w:val="0"/>
          <w:marBottom w:val="0"/>
          <w:divBdr>
            <w:top w:val="none" w:sz="0" w:space="0" w:color="auto"/>
            <w:left w:val="none" w:sz="0" w:space="0" w:color="auto"/>
            <w:bottom w:val="none" w:sz="0" w:space="0" w:color="auto"/>
            <w:right w:val="none" w:sz="0" w:space="0" w:color="auto"/>
          </w:divBdr>
        </w:div>
        <w:div w:id="203836810">
          <w:marLeft w:val="1627"/>
          <w:marRight w:val="0"/>
          <w:marTop w:val="0"/>
          <w:marBottom w:val="0"/>
          <w:divBdr>
            <w:top w:val="none" w:sz="0" w:space="0" w:color="auto"/>
            <w:left w:val="none" w:sz="0" w:space="0" w:color="auto"/>
            <w:bottom w:val="none" w:sz="0" w:space="0" w:color="auto"/>
            <w:right w:val="none" w:sz="0" w:space="0" w:color="auto"/>
          </w:divBdr>
        </w:div>
        <w:div w:id="509025445">
          <w:marLeft w:val="1627"/>
          <w:marRight w:val="0"/>
          <w:marTop w:val="0"/>
          <w:marBottom w:val="0"/>
          <w:divBdr>
            <w:top w:val="none" w:sz="0" w:space="0" w:color="auto"/>
            <w:left w:val="none" w:sz="0" w:space="0" w:color="auto"/>
            <w:bottom w:val="none" w:sz="0" w:space="0" w:color="auto"/>
            <w:right w:val="none" w:sz="0" w:space="0" w:color="auto"/>
          </w:divBdr>
        </w:div>
      </w:divsChild>
    </w:div>
    <w:div w:id="300229286">
      <w:bodyDiv w:val="1"/>
      <w:marLeft w:val="0"/>
      <w:marRight w:val="0"/>
      <w:marTop w:val="0"/>
      <w:marBottom w:val="0"/>
      <w:divBdr>
        <w:top w:val="none" w:sz="0" w:space="0" w:color="auto"/>
        <w:left w:val="none" w:sz="0" w:space="0" w:color="auto"/>
        <w:bottom w:val="none" w:sz="0" w:space="0" w:color="auto"/>
        <w:right w:val="none" w:sz="0" w:space="0" w:color="auto"/>
      </w:divBdr>
      <w:divsChild>
        <w:div w:id="1148590630">
          <w:marLeft w:val="1166"/>
          <w:marRight w:val="0"/>
          <w:marTop w:val="100"/>
          <w:marBottom w:val="0"/>
          <w:divBdr>
            <w:top w:val="none" w:sz="0" w:space="0" w:color="auto"/>
            <w:left w:val="none" w:sz="0" w:space="0" w:color="auto"/>
            <w:bottom w:val="none" w:sz="0" w:space="0" w:color="auto"/>
            <w:right w:val="none" w:sz="0" w:space="0" w:color="auto"/>
          </w:divBdr>
        </w:div>
        <w:div w:id="938291696">
          <w:marLeft w:val="1800"/>
          <w:marRight w:val="0"/>
          <w:marTop w:val="100"/>
          <w:marBottom w:val="0"/>
          <w:divBdr>
            <w:top w:val="none" w:sz="0" w:space="0" w:color="auto"/>
            <w:left w:val="none" w:sz="0" w:space="0" w:color="auto"/>
            <w:bottom w:val="none" w:sz="0" w:space="0" w:color="auto"/>
            <w:right w:val="none" w:sz="0" w:space="0" w:color="auto"/>
          </w:divBdr>
        </w:div>
        <w:div w:id="1591892906">
          <w:marLeft w:val="1800"/>
          <w:marRight w:val="0"/>
          <w:marTop w:val="100"/>
          <w:marBottom w:val="0"/>
          <w:divBdr>
            <w:top w:val="none" w:sz="0" w:space="0" w:color="auto"/>
            <w:left w:val="none" w:sz="0" w:space="0" w:color="auto"/>
            <w:bottom w:val="none" w:sz="0" w:space="0" w:color="auto"/>
            <w:right w:val="none" w:sz="0" w:space="0" w:color="auto"/>
          </w:divBdr>
        </w:div>
        <w:div w:id="1869758938">
          <w:marLeft w:val="1166"/>
          <w:marRight w:val="0"/>
          <w:marTop w:val="100"/>
          <w:marBottom w:val="0"/>
          <w:divBdr>
            <w:top w:val="none" w:sz="0" w:space="0" w:color="auto"/>
            <w:left w:val="none" w:sz="0" w:space="0" w:color="auto"/>
            <w:bottom w:val="none" w:sz="0" w:space="0" w:color="auto"/>
            <w:right w:val="none" w:sz="0" w:space="0" w:color="auto"/>
          </w:divBdr>
        </w:div>
        <w:div w:id="1146819340">
          <w:marLeft w:val="1800"/>
          <w:marRight w:val="0"/>
          <w:marTop w:val="100"/>
          <w:marBottom w:val="0"/>
          <w:divBdr>
            <w:top w:val="none" w:sz="0" w:space="0" w:color="auto"/>
            <w:left w:val="none" w:sz="0" w:space="0" w:color="auto"/>
            <w:bottom w:val="none" w:sz="0" w:space="0" w:color="auto"/>
            <w:right w:val="none" w:sz="0" w:space="0" w:color="auto"/>
          </w:divBdr>
        </w:div>
        <w:div w:id="1031228355">
          <w:marLeft w:val="1800"/>
          <w:marRight w:val="0"/>
          <w:marTop w:val="100"/>
          <w:marBottom w:val="0"/>
          <w:divBdr>
            <w:top w:val="none" w:sz="0" w:space="0" w:color="auto"/>
            <w:left w:val="none" w:sz="0" w:space="0" w:color="auto"/>
            <w:bottom w:val="none" w:sz="0" w:space="0" w:color="auto"/>
            <w:right w:val="none" w:sz="0" w:space="0" w:color="auto"/>
          </w:divBdr>
        </w:div>
      </w:divsChild>
    </w:div>
    <w:div w:id="318389952">
      <w:bodyDiv w:val="1"/>
      <w:marLeft w:val="0"/>
      <w:marRight w:val="0"/>
      <w:marTop w:val="0"/>
      <w:marBottom w:val="0"/>
      <w:divBdr>
        <w:top w:val="none" w:sz="0" w:space="0" w:color="auto"/>
        <w:left w:val="none" w:sz="0" w:space="0" w:color="auto"/>
        <w:bottom w:val="none" w:sz="0" w:space="0" w:color="auto"/>
        <w:right w:val="none" w:sz="0" w:space="0" w:color="auto"/>
      </w:divBdr>
    </w:div>
    <w:div w:id="350688641">
      <w:bodyDiv w:val="1"/>
      <w:marLeft w:val="0"/>
      <w:marRight w:val="0"/>
      <w:marTop w:val="0"/>
      <w:marBottom w:val="0"/>
      <w:divBdr>
        <w:top w:val="none" w:sz="0" w:space="0" w:color="auto"/>
        <w:left w:val="none" w:sz="0" w:space="0" w:color="auto"/>
        <w:bottom w:val="none" w:sz="0" w:space="0" w:color="auto"/>
        <w:right w:val="none" w:sz="0" w:space="0" w:color="auto"/>
      </w:divBdr>
    </w:div>
    <w:div w:id="359864792">
      <w:bodyDiv w:val="1"/>
      <w:marLeft w:val="0"/>
      <w:marRight w:val="0"/>
      <w:marTop w:val="0"/>
      <w:marBottom w:val="0"/>
      <w:divBdr>
        <w:top w:val="none" w:sz="0" w:space="0" w:color="auto"/>
        <w:left w:val="none" w:sz="0" w:space="0" w:color="auto"/>
        <w:bottom w:val="none" w:sz="0" w:space="0" w:color="auto"/>
        <w:right w:val="none" w:sz="0" w:space="0" w:color="auto"/>
      </w:divBdr>
      <w:divsChild>
        <w:div w:id="201600050">
          <w:marLeft w:val="1627"/>
          <w:marRight w:val="0"/>
          <w:marTop w:val="0"/>
          <w:marBottom w:val="0"/>
          <w:divBdr>
            <w:top w:val="none" w:sz="0" w:space="0" w:color="auto"/>
            <w:left w:val="none" w:sz="0" w:space="0" w:color="auto"/>
            <w:bottom w:val="none" w:sz="0" w:space="0" w:color="auto"/>
            <w:right w:val="none" w:sz="0" w:space="0" w:color="auto"/>
          </w:divBdr>
        </w:div>
        <w:div w:id="1634749709">
          <w:marLeft w:val="1627"/>
          <w:marRight w:val="0"/>
          <w:marTop w:val="0"/>
          <w:marBottom w:val="0"/>
          <w:divBdr>
            <w:top w:val="none" w:sz="0" w:space="0" w:color="auto"/>
            <w:left w:val="none" w:sz="0" w:space="0" w:color="auto"/>
            <w:bottom w:val="none" w:sz="0" w:space="0" w:color="auto"/>
            <w:right w:val="none" w:sz="0" w:space="0" w:color="auto"/>
          </w:divBdr>
        </w:div>
      </w:divsChild>
    </w:div>
    <w:div w:id="387148196">
      <w:bodyDiv w:val="1"/>
      <w:marLeft w:val="0"/>
      <w:marRight w:val="0"/>
      <w:marTop w:val="0"/>
      <w:marBottom w:val="0"/>
      <w:divBdr>
        <w:top w:val="none" w:sz="0" w:space="0" w:color="auto"/>
        <w:left w:val="none" w:sz="0" w:space="0" w:color="auto"/>
        <w:bottom w:val="none" w:sz="0" w:space="0" w:color="auto"/>
        <w:right w:val="none" w:sz="0" w:space="0" w:color="auto"/>
      </w:divBdr>
    </w:div>
    <w:div w:id="560412543">
      <w:bodyDiv w:val="1"/>
      <w:marLeft w:val="0"/>
      <w:marRight w:val="0"/>
      <w:marTop w:val="0"/>
      <w:marBottom w:val="0"/>
      <w:divBdr>
        <w:top w:val="none" w:sz="0" w:space="0" w:color="auto"/>
        <w:left w:val="none" w:sz="0" w:space="0" w:color="auto"/>
        <w:bottom w:val="none" w:sz="0" w:space="0" w:color="auto"/>
        <w:right w:val="none" w:sz="0" w:space="0" w:color="auto"/>
      </w:divBdr>
      <w:divsChild>
        <w:div w:id="886840028">
          <w:marLeft w:val="360"/>
          <w:marRight w:val="0"/>
          <w:marTop w:val="200"/>
          <w:marBottom w:val="0"/>
          <w:divBdr>
            <w:top w:val="none" w:sz="0" w:space="0" w:color="auto"/>
            <w:left w:val="none" w:sz="0" w:space="0" w:color="auto"/>
            <w:bottom w:val="none" w:sz="0" w:space="0" w:color="auto"/>
            <w:right w:val="none" w:sz="0" w:space="0" w:color="auto"/>
          </w:divBdr>
        </w:div>
        <w:div w:id="893933078">
          <w:marLeft w:val="1166"/>
          <w:marRight w:val="0"/>
          <w:marTop w:val="100"/>
          <w:marBottom w:val="0"/>
          <w:divBdr>
            <w:top w:val="none" w:sz="0" w:space="0" w:color="auto"/>
            <w:left w:val="none" w:sz="0" w:space="0" w:color="auto"/>
            <w:bottom w:val="none" w:sz="0" w:space="0" w:color="auto"/>
            <w:right w:val="none" w:sz="0" w:space="0" w:color="auto"/>
          </w:divBdr>
        </w:div>
      </w:divsChild>
    </w:div>
    <w:div w:id="827945041">
      <w:bodyDiv w:val="1"/>
      <w:marLeft w:val="0"/>
      <w:marRight w:val="0"/>
      <w:marTop w:val="0"/>
      <w:marBottom w:val="0"/>
      <w:divBdr>
        <w:top w:val="none" w:sz="0" w:space="0" w:color="auto"/>
        <w:left w:val="none" w:sz="0" w:space="0" w:color="auto"/>
        <w:bottom w:val="none" w:sz="0" w:space="0" w:color="auto"/>
        <w:right w:val="none" w:sz="0" w:space="0" w:color="auto"/>
      </w:divBdr>
      <w:divsChild>
        <w:div w:id="2091155368">
          <w:marLeft w:val="1627"/>
          <w:marRight w:val="0"/>
          <w:marTop w:val="0"/>
          <w:marBottom w:val="0"/>
          <w:divBdr>
            <w:top w:val="none" w:sz="0" w:space="0" w:color="auto"/>
            <w:left w:val="none" w:sz="0" w:space="0" w:color="auto"/>
            <w:bottom w:val="none" w:sz="0" w:space="0" w:color="auto"/>
            <w:right w:val="none" w:sz="0" w:space="0" w:color="auto"/>
          </w:divBdr>
        </w:div>
        <w:div w:id="1938711092">
          <w:marLeft w:val="1627"/>
          <w:marRight w:val="0"/>
          <w:marTop w:val="0"/>
          <w:marBottom w:val="0"/>
          <w:divBdr>
            <w:top w:val="none" w:sz="0" w:space="0" w:color="auto"/>
            <w:left w:val="none" w:sz="0" w:space="0" w:color="auto"/>
            <w:bottom w:val="none" w:sz="0" w:space="0" w:color="auto"/>
            <w:right w:val="none" w:sz="0" w:space="0" w:color="auto"/>
          </w:divBdr>
        </w:div>
        <w:div w:id="1701319409">
          <w:marLeft w:val="1627"/>
          <w:marRight w:val="0"/>
          <w:marTop w:val="0"/>
          <w:marBottom w:val="0"/>
          <w:divBdr>
            <w:top w:val="none" w:sz="0" w:space="0" w:color="auto"/>
            <w:left w:val="none" w:sz="0" w:space="0" w:color="auto"/>
            <w:bottom w:val="none" w:sz="0" w:space="0" w:color="auto"/>
            <w:right w:val="none" w:sz="0" w:space="0" w:color="auto"/>
          </w:divBdr>
        </w:div>
        <w:div w:id="1555576906">
          <w:marLeft w:val="1627"/>
          <w:marRight w:val="0"/>
          <w:marTop w:val="0"/>
          <w:marBottom w:val="0"/>
          <w:divBdr>
            <w:top w:val="none" w:sz="0" w:space="0" w:color="auto"/>
            <w:left w:val="none" w:sz="0" w:space="0" w:color="auto"/>
            <w:bottom w:val="none" w:sz="0" w:space="0" w:color="auto"/>
            <w:right w:val="none" w:sz="0" w:space="0" w:color="auto"/>
          </w:divBdr>
        </w:div>
        <w:div w:id="588734386">
          <w:marLeft w:val="1627"/>
          <w:marRight w:val="0"/>
          <w:marTop w:val="0"/>
          <w:marBottom w:val="0"/>
          <w:divBdr>
            <w:top w:val="none" w:sz="0" w:space="0" w:color="auto"/>
            <w:left w:val="none" w:sz="0" w:space="0" w:color="auto"/>
            <w:bottom w:val="none" w:sz="0" w:space="0" w:color="auto"/>
            <w:right w:val="none" w:sz="0" w:space="0" w:color="auto"/>
          </w:divBdr>
        </w:div>
        <w:div w:id="247426828">
          <w:marLeft w:val="1627"/>
          <w:marRight w:val="0"/>
          <w:marTop w:val="0"/>
          <w:marBottom w:val="0"/>
          <w:divBdr>
            <w:top w:val="none" w:sz="0" w:space="0" w:color="auto"/>
            <w:left w:val="none" w:sz="0" w:space="0" w:color="auto"/>
            <w:bottom w:val="none" w:sz="0" w:space="0" w:color="auto"/>
            <w:right w:val="none" w:sz="0" w:space="0" w:color="auto"/>
          </w:divBdr>
        </w:div>
        <w:div w:id="798455458">
          <w:marLeft w:val="1627"/>
          <w:marRight w:val="0"/>
          <w:marTop w:val="0"/>
          <w:marBottom w:val="0"/>
          <w:divBdr>
            <w:top w:val="none" w:sz="0" w:space="0" w:color="auto"/>
            <w:left w:val="none" w:sz="0" w:space="0" w:color="auto"/>
            <w:bottom w:val="none" w:sz="0" w:space="0" w:color="auto"/>
            <w:right w:val="none" w:sz="0" w:space="0" w:color="auto"/>
          </w:divBdr>
        </w:div>
        <w:div w:id="979766753">
          <w:marLeft w:val="1627"/>
          <w:marRight w:val="0"/>
          <w:marTop w:val="0"/>
          <w:marBottom w:val="0"/>
          <w:divBdr>
            <w:top w:val="none" w:sz="0" w:space="0" w:color="auto"/>
            <w:left w:val="none" w:sz="0" w:space="0" w:color="auto"/>
            <w:bottom w:val="none" w:sz="0" w:space="0" w:color="auto"/>
            <w:right w:val="none" w:sz="0" w:space="0" w:color="auto"/>
          </w:divBdr>
        </w:div>
        <w:div w:id="379062536">
          <w:marLeft w:val="1627"/>
          <w:marRight w:val="0"/>
          <w:marTop w:val="0"/>
          <w:marBottom w:val="0"/>
          <w:divBdr>
            <w:top w:val="none" w:sz="0" w:space="0" w:color="auto"/>
            <w:left w:val="none" w:sz="0" w:space="0" w:color="auto"/>
            <w:bottom w:val="none" w:sz="0" w:space="0" w:color="auto"/>
            <w:right w:val="none" w:sz="0" w:space="0" w:color="auto"/>
          </w:divBdr>
        </w:div>
      </w:divsChild>
    </w:div>
    <w:div w:id="891961348">
      <w:bodyDiv w:val="1"/>
      <w:marLeft w:val="0"/>
      <w:marRight w:val="0"/>
      <w:marTop w:val="0"/>
      <w:marBottom w:val="0"/>
      <w:divBdr>
        <w:top w:val="none" w:sz="0" w:space="0" w:color="auto"/>
        <w:left w:val="none" w:sz="0" w:space="0" w:color="auto"/>
        <w:bottom w:val="none" w:sz="0" w:space="0" w:color="auto"/>
        <w:right w:val="none" w:sz="0" w:space="0" w:color="auto"/>
      </w:divBdr>
    </w:div>
    <w:div w:id="909533630">
      <w:bodyDiv w:val="1"/>
      <w:marLeft w:val="0"/>
      <w:marRight w:val="0"/>
      <w:marTop w:val="0"/>
      <w:marBottom w:val="0"/>
      <w:divBdr>
        <w:top w:val="none" w:sz="0" w:space="0" w:color="auto"/>
        <w:left w:val="none" w:sz="0" w:space="0" w:color="auto"/>
        <w:bottom w:val="none" w:sz="0" w:space="0" w:color="auto"/>
        <w:right w:val="none" w:sz="0" w:space="0" w:color="auto"/>
      </w:divBdr>
    </w:div>
    <w:div w:id="1112359194">
      <w:bodyDiv w:val="1"/>
      <w:marLeft w:val="0"/>
      <w:marRight w:val="0"/>
      <w:marTop w:val="0"/>
      <w:marBottom w:val="0"/>
      <w:divBdr>
        <w:top w:val="none" w:sz="0" w:space="0" w:color="auto"/>
        <w:left w:val="none" w:sz="0" w:space="0" w:color="auto"/>
        <w:bottom w:val="none" w:sz="0" w:space="0" w:color="auto"/>
        <w:right w:val="none" w:sz="0" w:space="0" w:color="auto"/>
      </w:divBdr>
    </w:div>
    <w:div w:id="1148475705">
      <w:bodyDiv w:val="1"/>
      <w:marLeft w:val="0"/>
      <w:marRight w:val="0"/>
      <w:marTop w:val="0"/>
      <w:marBottom w:val="0"/>
      <w:divBdr>
        <w:top w:val="none" w:sz="0" w:space="0" w:color="auto"/>
        <w:left w:val="none" w:sz="0" w:space="0" w:color="auto"/>
        <w:bottom w:val="none" w:sz="0" w:space="0" w:color="auto"/>
        <w:right w:val="none" w:sz="0" w:space="0" w:color="auto"/>
      </w:divBdr>
      <w:divsChild>
        <w:div w:id="1051075256">
          <w:marLeft w:val="360"/>
          <w:marRight w:val="0"/>
          <w:marTop w:val="200"/>
          <w:marBottom w:val="0"/>
          <w:divBdr>
            <w:top w:val="none" w:sz="0" w:space="0" w:color="auto"/>
            <w:left w:val="none" w:sz="0" w:space="0" w:color="auto"/>
            <w:bottom w:val="none" w:sz="0" w:space="0" w:color="auto"/>
            <w:right w:val="none" w:sz="0" w:space="0" w:color="auto"/>
          </w:divBdr>
        </w:div>
        <w:div w:id="411897171">
          <w:marLeft w:val="1166"/>
          <w:marRight w:val="0"/>
          <w:marTop w:val="100"/>
          <w:marBottom w:val="0"/>
          <w:divBdr>
            <w:top w:val="none" w:sz="0" w:space="0" w:color="auto"/>
            <w:left w:val="none" w:sz="0" w:space="0" w:color="auto"/>
            <w:bottom w:val="none" w:sz="0" w:space="0" w:color="auto"/>
            <w:right w:val="none" w:sz="0" w:space="0" w:color="auto"/>
          </w:divBdr>
        </w:div>
      </w:divsChild>
    </w:div>
    <w:div w:id="1205756779">
      <w:bodyDiv w:val="1"/>
      <w:marLeft w:val="0"/>
      <w:marRight w:val="0"/>
      <w:marTop w:val="0"/>
      <w:marBottom w:val="0"/>
      <w:divBdr>
        <w:top w:val="none" w:sz="0" w:space="0" w:color="auto"/>
        <w:left w:val="none" w:sz="0" w:space="0" w:color="auto"/>
        <w:bottom w:val="none" w:sz="0" w:space="0" w:color="auto"/>
        <w:right w:val="none" w:sz="0" w:space="0" w:color="auto"/>
      </w:divBdr>
    </w:div>
    <w:div w:id="1262303139">
      <w:bodyDiv w:val="1"/>
      <w:marLeft w:val="0"/>
      <w:marRight w:val="0"/>
      <w:marTop w:val="0"/>
      <w:marBottom w:val="0"/>
      <w:divBdr>
        <w:top w:val="none" w:sz="0" w:space="0" w:color="auto"/>
        <w:left w:val="none" w:sz="0" w:space="0" w:color="auto"/>
        <w:bottom w:val="none" w:sz="0" w:space="0" w:color="auto"/>
        <w:right w:val="none" w:sz="0" w:space="0" w:color="auto"/>
      </w:divBdr>
      <w:divsChild>
        <w:div w:id="1199659984">
          <w:marLeft w:val="1166"/>
          <w:marRight w:val="0"/>
          <w:marTop w:val="100"/>
          <w:marBottom w:val="0"/>
          <w:divBdr>
            <w:top w:val="none" w:sz="0" w:space="0" w:color="auto"/>
            <w:left w:val="none" w:sz="0" w:space="0" w:color="auto"/>
            <w:bottom w:val="none" w:sz="0" w:space="0" w:color="auto"/>
            <w:right w:val="none" w:sz="0" w:space="0" w:color="auto"/>
          </w:divBdr>
        </w:div>
      </w:divsChild>
    </w:div>
    <w:div w:id="1297876150">
      <w:bodyDiv w:val="1"/>
      <w:marLeft w:val="0"/>
      <w:marRight w:val="0"/>
      <w:marTop w:val="0"/>
      <w:marBottom w:val="0"/>
      <w:divBdr>
        <w:top w:val="none" w:sz="0" w:space="0" w:color="auto"/>
        <w:left w:val="none" w:sz="0" w:space="0" w:color="auto"/>
        <w:bottom w:val="none" w:sz="0" w:space="0" w:color="auto"/>
        <w:right w:val="none" w:sz="0" w:space="0" w:color="auto"/>
      </w:divBdr>
    </w:div>
    <w:div w:id="16650392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81">
          <w:marLeft w:val="1166"/>
          <w:marRight w:val="0"/>
          <w:marTop w:val="100"/>
          <w:marBottom w:val="0"/>
          <w:divBdr>
            <w:top w:val="none" w:sz="0" w:space="0" w:color="auto"/>
            <w:left w:val="none" w:sz="0" w:space="0" w:color="auto"/>
            <w:bottom w:val="none" w:sz="0" w:space="0" w:color="auto"/>
            <w:right w:val="none" w:sz="0" w:space="0" w:color="auto"/>
          </w:divBdr>
        </w:div>
        <w:div w:id="1675918658">
          <w:marLeft w:val="1800"/>
          <w:marRight w:val="0"/>
          <w:marTop w:val="100"/>
          <w:marBottom w:val="0"/>
          <w:divBdr>
            <w:top w:val="none" w:sz="0" w:space="0" w:color="auto"/>
            <w:left w:val="none" w:sz="0" w:space="0" w:color="auto"/>
            <w:bottom w:val="none" w:sz="0" w:space="0" w:color="auto"/>
            <w:right w:val="none" w:sz="0" w:space="0" w:color="auto"/>
          </w:divBdr>
        </w:div>
        <w:div w:id="1747220664">
          <w:marLeft w:val="1800"/>
          <w:marRight w:val="0"/>
          <w:marTop w:val="100"/>
          <w:marBottom w:val="0"/>
          <w:divBdr>
            <w:top w:val="none" w:sz="0" w:space="0" w:color="auto"/>
            <w:left w:val="none" w:sz="0" w:space="0" w:color="auto"/>
            <w:bottom w:val="none" w:sz="0" w:space="0" w:color="auto"/>
            <w:right w:val="none" w:sz="0" w:space="0" w:color="auto"/>
          </w:divBdr>
        </w:div>
        <w:div w:id="792362128">
          <w:marLeft w:val="1166"/>
          <w:marRight w:val="0"/>
          <w:marTop w:val="100"/>
          <w:marBottom w:val="0"/>
          <w:divBdr>
            <w:top w:val="none" w:sz="0" w:space="0" w:color="auto"/>
            <w:left w:val="none" w:sz="0" w:space="0" w:color="auto"/>
            <w:bottom w:val="none" w:sz="0" w:space="0" w:color="auto"/>
            <w:right w:val="none" w:sz="0" w:space="0" w:color="auto"/>
          </w:divBdr>
        </w:div>
        <w:div w:id="1648626412">
          <w:marLeft w:val="1800"/>
          <w:marRight w:val="0"/>
          <w:marTop w:val="100"/>
          <w:marBottom w:val="0"/>
          <w:divBdr>
            <w:top w:val="none" w:sz="0" w:space="0" w:color="auto"/>
            <w:left w:val="none" w:sz="0" w:space="0" w:color="auto"/>
            <w:bottom w:val="none" w:sz="0" w:space="0" w:color="auto"/>
            <w:right w:val="none" w:sz="0" w:space="0" w:color="auto"/>
          </w:divBdr>
        </w:div>
        <w:div w:id="1604460512">
          <w:marLeft w:val="1800"/>
          <w:marRight w:val="0"/>
          <w:marTop w:val="100"/>
          <w:marBottom w:val="0"/>
          <w:divBdr>
            <w:top w:val="none" w:sz="0" w:space="0" w:color="auto"/>
            <w:left w:val="none" w:sz="0" w:space="0" w:color="auto"/>
            <w:bottom w:val="none" w:sz="0" w:space="0" w:color="auto"/>
            <w:right w:val="none" w:sz="0" w:space="0" w:color="auto"/>
          </w:divBdr>
        </w:div>
      </w:divsChild>
    </w:div>
    <w:div w:id="2001545763">
      <w:bodyDiv w:val="1"/>
      <w:marLeft w:val="0"/>
      <w:marRight w:val="0"/>
      <w:marTop w:val="0"/>
      <w:marBottom w:val="0"/>
      <w:divBdr>
        <w:top w:val="none" w:sz="0" w:space="0" w:color="auto"/>
        <w:left w:val="none" w:sz="0" w:space="0" w:color="auto"/>
        <w:bottom w:val="none" w:sz="0" w:space="0" w:color="auto"/>
        <w:right w:val="none" w:sz="0" w:space="0" w:color="auto"/>
      </w:divBdr>
      <w:divsChild>
        <w:div w:id="4491253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sped/idea2004/sig-dispro/" TargetMode="External"/><Relationship Id="rId3" Type="http://schemas.openxmlformats.org/officeDocument/2006/relationships/customXml" Target="../customXml/item3.xml"/><Relationship Id="rId21" Type="http://schemas.openxmlformats.org/officeDocument/2006/relationships/hyperlink" Target="mailto:specialeducation@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ped/advisories/2019-0621dispro.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doe.mass.edu/sped/idea2004/sig-dispro/resourc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sped/idea2004/sig-dispro/webinar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ites.ed.gov/idea/regs/b/f/300.647" TargetMode="External"/><Relationship Id="rId7" Type="http://schemas.openxmlformats.org/officeDocument/2006/relationships/hyperlink" Target="https://sites.ed.gov/idea/regs/b/f/300.647/b" TargetMode="External"/><Relationship Id="rId2" Type="http://schemas.openxmlformats.org/officeDocument/2006/relationships/hyperlink" Target="https://sites.ed.gov/idea/regs/b/f/300.647/a/6" TargetMode="External"/><Relationship Id="rId1" Type="http://schemas.openxmlformats.org/officeDocument/2006/relationships/hyperlink" Target="https://sites.ed.gov/idea/regs/b/f/300.647" TargetMode="External"/><Relationship Id="rId6" Type="http://schemas.openxmlformats.org/officeDocument/2006/relationships/hyperlink" Target="https://sites.ed.gov/idea/regs/b/f/300.647/b/5" TargetMode="External"/><Relationship Id="rId5" Type="http://schemas.openxmlformats.org/officeDocument/2006/relationships/hyperlink" Target="https://sites.ed.gov/idea/regs/b/f/300.647/a/4" TargetMode="External"/><Relationship Id="rId4" Type="http://schemas.openxmlformats.org/officeDocument/2006/relationships/hyperlink" Target="https://sites.ed.gov/idea/regs/b/f/300.647/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DESE-231-55894</_dlc_DocId>
    <_dlc_DocIdUrl xmlns="733efe1c-5bbe-4968-87dc-d400e65c879f">
      <Url>https://sharepoint.doemass.org/ese/webteam/cps/_layouts/DocIdRedir.aspx?ID=DESE-231-55894</Url>
      <Description>DESE-231-55894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1E0C09-96C9-4AC6-B772-0E0B3C01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6C276-952C-4A89-895D-65E7450ED36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2788D61-5D48-4D4E-8452-19EEB71EC400}">
  <ds:schemaRefs>
    <ds:schemaRef ds:uri="http://schemas.openxmlformats.org/officeDocument/2006/bibliography"/>
  </ds:schemaRefs>
</ds:datastoreItem>
</file>

<file path=customXml/itemProps4.xml><?xml version="1.0" encoding="utf-8"?>
<ds:datastoreItem xmlns:ds="http://schemas.openxmlformats.org/officeDocument/2006/customXml" ds:itemID="{5CCB5ACB-C812-4C0F-8F6B-042149F46148}">
  <ds:schemaRefs>
    <ds:schemaRef ds:uri="http://schemas.microsoft.com/sharepoint/v3/contenttype/forms"/>
  </ds:schemaRefs>
</ds:datastoreItem>
</file>

<file path=customXml/itemProps5.xml><?xml version="1.0" encoding="utf-8"?>
<ds:datastoreItem xmlns:ds="http://schemas.openxmlformats.org/officeDocument/2006/customXml" ds:itemID="{A1FDA7D3-5D7B-40EA-BBB0-FB7193EE36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What is Significant Disproportionality</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Significant Disproportionality Quick Reference Guide</dc:title>
  <dc:subject/>
  <dc:creator>DESE</dc:creator>
  <cp:keywords/>
  <dc:description/>
  <cp:lastModifiedBy>Zou, Dong (EOE)</cp:lastModifiedBy>
  <cp:revision>4</cp:revision>
  <dcterms:created xsi:type="dcterms:W3CDTF">2022-01-04T13:04:00Z</dcterms:created>
  <dcterms:modified xsi:type="dcterms:W3CDTF">2022-01-04T19:26:00Z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2022</vt:lpwstr>
  </property>
</Properties>
</file>