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6ABC" w14:textId="77777777" w:rsidR="000144B2" w:rsidRDefault="000144B2">
      <w:pPr>
        <w:pStyle w:val="BodyText2"/>
        <w:rPr>
          <w:sz w:val="20"/>
        </w:rPr>
      </w:pPr>
      <w:bookmarkStart w:id="0" w:name="_GoBack"/>
      <w:bookmarkEnd w:id="0"/>
      <w:r>
        <w:rPr>
          <w:sz w:val="20"/>
        </w:rPr>
        <w:t xml:space="preserve">The passage of </w:t>
      </w:r>
      <w:hyperlink r:id="rId11" w:history="1">
        <w:r>
          <w:rPr>
            <w:rStyle w:val="Hyperlink"/>
            <w:sz w:val="20"/>
          </w:rPr>
          <w:t>IDEA 2004</w:t>
        </w:r>
      </w:hyperlink>
      <w:r>
        <w:rPr>
          <w:sz w:val="20"/>
        </w:rPr>
        <w:t xml:space="preserve"> brought about significant changes in the determination of eligibility for students with Specific Learning Disabilities (SLD).  This document outlines the four necessary components for SLD eligibility determination under federal and state requirements and the accompanying forms provide documentation to meet the requirements.</w:t>
      </w:r>
    </w:p>
    <w:p w14:paraId="01D371A9" w14:textId="77777777" w:rsidR="000144B2" w:rsidRDefault="000144B2">
      <w:pPr>
        <w:pBdr>
          <w:bottom w:val="single" w:sz="4" w:space="1" w:color="auto"/>
        </w:pBdr>
        <w:rPr>
          <w:rFonts w:ascii="Arial" w:hAnsi="Arial" w:cs="Arial"/>
          <w:sz w:val="20"/>
        </w:rPr>
      </w:pPr>
      <w:r>
        <w:rPr>
          <w:rFonts w:ascii="Arial" w:hAnsi="Arial" w:cs="Arial"/>
          <w:sz w:val="20"/>
        </w:rPr>
        <w:t xml:space="preserve">    </w:t>
      </w:r>
    </w:p>
    <w:p w14:paraId="27BC1F30" w14:textId="77777777" w:rsidR="000144B2" w:rsidRDefault="000144B2">
      <w:pPr>
        <w:rPr>
          <w:rFonts w:ascii="Arial" w:hAnsi="Arial" w:cs="Arial"/>
          <w:b/>
          <w:bCs/>
          <w:sz w:val="20"/>
        </w:rPr>
      </w:pPr>
    </w:p>
    <w:p w14:paraId="77053028" w14:textId="77777777" w:rsidR="000144B2" w:rsidRDefault="000144B2">
      <w:pPr>
        <w:pStyle w:val="Heading5"/>
        <w:shd w:val="clear" w:color="auto" w:fill="FF99CC"/>
      </w:pPr>
      <w:r>
        <w:rPr>
          <w:sz w:val="20"/>
        </w:rPr>
        <w:t>COMPONENT 1:  Historical Review and Educational Assessment</w:t>
      </w:r>
      <w:r>
        <w:t xml:space="preserve"> </w:t>
      </w:r>
    </w:p>
    <w:p w14:paraId="1D155676" w14:textId="77777777" w:rsidR="000144B2" w:rsidRDefault="000144B2">
      <w:pPr>
        <w:pStyle w:val="Heading5"/>
        <w:shd w:val="clear" w:color="auto" w:fill="FF99CC"/>
        <w:rPr>
          <w:b w:val="0"/>
          <w:bCs w:val="0"/>
          <w:sz w:val="20"/>
        </w:rPr>
      </w:pPr>
      <w:r>
        <w:rPr>
          <w:b w:val="0"/>
          <w:bCs w:val="0"/>
          <w:sz w:val="20"/>
        </w:rPr>
        <w:t xml:space="preserve">Documented on </w:t>
      </w:r>
      <w:hyperlink r:id="rId12" w:history="1">
        <w:r w:rsidRPr="005D1134">
          <w:rPr>
            <w:rStyle w:val="Hyperlink"/>
            <w:b w:val="0"/>
            <w:bCs w:val="0"/>
            <w:sz w:val="20"/>
          </w:rPr>
          <w:t>SLD 1</w:t>
        </w:r>
      </w:hyperlink>
      <w:r>
        <w:rPr>
          <w:b w:val="0"/>
          <w:bCs w:val="0"/>
          <w:sz w:val="20"/>
        </w:rPr>
        <w:t xml:space="preserve"> (pink)</w:t>
      </w:r>
    </w:p>
    <w:p w14:paraId="56A29DF2" w14:textId="77777777" w:rsidR="000144B2" w:rsidRDefault="000144B2">
      <w:pPr>
        <w:rPr>
          <w:sz w:val="20"/>
        </w:rPr>
      </w:pPr>
    </w:p>
    <w:p w14:paraId="379225C8" w14:textId="77777777" w:rsidR="000144B2" w:rsidRDefault="000144B2">
      <w:pPr>
        <w:pStyle w:val="Heading2"/>
        <w:rPr>
          <w:sz w:val="20"/>
        </w:rPr>
      </w:pPr>
      <w:r>
        <w:rPr>
          <w:sz w:val="20"/>
        </w:rPr>
        <w:t xml:space="preserve">Historical Review </w:t>
      </w:r>
      <w:r>
        <w:rPr>
          <w:b w:val="0"/>
          <w:bCs w:val="0"/>
          <w:sz w:val="20"/>
        </w:rPr>
        <w:t xml:space="preserve">[34 CFR 300.309(b)] * </w:t>
      </w:r>
      <w:r>
        <w:rPr>
          <w:b w:val="0"/>
          <w:bCs w:val="0"/>
          <w:sz w:val="20"/>
        </w:rPr>
        <w:tab/>
      </w:r>
      <w:r>
        <w:rPr>
          <w:b w:val="0"/>
          <w:bCs w:val="0"/>
          <w:sz w:val="20"/>
        </w:rPr>
        <w:tab/>
      </w:r>
      <w:r>
        <w:rPr>
          <w:b w:val="0"/>
          <w:bCs w:val="0"/>
          <w:sz w:val="20"/>
        </w:rPr>
        <w:tab/>
      </w:r>
      <w:r>
        <w:rPr>
          <w:b w:val="0"/>
          <w:bCs w:val="0"/>
          <w:sz w:val="20"/>
        </w:rPr>
        <w:tab/>
      </w:r>
      <w:r>
        <w:rPr>
          <w:b w:val="0"/>
          <w:bCs w:val="0"/>
          <w:sz w:val="20"/>
        </w:rPr>
        <w:tab/>
      </w:r>
    </w:p>
    <w:p w14:paraId="7CC02D77" w14:textId="77777777" w:rsidR="000144B2" w:rsidRDefault="000144B2">
      <w:pPr>
        <w:pStyle w:val="BodyText3"/>
      </w:pPr>
      <w:r>
        <w:t>To ensure that underachievement in the area of concern is not due to lack of appropriate instruction in reading or math</w:t>
      </w:r>
      <w:r w:rsidR="00777A5D">
        <w:t>,</w:t>
      </w:r>
      <w:r>
        <w:t xml:space="preserve"> the Team must consider that:</w:t>
      </w:r>
    </w:p>
    <w:p w14:paraId="739D16D4" w14:textId="77777777" w:rsidR="000144B2" w:rsidRDefault="000144B2">
      <w:pPr>
        <w:numPr>
          <w:ilvl w:val="0"/>
          <w:numId w:val="13"/>
        </w:numPr>
        <w:rPr>
          <w:rFonts w:ascii="Arial" w:hAnsi="Arial" w:cs="Arial"/>
          <w:sz w:val="20"/>
        </w:rPr>
      </w:pPr>
      <w:r>
        <w:rPr>
          <w:rFonts w:ascii="Arial" w:hAnsi="Arial" w:cs="Arial"/>
          <w:sz w:val="20"/>
        </w:rPr>
        <w:t>the student has been provided appropriate instruction in general education settings and that instruction has been delivered by qualified personnel;</w:t>
      </w:r>
    </w:p>
    <w:p w14:paraId="6C81B2BB" w14:textId="77777777" w:rsidR="000144B2" w:rsidRDefault="000144B2">
      <w:pPr>
        <w:numPr>
          <w:ilvl w:val="0"/>
          <w:numId w:val="13"/>
        </w:numPr>
        <w:rPr>
          <w:rFonts w:ascii="Arial" w:hAnsi="Arial" w:cs="Arial"/>
          <w:sz w:val="20"/>
        </w:rPr>
      </w:pPr>
      <w:r>
        <w:rPr>
          <w:rFonts w:ascii="Arial" w:hAnsi="Arial" w:cs="Arial"/>
          <w:sz w:val="20"/>
        </w:rPr>
        <w:t xml:space="preserve">there is data-based documentation of repeated assessments of achievement at reasonable intervals, reflecting formal assessment of the student’s progress and this documentation was provided to the student’s parents.  </w:t>
      </w:r>
    </w:p>
    <w:p w14:paraId="46B2A98B" w14:textId="77777777" w:rsidR="000144B2" w:rsidRDefault="000144B2">
      <w:pPr>
        <w:ind w:left="360"/>
        <w:rPr>
          <w:rFonts w:ascii="Arial" w:hAnsi="Arial" w:cs="Arial"/>
          <w:sz w:val="20"/>
        </w:rPr>
      </w:pPr>
    </w:p>
    <w:p w14:paraId="4F1F0BD7" w14:textId="77777777" w:rsidR="000144B2" w:rsidRDefault="000144B2">
      <w:pPr>
        <w:pBdr>
          <w:top w:val="single" w:sz="4" w:space="1" w:color="auto"/>
          <w:left w:val="single" w:sz="4" w:space="17" w:color="auto"/>
          <w:bottom w:val="single" w:sz="4" w:space="7" w:color="auto"/>
          <w:right w:val="single" w:sz="4" w:space="4" w:color="auto"/>
        </w:pBdr>
        <w:ind w:left="360"/>
        <w:rPr>
          <w:rFonts w:ascii="Arial" w:hAnsi="Arial" w:cs="Arial"/>
          <w:sz w:val="20"/>
        </w:rPr>
      </w:pPr>
    </w:p>
    <w:p w14:paraId="751628D8" w14:textId="77777777" w:rsidR="000144B2" w:rsidRDefault="000144B2">
      <w:pPr>
        <w:numPr>
          <w:ilvl w:val="1"/>
          <w:numId w:val="13"/>
        </w:numPr>
        <w:pBdr>
          <w:top w:val="single" w:sz="4" w:space="1" w:color="auto"/>
          <w:left w:val="single" w:sz="4" w:space="17" w:color="auto"/>
          <w:bottom w:val="single" w:sz="4" w:space="7" w:color="auto"/>
          <w:right w:val="single" w:sz="4" w:space="4" w:color="auto"/>
        </w:pBdr>
        <w:tabs>
          <w:tab w:val="clear" w:pos="1440"/>
          <w:tab w:val="num" w:pos="720"/>
        </w:tabs>
        <w:ind w:left="720"/>
        <w:rPr>
          <w:rFonts w:ascii="Arial" w:hAnsi="Arial" w:cs="Arial"/>
          <w:sz w:val="20"/>
        </w:rPr>
      </w:pPr>
      <w:r>
        <w:rPr>
          <w:rFonts w:ascii="Arial" w:hAnsi="Arial" w:cs="Arial"/>
          <w:sz w:val="20"/>
        </w:rPr>
        <w:t xml:space="preserve">If the components of the Historical Review </w:t>
      </w:r>
      <w:r>
        <w:rPr>
          <w:rFonts w:ascii="Arial" w:hAnsi="Arial" w:cs="Arial"/>
          <w:sz w:val="20"/>
          <w:u w:val="single"/>
        </w:rPr>
        <w:t>have been met</w:t>
      </w:r>
      <w:r>
        <w:rPr>
          <w:rFonts w:ascii="Arial" w:hAnsi="Arial" w:cs="Arial"/>
          <w:sz w:val="20"/>
        </w:rPr>
        <w:t xml:space="preserve"> then the eligibility determination can continue using data from a response to scientific, research-based intervention method, or using results from an IQ/achievement discrepancy model. Each evaluation method is described below in Component 2:  Area of Concern and Evaluation Method.  </w:t>
      </w:r>
    </w:p>
    <w:p w14:paraId="6E29DC54" w14:textId="77777777" w:rsidR="000144B2" w:rsidRDefault="000144B2">
      <w:pPr>
        <w:pBdr>
          <w:top w:val="single" w:sz="4" w:space="1" w:color="auto"/>
          <w:left w:val="single" w:sz="4" w:space="17" w:color="auto"/>
          <w:bottom w:val="single" w:sz="4" w:space="7" w:color="auto"/>
          <w:right w:val="single" w:sz="4" w:space="4" w:color="auto"/>
        </w:pBdr>
        <w:ind w:left="360"/>
        <w:rPr>
          <w:rFonts w:ascii="Arial" w:hAnsi="Arial" w:cs="Arial"/>
          <w:sz w:val="20"/>
        </w:rPr>
      </w:pPr>
    </w:p>
    <w:p w14:paraId="56F67814" w14:textId="77777777" w:rsidR="000144B2" w:rsidRDefault="000144B2">
      <w:pPr>
        <w:numPr>
          <w:ilvl w:val="1"/>
          <w:numId w:val="13"/>
        </w:numPr>
        <w:pBdr>
          <w:top w:val="single" w:sz="4" w:space="1" w:color="auto"/>
          <w:left w:val="single" w:sz="4" w:space="17" w:color="auto"/>
          <w:bottom w:val="single" w:sz="4" w:space="7" w:color="auto"/>
          <w:right w:val="single" w:sz="4" w:space="4" w:color="auto"/>
        </w:pBdr>
        <w:tabs>
          <w:tab w:val="clear" w:pos="1440"/>
          <w:tab w:val="num" w:pos="720"/>
        </w:tabs>
        <w:ind w:left="720"/>
        <w:rPr>
          <w:rFonts w:ascii="Arial" w:hAnsi="Arial" w:cs="Arial"/>
          <w:sz w:val="20"/>
        </w:rPr>
      </w:pPr>
      <w:r>
        <w:rPr>
          <w:rFonts w:ascii="Arial" w:hAnsi="Arial" w:cs="Arial"/>
          <w:sz w:val="20"/>
        </w:rPr>
        <w:t xml:space="preserve">If </w:t>
      </w:r>
      <w:r>
        <w:rPr>
          <w:rFonts w:ascii="Arial" w:hAnsi="Arial" w:cs="Arial"/>
          <w:sz w:val="20"/>
          <w:u w:val="single"/>
        </w:rPr>
        <w:t>some, but not all</w:t>
      </w:r>
      <w:r>
        <w:rPr>
          <w:rFonts w:ascii="Arial" w:hAnsi="Arial" w:cs="Arial"/>
          <w:sz w:val="20"/>
        </w:rPr>
        <w:t xml:space="preserve"> of the aspects of the Historical Review </w:t>
      </w:r>
      <w:r>
        <w:rPr>
          <w:rFonts w:ascii="Arial" w:hAnsi="Arial" w:cs="Arial"/>
          <w:sz w:val="20"/>
          <w:u w:val="single"/>
        </w:rPr>
        <w:t>have been met</w:t>
      </w:r>
      <w:r>
        <w:rPr>
          <w:rFonts w:ascii="Arial" w:hAnsi="Arial" w:cs="Arial"/>
          <w:sz w:val="20"/>
        </w:rPr>
        <w:t xml:space="preserve">, and additional information is needed, then further information should be gathered within the general education setting during the evaluation period.  See </w:t>
      </w:r>
      <w:hyperlink r:id="rId13" w:history="1">
        <w:r w:rsidRPr="005D1134">
          <w:rPr>
            <w:rStyle w:val="Hyperlink"/>
            <w:rFonts w:ascii="Arial" w:hAnsi="Arial" w:cs="Arial"/>
            <w:sz w:val="20"/>
          </w:rPr>
          <w:t>SLD TA 3</w:t>
        </w:r>
      </w:hyperlink>
      <w:r>
        <w:rPr>
          <w:rFonts w:ascii="Arial" w:hAnsi="Arial" w:cs="Arial"/>
          <w:sz w:val="20"/>
        </w:rPr>
        <w:t xml:space="preserve"> for assistance in gathering the required information.  Concurrently, move forward with all other eligibility requirements.   </w:t>
      </w:r>
    </w:p>
    <w:p w14:paraId="486970F4" w14:textId="77777777" w:rsidR="000144B2" w:rsidRDefault="000144B2">
      <w:pPr>
        <w:pBdr>
          <w:top w:val="single" w:sz="4" w:space="1" w:color="auto"/>
          <w:left w:val="single" w:sz="4" w:space="17" w:color="auto"/>
          <w:bottom w:val="single" w:sz="4" w:space="7" w:color="auto"/>
          <w:right w:val="single" w:sz="4" w:space="4" w:color="auto"/>
        </w:pBdr>
        <w:ind w:left="360"/>
        <w:rPr>
          <w:rFonts w:ascii="Arial" w:hAnsi="Arial" w:cs="Arial"/>
          <w:sz w:val="20"/>
        </w:rPr>
      </w:pPr>
    </w:p>
    <w:p w14:paraId="101F2ABE" w14:textId="77777777" w:rsidR="000144B2" w:rsidRDefault="000144B2">
      <w:pPr>
        <w:numPr>
          <w:ilvl w:val="1"/>
          <w:numId w:val="13"/>
        </w:numPr>
        <w:pBdr>
          <w:top w:val="single" w:sz="4" w:space="1" w:color="auto"/>
          <w:left w:val="single" w:sz="4" w:space="17" w:color="auto"/>
          <w:bottom w:val="single" w:sz="4" w:space="7" w:color="auto"/>
          <w:right w:val="single" w:sz="4" w:space="4" w:color="auto"/>
        </w:pBdr>
        <w:tabs>
          <w:tab w:val="clear" w:pos="1440"/>
          <w:tab w:val="num" w:pos="720"/>
        </w:tabs>
        <w:ind w:left="720"/>
        <w:rPr>
          <w:rFonts w:ascii="Arial" w:hAnsi="Arial" w:cs="Arial"/>
          <w:sz w:val="20"/>
        </w:rPr>
      </w:pPr>
      <w:r>
        <w:rPr>
          <w:rFonts w:ascii="Arial" w:hAnsi="Arial" w:cs="Arial"/>
          <w:sz w:val="20"/>
        </w:rPr>
        <w:t xml:space="preserve">If information is </w:t>
      </w:r>
      <w:r>
        <w:rPr>
          <w:rFonts w:ascii="Arial" w:hAnsi="Arial" w:cs="Arial"/>
          <w:sz w:val="20"/>
          <w:u w:val="single"/>
        </w:rPr>
        <w:t>not available</w:t>
      </w:r>
      <w:r>
        <w:rPr>
          <w:rFonts w:ascii="Arial" w:hAnsi="Arial" w:cs="Arial"/>
          <w:sz w:val="20"/>
        </w:rPr>
        <w:t xml:space="preserve"> to assess the aspects of the Historical Review, the referral for special education evaluation should not go forward until the school has sufficient information to determine that the student has been given appropriate opportunities to learn in the general education environment.  This instruction should be delivered by qualified personnel and data-based documentation of repeated assessments that reflect the student’s progress should be collected.  This documentation is to be provided to the student’s parents.  See </w:t>
      </w:r>
      <w:hyperlink r:id="rId14" w:history="1">
        <w:r w:rsidRPr="005D1134">
          <w:rPr>
            <w:rStyle w:val="Hyperlink"/>
            <w:rFonts w:ascii="Arial" w:hAnsi="Arial" w:cs="Arial"/>
            <w:sz w:val="20"/>
          </w:rPr>
          <w:t>SLD TA 4</w:t>
        </w:r>
      </w:hyperlink>
      <w:r>
        <w:rPr>
          <w:rFonts w:ascii="Arial" w:hAnsi="Arial" w:cs="Arial"/>
          <w:sz w:val="20"/>
        </w:rPr>
        <w:t xml:space="preserve">.    </w:t>
      </w:r>
    </w:p>
    <w:p w14:paraId="16B7764B" w14:textId="77777777" w:rsidR="000144B2" w:rsidRDefault="000144B2">
      <w:pPr>
        <w:pStyle w:val="Heading4"/>
        <w:rPr>
          <w:sz w:val="20"/>
        </w:rPr>
      </w:pPr>
    </w:p>
    <w:p w14:paraId="1741E8BA" w14:textId="77777777" w:rsidR="000144B2" w:rsidRDefault="000144B2">
      <w:pPr>
        <w:pStyle w:val="Heading6"/>
        <w:rPr>
          <w:sz w:val="20"/>
        </w:rPr>
      </w:pPr>
      <w:r>
        <w:rPr>
          <w:sz w:val="20"/>
        </w:rPr>
        <w:t xml:space="preserve">Participation Skills </w:t>
      </w:r>
      <w:r>
        <w:rPr>
          <w:b w:val="0"/>
          <w:bCs w:val="0"/>
          <w:sz w:val="20"/>
        </w:rPr>
        <w:t xml:space="preserve">[603 CMR 28.04(2)(a)(2)(ii)] </w:t>
      </w:r>
      <w:r>
        <w:rPr>
          <w:b w:val="0"/>
          <w:bCs w:val="0"/>
          <w:sz w:val="20"/>
        </w:rPr>
        <w:tab/>
      </w:r>
      <w:r>
        <w:rPr>
          <w:b w:val="0"/>
          <w:bCs w:val="0"/>
          <w:sz w:val="20"/>
        </w:rPr>
        <w:tab/>
      </w:r>
      <w:r>
        <w:rPr>
          <w:b w:val="0"/>
          <w:bCs w:val="0"/>
          <w:sz w:val="20"/>
        </w:rPr>
        <w:tab/>
      </w:r>
      <w:r>
        <w:rPr>
          <w:b w:val="0"/>
          <w:bCs w:val="0"/>
          <w:sz w:val="20"/>
        </w:rPr>
        <w:tab/>
      </w:r>
    </w:p>
    <w:p w14:paraId="5689D400" w14:textId="5B2EE719" w:rsidR="000144B2" w:rsidRDefault="000144B2">
      <w:pPr>
        <w:pStyle w:val="BodyText2"/>
        <w:rPr>
          <w:sz w:val="20"/>
        </w:rPr>
      </w:pPr>
      <w:r>
        <w:rPr>
          <w:sz w:val="20"/>
        </w:rPr>
        <w:t xml:space="preserve">As part of the student’s educational history, the Team must be able to provide an assessment of the student’s attention skills, participation behaviors, communication skills, memory, and social relations with groups, peers, and adults.  Refer to </w:t>
      </w:r>
      <w:hyperlink r:id="rId15" w:history="1">
        <w:r w:rsidRPr="009409BE">
          <w:rPr>
            <w:rStyle w:val="Hyperlink"/>
            <w:sz w:val="20"/>
          </w:rPr>
          <w:t xml:space="preserve">Educational Assessment: Part </w:t>
        </w:r>
        <w:r w:rsidR="009409BE">
          <w:rPr>
            <w:rStyle w:val="Hyperlink"/>
            <w:sz w:val="20"/>
          </w:rPr>
          <w:t xml:space="preserve">A &amp; </w:t>
        </w:r>
        <w:r w:rsidRPr="009409BE">
          <w:rPr>
            <w:rStyle w:val="Hyperlink"/>
            <w:sz w:val="20"/>
          </w:rPr>
          <w:t xml:space="preserve">B (28R/1).   </w:t>
        </w:r>
      </w:hyperlink>
      <w:r>
        <w:rPr>
          <w:sz w:val="20"/>
        </w:rPr>
        <w:t xml:space="preserve"> </w:t>
      </w:r>
    </w:p>
    <w:p w14:paraId="0096F931" w14:textId="77777777" w:rsidR="000144B2" w:rsidRDefault="000144B2">
      <w:pPr>
        <w:rPr>
          <w:sz w:val="20"/>
        </w:rPr>
      </w:pPr>
    </w:p>
    <w:p w14:paraId="3AE28393" w14:textId="77777777" w:rsidR="000144B2" w:rsidRDefault="000144B2">
      <w:pPr>
        <w:pStyle w:val="Heading7"/>
        <w:rPr>
          <w:color w:val="auto"/>
        </w:rPr>
      </w:pPr>
      <w:r>
        <w:rPr>
          <w:color w:val="auto"/>
        </w:rPr>
        <w:t xml:space="preserve">Performance History </w:t>
      </w:r>
      <w:r>
        <w:rPr>
          <w:b w:val="0"/>
          <w:bCs w:val="0"/>
          <w:color w:val="auto"/>
        </w:rPr>
        <w:t xml:space="preserve">[603 CMR 28.04(2)(a)(2)(iii)] </w:t>
      </w:r>
      <w:r>
        <w:rPr>
          <w:b w:val="0"/>
          <w:bCs w:val="0"/>
          <w:color w:val="auto"/>
        </w:rPr>
        <w:tab/>
      </w:r>
      <w:r>
        <w:rPr>
          <w:b w:val="0"/>
          <w:bCs w:val="0"/>
          <w:color w:val="auto"/>
        </w:rPr>
        <w:tab/>
      </w:r>
      <w:r>
        <w:rPr>
          <w:b w:val="0"/>
          <w:bCs w:val="0"/>
          <w:color w:val="auto"/>
        </w:rPr>
        <w:tab/>
      </w:r>
      <w:r>
        <w:rPr>
          <w:b w:val="0"/>
          <w:bCs w:val="0"/>
          <w:color w:val="auto"/>
        </w:rPr>
        <w:tab/>
      </w:r>
    </w:p>
    <w:p w14:paraId="1EDE6FC7" w14:textId="77777777" w:rsidR="000144B2" w:rsidRDefault="000144B2">
      <w:pPr>
        <w:pStyle w:val="BodyText2"/>
        <w:rPr>
          <w:sz w:val="20"/>
        </w:rPr>
      </w:pPr>
      <w:r>
        <w:rPr>
          <w:sz w:val="20"/>
        </w:rPr>
        <w:t>As part of the student’s educational history, the Team must review supporting evidence within the area of concern that indicates the student has:</w:t>
      </w:r>
    </w:p>
    <w:p w14:paraId="5672EE46" w14:textId="77777777" w:rsidR="000144B2" w:rsidRDefault="000144B2">
      <w:pPr>
        <w:pStyle w:val="BodyText2"/>
        <w:numPr>
          <w:ilvl w:val="0"/>
          <w:numId w:val="15"/>
        </w:numPr>
        <w:rPr>
          <w:sz w:val="20"/>
        </w:rPr>
      </w:pPr>
      <w:r>
        <w:rPr>
          <w:sz w:val="20"/>
        </w:rPr>
        <w:t>consistently performed within the range of performance of same-age peers; or</w:t>
      </w:r>
    </w:p>
    <w:p w14:paraId="122BCA20" w14:textId="77777777" w:rsidR="000144B2" w:rsidRDefault="000144B2">
      <w:pPr>
        <w:pStyle w:val="BodyText2"/>
        <w:numPr>
          <w:ilvl w:val="0"/>
          <w:numId w:val="15"/>
        </w:numPr>
        <w:rPr>
          <w:sz w:val="20"/>
        </w:rPr>
      </w:pPr>
      <w:r>
        <w:rPr>
          <w:sz w:val="20"/>
        </w:rPr>
        <w:t>consistently performed better than same-age peers; or</w:t>
      </w:r>
    </w:p>
    <w:p w14:paraId="34F5E72C" w14:textId="77777777" w:rsidR="000144B2" w:rsidRDefault="000144B2">
      <w:pPr>
        <w:pStyle w:val="BodyText2"/>
        <w:numPr>
          <w:ilvl w:val="0"/>
          <w:numId w:val="15"/>
        </w:numPr>
        <w:rPr>
          <w:sz w:val="20"/>
        </w:rPr>
      </w:pPr>
      <w:r>
        <w:rPr>
          <w:sz w:val="20"/>
        </w:rPr>
        <w:t xml:space="preserve">consistently performed less well than same-age peers; or </w:t>
      </w:r>
    </w:p>
    <w:p w14:paraId="58B249A4" w14:textId="77777777" w:rsidR="000144B2" w:rsidRDefault="000144B2">
      <w:pPr>
        <w:pStyle w:val="BodyText2"/>
        <w:numPr>
          <w:ilvl w:val="0"/>
          <w:numId w:val="15"/>
        </w:numPr>
        <w:rPr>
          <w:sz w:val="20"/>
        </w:rPr>
      </w:pPr>
      <w:r>
        <w:rPr>
          <w:sz w:val="20"/>
        </w:rPr>
        <w:t>demonstrated inconsistent performance throughout his/her educational history.</w:t>
      </w:r>
    </w:p>
    <w:p w14:paraId="4ABFFD6E" w14:textId="1BA5B8EE" w:rsidR="000144B2" w:rsidRDefault="000144B2">
      <w:pPr>
        <w:pStyle w:val="BodyText2"/>
        <w:rPr>
          <w:sz w:val="20"/>
        </w:rPr>
      </w:pPr>
      <w:r>
        <w:rPr>
          <w:sz w:val="20"/>
        </w:rPr>
        <w:t xml:space="preserve">Refer to </w:t>
      </w:r>
      <w:hyperlink r:id="rId16" w:history="1">
        <w:r w:rsidRPr="009409BE">
          <w:rPr>
            <w:rStyle w:val="Hyperlink"/>
            <w:sz w:val="20"/>
          </w:rPr>
          <w:t>Educational Assessment: Part A</w:t>
        </w:r>
        <w:r w:rsidR="009409BE" w:rsidRPr="009409BE">
          <w:rPr>
            <w:rStyle w:val="Hyperlink"/>
            <w:sz w:val="20"/>
          </w:rPr>
          <w:t xml:space="preserve"> &amp; B</w:t>
        </w:r>
        <w:r w:rsidRPr="009409BE">
          <w:rPr>
            <w:rStyle w:val="Hyperlink"/>
            <w:sz w:val="20"/>
          </w:rPr>
          <w:t xml:space="preserve"> (28R/1).   </w:t>
        </w:r>
      </w:hyperlink>
      <w:r>
        <w:rPr>
          <w:sz w:val="20"/>
        </w:rPr>
        <w:t xml:space="preserve"> </w:t>
      </w:r>
    </w:p>
    <w:p w14:paraId="426A5188" w14:textId="77777777" w:rsidR="000144B2" w:rsidRDefault="000144B2">
      <w:pPr>
        <w:pStyle w:val="Heading1"/>
      </w:pPr>
    </w:p>
    <w:p w14:paraId="03C6AFD1" w14:textId="77777777" w:rsidR="000144B2" w:rsidRDefault="000144B2">
      <w:pPr>
        <w:pStyle w:val="Heading1"/>
        <w:rPr>
          <w:b w:val="0"/>
          <w:bCs w:val="0"/>
        </w:rPr>
      </w:pPr>
      <w:r>
        <w:t xml:space="preserve">Medical Information </w:t>
      </w:r>
      <w:r>
        <w:rPr>
          <w:b w:val="0"/>
          <w:bCs w:val="0"/>
        </w:rPr>
        <w:t xml:space="preserve">[34 CFR 300.311(a)(4)] and optional [603 28.04(2)(b)(1)] </w:t>
      </w:r>
    </w:p>
    <w:p w14:paraId="78539D7E" w14:textId="77777777" w:rsidR="000144B2" w:rsidRDefault="000144B2">
      <w:pPr>
        <w:rPr>
          <w:rFonts w:ascii="Arial" w:hAnsi="Arial" w:cs="Arial"/>
          <w:sz w:val="20"/>
        </w:rPr>
      </w:pPr>
      <w:r>
        <w:rPr>
          <w:rFonts w:ascii="Arial" w:hAnsi="Arial" w:cs="Arial"/>
          <w:sz w:val="20"/>
        </w:rPr>
        <w:t xml:space="preserve">As part of the required documentation, the Team must provide educationally relevant medical findings, if any.  The parent will most likely provide this information.  </w:t>
      </w:r>
    </w:p>
    <w:p w14:paraId="3ACDF04C" w14:textId="77777777" w:rsidR="000144B2" w:rsidRDefault="000144B2">
      <w:pPr>
        <w:rPr>
          <w:rFonts w:ascii="Arial" w:hAnsi="Arial" w:cs="Arial"/>
          <w:b/>
          <w:bCs/>
          <w:sz w:val="20"/>
        </w:rPr>
      </w:pPr>
    </w:p>
    <w:p w14:paraId="09886177" w14:textId="77777777" w:rsidR="000144B2" w:rsidRDefault="000144B2">
      <w:pPr>
        <w:rPr>
          <w:rFonts w:ascii="Arial" w:hAnsi="Arial" w:cs="Arial"/>
          <w:sz w:val="16"/>
        </w:rPr>
      </w:pPr>
      <w:r>
        <w:rPr>
          <w:rFonts w:ascii="Arial" w:hAnsi="Arial" w:cs="Arial"/>
          <w:sz w:val="16"/>
        </w:rPr>
        <w:t xml:space="preserve">* Indicates a new requirement for SLD eligibility as of IDEA 2004.  </w:t>
      </w:r>
    </w:p>
    <w:p w14:paraId="500FBB24" w14:textId="77777777" w:rsidR="000144B2" w:rsidRDefault="000144B2">
      <w:pPr>
        <w:rPr>
          <w:rFonts w:ascii="Arial" w:hAnsi="Arial" w:cs="Arial"/>
          <w:b/>
          <w:bCs/>
          <w:sz w:val="20"/>
        </w:rPr>
      </w:pPr>
    </w:p>
    <w:p w14:paraId="068B34AA" w14:textId="77777777" w:rsidR="000144B2" w:rsidRDefault="000144B2">
      <w:pPr>
        <w:pStyle w:val="Heading5"/>
        <w:pBdr>
          <w:top w:val="single" w:sz="4" w:space="0" w:color="auto"/>
        </w:pBdr>
        <w:shd w:val="clear" w:color="auto" w:fill="99CCFF"/>
        <w:tabs>
          <w:tab w:val="left" w:pos="2025"/>
        </w:tabs>
        <w:rPr>
          <w:sz w:val="20"/>
        </w:rPr>
      </w:pPr>
      <w:r>
        <w:rPr>
          <w:sz w:val="20"/>
        </w:rPr>
        <w:t xml:space="preserve">COMPONENT 2:  Area of Concern and Evaluation Method </w:t>
      </w:r>
    </w:p>
    <w:p w14:paraId="25701668" w14:textId="77777777" w:rsidR="000144B2" w:rsidRDefault="000144B2">
      <w:pPr>
        <w:pStyle w:val="Heading5"/>
        <w:pBdr>
          <w:top w:val="single" w:sz="4" w:space="0" w:color="auto"/>
        </w:pBdr>
        <w:shd w:val="clear" w:color="auto" w:fill="99CCFF"/>
        <w:tabs>
          <w:tab w:val="left" w:pos="2025"/>
        </w:tabs>
        <w:rPr>
          <w:b w:val="0"/>
          <w:bCs w:val="0"/>
          <w:sz w:val="20"/>
        </w:rPr>
      </w:pPr>
      <w:r>
        <w:rPr>
          <w:b w:val="0"/>
          <w:bCs w:val="0"/>
          <w:sz w:val="20"/>
        </w:rPr>
        <w:t xml:space="preserve">Documented on </w:t>
      </w:r>
      <w:hyperlink r:id="rId17" w:history="1">
        <w:r w:rsidRPr="00E04CCB">
          <w:rPr>
            <w:rStyle w:val="Hyperlink"/>
            <w:b w:val="0"/>
            <w:bCs w:val="0"/>
            <w:sz w:val="20"/>
          </w:rPr>
          <w:t>SLD 2</w:t>
        </w:r>
      </w:hyperlink>
      <w:r>
        <w:rPr>
          <w:b w:val="0"/>
          <w:bCs w:val="0"/>
          <w:sz w:val="20"/>
        </w:rPr>
        <w:t xml:space="preserve"> (blue)</w:t>
      </w:r>
    </w:p>
    <w:p w14:paraId="5818538B" w14:textId="77777777" w:rsidR="000144B2" w:rsidRDefault="000144B2"/>
    <w:p w14:paraId="3849EB71" w14:textId="77777777" w:rsidR="000144B2" w:rsidRDefault="000144B2">
      <w:pPr>
        <w:pStyle w:val="Heading4"/>
        <w:rPr>
          <w:sz w:val="20"/>
        </w:rPr>
      </w:pPr>
      <w:r>
        <w:rPr>
          <w:sz w:val="20"/>
        </w:rPr>
        <w:t xml:space="preserve">Area of Concern </w:t>
      </w:r>
      <w:r>
        <w:rPr>
          <w:b w:val="0"/>
          <w:bCs w:val="0"/>
          <w:sz w:val="20"/>
        </w:rPr>
        <w:t xml:space="preserve">[34 CFR 300.309(a)(1)] </w:t>
      </w:r>
      <w:r>
        <w:rPr>
          <w:b w:val="0"/>
          <w:bCs w:val="0"/>
          <w:sz w:val="20"/>
        </w:rPr>
        <w:tab/>
      </w:r>
      <w:r>
        <w:rPr>
          <w:b w:val="0"/>
          <w:bCs w:val="0"/>
          <w:sz w:val="20"/>
        </w:rPr>
        <w:tab/>
      </w:r>
      <w:r>
        <w:rPr>
          <w:b w:val="0"/>
          <w:bCs w:val="0"/>
          <w:sz w:val="20"/>
        </w:rPr>
        <w:tab/>
      </w:r>
      <w:r>
        <w:rPr>
          <w:b w:val="0"/>
          <w:bCs w:val="0"/>
          <w:sz w:val="20"/>
        </w:rPr>
        <w:tab/>
      </w:r>
    </w:p>
    <w:p w14:paraId="06DA0FC4" w14:textId="77777777" w:rsidR="000144B2" w:rsidRDefault="000144B2">
      <w:pPr>
        <w:pStyle w:val="BodyText3"/>
      </w:pPr>
      <w:r>
        <w:t xml:space="preserve">To determine the existence of a SLD the Team must establish that the student is not able to demonstrate the necessary processing skills to achieve adequately for his/her age or to meet ELA or Math Curriculum Framework standards when provided with appropriate learning experiences and instruction in one or more of the following areas:  </w:t>
      </w:r>
    </w:p>
    <w:p w14:paraId="769B9124" w14:textId="77777777" w:rsidR="000144B2" w:rsidRDefault="000144B2">
      <w:pPr>
        <w:numPr>
          <w:ilvl w:val="0"/>
          <w:numId w:val="9"/>
        </w:numPr>
        <w:rPr>
          <w:rFonts w:ascii="Arial" w:hAnsi="Arial" w:cs="Arial"/>
          <w:sz w:val="20"/>
        </w:rPr>
      </w:pPr>
      <w:r>
        <w:rPr>
          <w:rFonts w:ascii="Arial" w:hAnsi="Arial" w:cs="Arial"/>
          <w:sz w:val="20"/>
        </w:rPr>
        <w:t>Oral Expression</w:t>
      </w:r>
    </w:p>
    <w:p w14:paraId="491C0218" w14:textId="77777777" w:rsidR="000144B2" w:rsidRDefault="000144B2">
      <w:pPr>
        <w:numPr>
          <w:ilvl w:val="0"/>
          <w:numId w:val="9"/>
        </w:numPr>
        <w:rPr>
          <w:rFonts w:ascii="Arial" w:hAnsi="Arial" w:cs="Arial"/>
          <w:sz w:val="20"/>
        </w:rPr>
      </w:pPr>
      <w:r>
        <w:rPr>
          <w:rFonts w:ascii="Arial" w:hAnsi="Arial" w:cs="Arial"/>
          <w:sz w:val="20"/>
        </w:rPr>
        <w:t>Written Expression</w:t>
      </w:r>
      <w:r>
        <w:rPr>
          <w:rFonts w:ascii="Arial" w:hAnsi="Arial" w:cs="Arial"/>
          <w:sz w:val="20"/>
        </w:rPr>
        <w:tab/>
      </w:r>
      <w:r>
        <w:rPr>
          <w:rFonts w:ascii="Arial" w:hAnsi="Arial" w:cs="Arial"/>
          <w:sz w:val="20"/>
        </w:rPr>
        <w:tab/>
      </w:r>
    </w:p>
    <w:p w14:paraId="528941D6" w14:textId="77777777" w:rsidR="000144B2" w:rsidRDefault="000144B2">
      <w:pPr>
        <w:numPr>
          <w:ilvl w:val="0"/>
          <w:numId w:val="9"/>
        </w:numPr>
        <w:rPr>
          <w:rFonts w:ascii="Arial" w:hAnsi="Arial" w:cs="Arial"/>
          <w:sz w:val="20"/>
        </w:rPr>
      </w:pPr>
      <w:r>
        <w:rPr>
          <w:rFonts w:ascii="Arial" w:hAnsi="Arial" w:cs="Arial"/>
          <w:sz w:val="20"/>
        </w:rPr>
        <w:t xml:space="preserve">Basic </w:t>
      </w: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Skills</w:t>
      </w:r>
      <w:r>
        <w:rPr>
          <w:rFonts w:ascii="Arial" w:hAnsi="Arial" w:cs="Arial"/>
          <w:sz w:val="20"/>
        </w:rPr>
        <w:tab/>
      </w:r>
    </w:p>
    <w:p w14:paraId="76AF96E4" w14:textId="77777777" w:rsidR="000144B2" w:rsidRDefault="000144B2">
      <w:pPr>
        <w:numPr>
          <w:ilvl w:val="0"/>
          <w:numId w:val="9"/>
        </w:numPr>
        <w:rPr>
          <w:rFonts w:ascii="Arial" w:hAnsi="Arial" w:cs="Arial"/>
          <w:sz w:val="20"/>
        </w:rPr>
      </w:pPr>
      <w:r>
        <w:rPr>
          <w:rFonts w:ascii="Arial" w:hAnsi="Arial" w:cs="Arial"/>
          <w:sz w:val="20"/>
        </w:rPr>
        <w:t xml:space="preserve">Reading Comprehension </w:t>
      </w:r>
      <w:r>
        <w:rPr>
          <w:rFonts w:ascii="Arial" w:hAnsi="Arial" w:cs="Arial"/>
          <w:sz w:val="20"/>
        </w:rPr>
        <w:tab/>
      </w:r>
    </w:p>
    <w:p w14:paraId="493C9519" w14:textId="77777777" w:rsidR="000144B2" w:rsidRDefault="000144B2">
      <w:pPr>
        <w:numPr>
          <w:ilvl w:val="0"/>
          <w:numId w:val="9"/>
        </w:numPr>
        <w:rPr>
          <w:rFonts w:ascii="Arial" w:hAnsi="Arial" w:cs="Arial"/>
          <w:sz w:val="20"/>
        </w:rPr>
      </w:pPr>
      <w:r>
        <w:rPr>
          <w:rFonts w:ascii="Arial" w:hAnsi="Arial" w:cs="Arial"/>
          <w:sz w:val="20"/>
        </w:rPr>
        <w:t>Reading Fluency Skills</w:t>
      </w:r>
      <w:r>
        <w:rPr>
          <w:rFonts w:ascii="Arial" w:hAnsi="Arial" w:cs="Arial"/>
          <w:sz w:val="20"/>
        </w:rPr>
        <w:tab/>
      </w:r>
    </w:p>
    <w:p w14:paraId="3430CC0E" w14:textId="77777777" w:rsidR="000144B2" w:rsidRDefault="000144B2">
      <w:pPr>
        <w:numPr>
          <w:ilvl w:val="0"/>
          <w:numId w:val="9"/>
        </w:numPr>
        <w:rPr>
          <w:rFonts w:ascii="Arial" w:hAnsi="Arial" w:cs="Arial"/>
          <w:sz w:val="20"/>
        </w:rPr>
      </w:pPr>
      <w:r>
        <w:rPr>
          <w:rFonts w:ascii="Arial" w:hAnsi="Arial" w:cs="Arial"/>
          <w:sz w:val="20"/>
        </w:rPr>
        <w:t xml:space="preserve">Listening Comprehension </w:t>
      </w:r>
    </w:p>
    <w:p w14:paraId="4F11051C" w14:textId="77777777" w:rsidR="000144B2" w:rsidRDefault="000144B2">
      <w:pPr>
        <w:numPr>
          <w:ilvl w:val="0"/>
          <w:numId w:val="9"/>
        </w:numPr>
        <w:rPr>
          <w:rFonts w:ascii="Arial" w:hAnsi="Arial" w:cs="Arial"/>
          <w:sz w:val="20"/>
        </w:rPr>
      </w:pPr>
      <w:r>
        <w:rPr>
          <w:rFonts w:ascii="Arial" w:hAnsi="Arial" w:cs="Arial"/>
          <w:sz w:val="20"/>
        </w:rPr>
        <w:t>Mathematics Problem Solving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AFDDCB6" w14:textId="77777777" w:rsidR="000144B2" w:rsidRDefault="000144B2">
      <w:pPr>
        <w:numPr>
          <w:ilvl w:val="0"/>
          <w:numId w:val="9"/>
        </w:numPr>
        <w:rPr>
          <w:sz w:val="20"/>
        </w:rPr>
      </w:pPr>
      <w:r>
        <w:rPr>
          <w:rFonts w:ascii="Arial" w:hAnsi="Arial" w:cs="Arial"/>
          <w:sz w:val="20"/>
        </w:rPr>
        <w:t>Mathematics Calculation</w:t>
      </w:r>
    </w:p>
    <w:p w14:paraId="58090E47" w14:textId="77777777" w:rsidR="000144B2" w:rsidRDefault="000144B2">
      <w:pPr>
        <w:pStyle w:val="Heading2"/>
        <w:rPr>
          <w:sz w:val="20"/>
        </w:rPr>
      </w:pPr>
    </w:p>
    <w:p w14:paraId="6E75A3AA" w14:textId="77777777" w:rsidR="000144B2" w:rsidRDefault="000144B2">
      <w:pPr>
        <w:pStyle w:val="Heading2"/>
        <w:rPr>
          <w:sz w:val="20"/>
        </w:rPr>
      </w:pPr>
      <w:r>
        <w:rPr>
          <w:sz w:val="20"/>
        </w:rPr>
        <w:t xml:space="preserve">Evaluation Method </w:t>
      </w:r>
      <w:r>
        <w:rPr>
          <w:b w:val="0"/>
          <w:bCs w:val="0"/>
          <w:sz w:val="20"/>
        </w:rPr>
        <w:t xml:space="preserve">[34 CFR 300.307(a)] * </w:t>
      </w:r>
      <w:r>
        <w:rPr>
          <w:b w:val="0"/>
          <w:bCs w:val="0"/>
          <w:sz w:val="20"/>
        </w:rPr>
        <w:tab/>
      </w:r>
      <w:r>
        <w:rPr>
          <w:b w:val="0"/>
          <w:bCs w:val="0"/>
          <w:sz w:val="20"/>
        </w:rPr>
        <w:tab/>
      </w:r>
      <w:r>
        <w:rPr>
          <w:b w:val="0"/>
          <w:bCs w:val="0"/>
          <w:sz w:val="20"/>
        </w:rPr>
        <w:tab/>
      </w:r>
      <w:r>
        <w:rPr>
          <w:b w:val="0"/>
          <w:bCs w:val="0"/>
          <w:sz w:val="20"/>
        </w:rPr>
        <w:tab/>
      </w:r>
      <w:r>
        <w:rPr>
          <w:b w:val="0"/>
          <w:bCs w:val="0"/>
          <w:sz w:val="20"/>
        </w:rPr>
        <w:tab/>
      </w:r>
    </w:p>
    <w:p w14:paraId="3214A3D9" w14:textId="77777777" w:rsidR="000144B2" w:rsidRDefault="000144B2">
      <w:pPr>
        <w:pStyle w:val="BodyText2"/>
        <w:rPr>
          <w:sz w:val="20"/>
        </w:rPr>
      </w:pPr>
      <w:r>
        <w:rPr>
          <w:sz w:val="20"/>
        </w:rPr>
        <w:t xml:space="preserve">IDEA 2004 allows for a process of eligibility based on the student’s response to scientific, research-based intervention.  It does not require the completion of an IQ/ achievement discrepancy model, although it can be used at the district’s discretion.  </w:t>
      </w:r>
    </w:p>
    <w:p w14:paraId="5CDE95AB" w14:textId="77777777" w:rsidR="000144B2" w:rsidRDefault="000144B2">
      <w:pPr>
        <w:pStyle w:val="Heading2"/>
        <w:rPr>
          <w:b w:val="0"/>
          <w:bCs w:val="0"/>
          <w:sz w:val="20"/>
        </w:rPr>
      </w:pPr>
    </w:p>
    <w:p w14:paraId="6220B928" w14:textId="77777777" w:rsidR="000144B2" w:rsidRDefault="000144B2">
      <w:pPr>
        <w:pStyle w:val="Heading2"/>
        <w:rPr>
          <w:b w:val="0"/>
          <w:bCs w:val="0"/>
          <w:sz w:val="20"/>
        </w:rPr>
      </w:pPr>
      <w:r>
        <w:rPr>
          <w:b w:val="0"/>
          <w:bCs w:val="0"/>
          <w:sz w:val="20"/>
        </w:rPr>
        <w:t>A.  Response to Scientific, Research-Based Intervention</w:t>
      </w:r>
    </w:p>
    <w:p w14:paraId="1C6C0CEC" w14:textId="77777777" w:rsidR="000144B2" w:rsidRDefault="000144B2">
      <w:pPr>
        <w:pStyle w:val="BodyText2"/>
        <w:ind w:left="720"/>
        <w:rPr>
          <w:sz w:val="20"/>
        </w:rPr>
      </w:pPr>
      <w:r>
        <w:rPr>
          <w:sz w:val="20"/>
        </w:rPr>
        <w:t xml:space="preserve">Determine that the student is not making effective educational progress for his/her age or to meet ELA or Math Curriculum Framework standards when using a process based on the student’s response to scientific, research-based intervention.  This could be established through a research-based, Response to Intervention (RTI) model or a multi-tiered instruction process.  Districts are encouraged to consider this </w:t>
      </w:r>
      <w:r w:rsidR="00E04CCB">
        <w:rPr>
          <w:sz w:val="20"/>
        </w:rPr>
        <w:t>option;</w:t>
      </w:r>
      <w:r>
        <w:rPr>
          <w:sz w:val="20"/>
        </w:rPr>
        <w:t xml:space="preserve"> </w:t>
      </w:r>
      <w:r w:rsidR="003B5B23">
        <w:rPr>
          <w:sz w:val="20"/>
        </w:rPr>
        <w:t>however,</w:t>
      </w:r>
      <w:r>
        <w:rPr>
          <w:sz w:val="20"/>
        </w:rPr>
        <w:t xml:space="preserve"> the student should be participating in the process before the referral for evaluation occurs.  In addition to the data gathered through the response to scientific, research-based intervention process, supplementary data may be necessary.  The Team should consider the need for appropriate diagnostic tests that determine how the student learns and what is impeding learning.            </w:t>
      </w:r>
    </w:p>
    <w:p w14:paraId="783887F5" w14:textId="77777777" w:rsidR="000144B2" w:rsidRDefault="000144B2">
      <w:pPr>
        <w:tabs>
          <w:tab w:val="left" w:pos="720"/>
        </w:tabs>
        <w:rPr>
          <w:rFonts w:ascii="Arial" w:hAnsi="Arial" w:cs="Arial"/>
          <w:b/>
          <w:bCs/>
          <w:sz w:val="20"/>
        </w:rPr>
      </w:pPr>
    </w:p>
    <w:p w14:paraId="2BC4B41F" w14:textId="77777777" w:rsidR="000144B2" w:rsidRDefault="000144B2">
      <w:pPr>
        <w:pStyle w:val="BodyText2"/>
        <w:tabs>
          <w:tab w:val="left" w:pos="720"/>
        </w:tabs>
        <w:rPr>
          <w:sz w:val="20"/>
        </w:rPr>
      </w:pPr>
      <w:r>
        <w:rPr>
          <w:sz w:val="20"/>
        </w:rPr>
        <w:t>B.  IQ/Achievement Discrepancy Model</w:t>
      </w:r>
    </w:p>
    <w:p w14:paraId="343ED551" w14:textId="77777777" w:rsidR="000144B2" w:rsidRDefault="000144B2">
      <w:pPr>
        <w:pStyle w:val="BodyTextIndent2"/>
        <w:rPr>
          <w:sz w:val="20"/>
        </w:rPr>
      </w:pPr>
      <w:r>
        <w:rPr>
          <w:sz w:val="20"/>
        </w:rPr>
        <w:tab/>
        <w:t xml:space="preserve">Using appropriate assessments, determine that the student exhibits a pattern of strengths and weaknesses in performance, </w:t>
      </w:r>
      <w:r w:rsidR="00777A5D">
        <w:rPr>
          <w:sz w:val="20"/>
        </w:rPr>
        <w:t>achievement,</w:t>
      </w:r>
      <w:r>
        <w:rPr>
          <w:sz w:val="20"/>
        </w:rPr>
        <w:t xml:space="preserve"> or both, relative to age, or ELA or Math Curriculum Framework standards, or intellectual development.  This can be established through the implementation of technically sound assessment instruments that assess cognitive and behavioral factors as well as physical or developmental factors.  This is often referred to as the IQ/Achievement discrepancy model.  </w:t>
      </w:r>
    </w:p>
    <w:p w14:paraId="698A45E9" w14:textId="77777777" w:rsidR="000144B2" w:rsidRDefault="000144B2">
      <w:pPr>
        <w:pStyle w:val="BodyTextIndent2"/>
        <w:rPr>
          <w:sz w:val="20"/>
        </w:rPr>
      </w:pPr>
    </w:p>
    <w:p w14:paraId="78A8F267" w14:textId="77777777" w:rsidR="000144B2" w:rsidRDefault="000144B2">
      <w:pPr>
        <w:pStyle w:val="BodyTextIndent2"/>
        <w:rPr>
          <w:sz w:val="20"/>
        </w:rPr>
      </w:pPr>
    </w:p>
    <w:p w14:paraId="046855CE" w14:textId="77777777" w:rsidR="000144B2" w:rsidRDefault="000144B2">
      <w:pPr>
        <w:pStyle w:val="BodyTextIndent2"/>
        <w:rPr>
          <w:sz w:val="20"/>
        </w:rPr>
      </w:pPr>
    </w:p>
    <w:p w14:paraId="31B06108" w14:textId="77777777" w:rsidR="000144B2" w:rsidRDefault="000144B2">
      <w:pPr>
        <w:pStyle w:val="BodyTextIndent2"/>
        <w:rPr>
          <w:sz w:val="20"/>
        </w:rPr>
      </w:pPr>
    </w:p>
    <w:p w14:paraId="5687354A" w14:textId="77777777" w:rsidR="000144B2" w:rsidRDefault="000144B2">
      <w:pPr>
        <w:pStyle w:val="BodyTextIndent2"/>
        <w:rPr>
          <w:sz w:val="20"/>
        </w:rPr>
      </w:pPr>
    </w:p>
    <w:p w14:paraId="1C14395E" w14:textId="77777777" w:rsidR="000144B2" w:rsidRDefault="000144B2">
      <w:pPr>
        <w:pStyle w:val="BodyTextIndent2"/>
        <w:rPr>
          <w:sz w:val="20"/>
        </w:rPr>
      </w:pPr>
    </w:p>
    <w:p w14:paraId="4EE98AB0" w14:textId="77777777" w:rsidR="000144B2" w:rsidRDefault="000144B2">
      <w:pPr>
        <w:pStyle w:val="BodyTextIndent2"/>
        <w:rPr>
          <w:sz w:val="20"/>
        </w:rPr>
      </w:pPr>
    </w:p>
    <w:p w14:paraId="707A5CF9" w14:textId="77777777" w:rsidR="000144B2" w:rsidRDefault="000144B2">
      <w:pPr>
        <w:pStyle w:val="BodyTextIndent2"/>
        <w:rPr>
          <w:sz w:val="20"/>
        </w:rPr>
      </w:pPr>
    </w:p>
    <w:p w14:paraId="214DB0E6" w14:textId="77777777" w:rsidR="000144B2" w:rsidRDefault="000144B2">
      <w:pPr>
        <w:pStyle w:val="BodyTextIndent2"/>
        <w:ind w:left="0" w:firstLine="0"/>
        <w:rPr>
          <w:sz w:val="20"/>
        </w:rPr>
      </w:pPr>
    </w:p>
    <w:p w14:paraId="3C882585" w14:textId="77777777" w:rsidR="005F1EB9" w:rsidRDefault="005F1EB9">
      <w:pPr>
        <w:pStyle w:val="BodyTextIndent2"/>
        <w:ind w:left="0" w:firstLine="0"/>
        <w:rPr>
          <w:sz w:val="20"/>
        </w:rPr>
      </w:pPr>
    </w:p>
    <w:p w14:paraId="4E144179" w14:textId="77777777" w:rsidR="005F1EB9" w:rsidRDefault="005F1EB9">
      <w:pPr>
        <w:pStyle w:val="BodyTextIndent2"/>
        <w:ind w:left="0" w:firstLine="0"/>
        <w:rPr>
          <w:sz w:val="20"/>
        </w:rPr>
      </w:pPr>
    </w:p>
    <w:p w14:paraId="7A2096D8" w14:textId="77777777" w:rsidR="005F1EB9" w:rsidRDefault="005F1EB9">
      <w:pPr>
        <w:pStyle w:val="BodyTextIndent2"/>
        <w:ind w:left="0" w:firstLine="0"/>
        <w:rPr>
          <w:sz w:val="20"/>
        </w:rPr>
      </w:pPr>
    </w:p>
    <w:p w14:paraId="4F47DF25" w14:textId="77777777" w:rsidR="000144B2" w:rsidRDefault="000144B2">
      <w:pPr>
        <w:pStyle w:val="BodyTextIndent2"/>
        <w:rPr>
          <w:sz w:val="20"/>
        </w:rPr>
      </w:pPr>
    </w:p>
    <w:p w14:paraId="13485FE4" w14:textId="77777777" w:rsidR="000144B2" w:rsidRPr="003B5B23" w:rsidRDefault="000144B2" w:rsidP="003B5B23">
      <w:pPr>
        <w:pStyle w:val="BodyTextIndent2"/>
        <w:rPr>
          <w:sz w:val="16"/>
        </w:rPr>
      </w:pPr>
      <w:r>
        <w:rPr>
          <w:sz w:val="16"/>
        </w:rPr>
        <w:t xml:space="preserve"> * Indicates a new requirement for SLD eligibility as of IDEA 2004.   </w:t>
      </w:r>
      <w:r>
        <w:br w:type="page"/>
      </w:r>
    </w:p>
    <w:p w14:paraId="5A937250" w14:textId="77777777" w:rsidR="000144B2" w:rsidRDefault="000144B2">
      <w:pPr>
        <w:pStyle w:val="Heading5"/>
        <w:shd w:val="clear" w:color="auto" w:fill="FFCC00"/>
        <w:rPr>
          <w:sz w:val="20"/>
        </w:rPr>
      </w:pPr>
      <w:r>
        <w:rPr>
          <w:sz w:val="20"/>
        </w:rPr>
        <w:lastRenderedPageBreak/>
        <w:t xml:space="preserve">COMPONENT 3:  Exclusionary Factors </w:t>
      </w:r>
    </w:p>
    <w:p w14:paraId="659541A6" w14:textId="77777777" w:rsidR="000144B2" w:rsidRDefault="000144B2">
      <w:pPr>
        <w:pStyle w:val="Heading5"/>
        <w:shd w:val="clear" w:color="auto" w:fill="FFCC00"/>
        <w:rPr>
          <w:b w:val="0"/>
          <w:bCs w:val="0"/>
          <w:sz w:val="20"/>
        </w:rPr>
      </w:pPr>
      <w:r>
        <w:rPr>
          <w:b w:val="0"/>
          <w:bCs w:val="0"/>
          <w:sz w:val="20"/>
        </w:rPr>
        <w:t xml:space="preserve">Documented on </w:t>
      </w:r>
      <w:hyperlink r:id="rId18" w:history="1">
        <w:r w:rsidRPr="00E04CCB">
          <w:rPr>
            <w:rStyle w:val="Hyperlink"/>
            <w:b w:val="0"/>
            <w:bCs w:val="0"/>
            <w:sz w:val="20"/>
          </w:rPr>
          <w:t>SLD 3</w:t>
        </w:r>
      </w:hyperlink>
      <w:r>
        <w:rPr>
          <w:b w:val="0"/>
          <w:bCs w:val="0"/>
          <w:sz w:val="20"/>
        </w:rPr>
        <w:t xml:space="preserve"> (yellow)</w:t>
      </w:r>
    </w:p>
    <w:p w14:paraId="2A046E4C" w14:textId="77777777" w:rsidR="000144B2" w:rsidRDefault="000144B2">
      <w:pPr>
        <w:rPr>
          <w:rFonts w:ascii="Arial" w:hAnsi="Arial" w:cs="Arial"/>
          <w:b/>
          <w:bCs/>
          <w:sz w:val="20"/>
        </w:rPr>
      </w:pPr>
    </w:p>
    <w:p w14:paraId="07083028" w14:textId="77777777" w:rsidR="000144B2" w:rsidRDefault="000144B2">
      <w:pPr>
        <w:pStyle w:val="Heading4"/>
        <w:rPr>
          <w:sz w:val="20"/>
        </w:rPr>
      </w:pPr>
      <w:r>
        <w:rPr>
          <w:sz w:val="20"/>
        </w:rPr>
        <w:t xml:space="preserve">Exclusionary Factors </w:t>
      </w:r>
      <w:r>
        <w:rPr>
          <w:b w:val="0"/>
          <w:bCs w:val="0"/>
          <w:sz w:val="20"/>
        </w:rPr>
        <w:t xml:space="preserve">[34 CFR 300.309(a)(3)] </w:t>
      </w:r>
      <w:r>
        <w:rPr>
          <w:b w:val="0"/>
          <w:bCs w:val="0"/>
          <w:sz w:val="20"/>
        </w:rPr>
        <w:tab/>
      </w:r>
      <w:r>
        <w:rPr>
          <w:b w:val="0"/>
          <w:bCs w:val="0"/>
          <w:sz w:val="20"/>
        </w:rPr>
        <w:tab/>
      </w:r>
      <w:r>
        <w:rPr>
          <w:b w:val="0"/>
          <w:bCs w:val="0"/>
          <w:sz w:val="20"/>
        </w:rPr>
        <w:tab/>
      </w:r>
      <w:r>
        <w:rPr>
          <w:b w:val="0"/>
          <w:bCs w:val="0"/>
          <w:sz w:val="20"/>
        </w:rPr>
        <w:tab/>
      </w:r>
    </w:p>
    <w:p w14:paraId="602C1A23" w14:textId="77777777" w:rsidR="000144B2" w:rsidRDefault="000144B2">
      <w:pPr>
        <w:rPr>
          <w:rFonts w:ascii="Arial" w:hAnsi="Arial" w:cs="Arial"/>
          <w:sz w:val="20"/>
        </w:rPr>
      </w:pPr>
      <w:r>
        <w:rPr>
          <w:rFonts w:ascii="Arial" w:hAnsi="Arial" w:cs="Arial"/>
          <w:sz w:val="20"/>
        </w:rPr>
        <w:t xml:space="preserve">No matter what evaluation method used, the Team must ensure that the identified area of difficulty is not primarily the result of: </w:t>
      </w:r>
    </w:p>
    <w:p w14:paraId="16F3A5FB" w14:textId="77777777" w:rsidR="000144B2" w:rsidRDefault="000144B2">
      <w:pPr>
        <w:numPr>
          <w:ilvl w:val="0"/>
          <w:numId w:val="11"/>
        </w:numPr>
        <w:rPr>
          <w:rFonts w:ascii="Arial" w:hAnsi="Arial" w:cs="Arial"/>
          <w:sz w:val="20"/>
        </w:rPr>
      </w:pPr>
      <w:r>
        <w:rPr>
          <w:rFonts w:ascii="Arial" w:hAnsi="Arial" w:cs="Arial"/>
          <w:sz w:val="20"/>
        </w:rPr>
        <w:t xml:space="preserve">cultural factors; </w:t>
      </w:r>
    </w:p>
    <w:p w14:paraId="1C334BED" w14:textId="77777777" w:rsidR="000144B2" w:rsidRDefault="000144B2">
      <w:pPr>
        <w:numPr>
          <w:ilvl w:val="0"/>
          <w:numId w:val="11"/>
        </w:numPr>
        <w:rPr>
          <w:rFonts w:ascii="Arial" w:hAnsi="Arial" w:cs="Arial"/>
          <w:sz w:val="20"/>
        </w:rPr>
      </w:pPr>
      <w:r>
        <w:rPr>
          <w:rFonts w:ascii="Arial" w:hAnsi="Arial" w:cs="Arial"/>
          <w:sz w:val="20"/>
        </w:rPr>
        <w:t xml:space="preserve">an environmental or economic disadvantage;  </w:t>
      </w:r>
    </w:p>
    <w:p w14:paraId="76F49058" w14:textId="77777777" w:rsidR="000144B2" w:rsidRDefault="000144B2">
      <w:pPr>
        <w:numPr>
          <w:ilvl w:val="0"/>
          <w:numId w:val="11"/>
        </w:numPr>
        <w:rPr>
          <w:rFonts w:ascii="Arial" w:hAnsi="Arial" w:cs="Arial"/>
          <w:sz w:val="20"/>
        </w:rPr>
      </w:pPr>
      <w:r>
        <w:rPr>
          <w:rFonts w:ascii="Arial" w:hAnsi="Arial" w:cs="Arial"/>
          <w:sz w:val="20"/>
        </w:rPr>
        <w:t xml:space="preserve">limited English proficiency; </w:t>
      </w:r>
    </w:p>
    <w:p w14:paraId="1F528A97" w14:textId="77777777" w:rsidR="000144B2" w:rsidRDefault="000144B2">
      <w:pPr>
        <w:numPr>
          <w:ilvl w:val="0"/>
          <w:numId w:val="11"/>
        </w:numPr>
        <w:rPr>
          <w:rFonts w:ascii="Arial" w:hAnsi="Arial" w:cs="Arial"/>
          <w:sz w:val="20"/>
        </w:rPr>
      </w:pPr>
      <w:r>
        <w:rPr>
          <w:rFonts w:ascii="Arial" w:hAnsi="Arial" w:cs="Arial"/>
          <w:sz w:val="20"/>
        </w:rPr>
        <w:t xml:space="preserve">a visual, hearing, or motor disability;  </w:t>
      </w:r>
    </w:p>
    <w:p w14:paraId="3C9B77D5" w14:textId="77777777" w:rsidR="000144B2" w:rsidRDefault="00777A5D">
      <w:pPr>
        <w:numPr>
          <w:ilvl w:val="0"/>
          <w:numId w:val="11"/>
        </w:numPr>
        <w:rPr>
          <w:rFonts w:ascii="Arial" w:hAnsi="Arial" w:cs="Arial"/>
          <w:i/>
          <w:iCs/>
          <w:sz w:val="20"/>
        </w:rPr>
      </w:pPr>
      <w:r>
        <w:rPr>
          <w:rFonts w:ascii="Arial" w:hAnsi="Arial" w:cs="Arial"/>
          <w:sz w:val="20"/>
        </w:rPr>
        <w:t>intellectual disability</w:t>
      </w:r>
      <w:r w:rsidR="000144B2">
        <w:rPr>
          <w:rFonts w:ascii="Arial" w:hAnsi="Arial" w:cs="Arial"/>
          <w:sz w:val="20"/>
        </w:rPr>
        <w:t xml:space="preserve"> or</w:t>
      </w:r>
    </w:p>
    <w:p w14:paraId="3350E9F7" w14:textId="77777777" w:rsidR="000144B2" w:rsidRDefault="000144B2">
      <w:pPr>
        <w:numPr>
          <w:ilvl w:val="0"/>
          <w:numId w:val="11"/>
        </w:numPr>
        <w:rPr>
          <w:rFonts w:ascii="Arial" w:hAnsi="Arial" w:cs="Arial"/>
          <w:sz w:val="20"/>
        </w:rPr>
      </w:pPr>
      <w:r>
        <w:rPr>
          <w:rFonts w:ascii="Arial" w:hAnsi="Arial" w:cs="Arial"/>
          <w:sz w:val="20"/>
        </w:rPr>
        <w:t xml:space="preserve">an emotional </w:t>
      </w:r>
      <w:r w:rsidR="00777A5D">
        <w:rPr>
          <w:rFonts w:ascii="Arial" w:hAnsi="Arial" w:cs="Arial"/>
          <w:sz w:val="20"/>
        </w:rPr>
        <w:t>impairment.</w:t>
      </w:r>
    </w:p>
    <w:p w14:paraId="422C7C6D" w14:textId="77777777" w:rsidR="000144B2" w:rsidRDefault="000144B2">
      <w:pPr>
        <w:rPr>
          <w:rFonts w:ascii="Arial" w:hAnsi="Arial" w:cs="Arial"/>
          <w:sz w:val="20"/>
        </w:rPr>
      </w:pPr>
    </w:p>
    <w:p w14:paraId="3FAE3751" w14:textId="77777777" w:rsidR="000144B2" w:rsidRDefault="000144B2">
      <w:pPr>
        <w:pStyle w:val="Heading5"/>
        <w:shd w:val="clear" w:color="auto" w:fill="CC99FF"/>
        <w:rPr>
          <w:sz w:val="20"/>
        </w:rPr>
      </w:pPr>
      <w:r>
        <w:rPr>
          <w:sz w:val="20"/>
        </w:rPr>
        <w:t xml:space="preserve">COMPONENT 4:  Observation </w:t>
      </w:r>
    </w:p>
    <w:p w14:paraId="198CF07A" w14:textId="77777777" w:rsidR="000144B2" w:rsidRDefault="000144B2">
      <w:pPr>
        <w:pStyle w:val="Heading5"/>
        <w:shd w:val="clear" w:color="auto" w:fill="CC99FF"/>
        <w:rPr>
          <w:b w:val="0"/>
          <w:bCs w:val="0"/>
          <w:sz w:val="20"/>
        </w:rPr>
      </w:pPr>
      <w:r>
        <w:rPr>
          <w:b w:val="0"/>
          <w:bCs w:val="0"/>
          <w:sz w:val="20"/>
        </w:rPr>
        <w:t xml:space="preserve">Documented on </w:t>
      </w:r>
      <w:hyperlink r:id="rId19" w:history="1">
        <w:r w:rsidRPr="00E04CCB">
          <w:rPr>
            <w:rStyle w:val="Hyperlink"/>
            <w:b w:val="0"/>
            <w:bCs w:val="0"/>
            <w:sz w:val="20"/>
          </w:rPr>
          <w:t>SLD 4</w:t>
        </w:r>
        <w:r w:rsidR="00E04CCB" w:rsidRPr="00E04CCB">
          <w:rPr>
            <w:rStyle w:val="Hyperlink"/>
            <w:b w:val="0"/>
            <w:bCs w:val="0"/>
            <w:sz w:val="20"/>
          </w:rPr>
          <w:t xml:space="preserve"> PreK</w:t>
        </w:r>
      </w:hyperlink>
      <w:r w:rsidR="00E04CCB">
        <w:rPr>
          <w:b w:val="0"/>
          <w:bCs w:val="0"/>
          <w:sz w:val="20"/>
        </w:rPr>
        <w:t xml:space="preserve">, </w:t>
      </w:r>
      <w:hyperlink r:id="rId20" w:history="1">
        <w:r w:rsidR="00E04CCB" w:rsidRPr="00E04CCB">
          <w:rPr>
            <w:rStyle w:val="Hyperlink"/>
            <w:b w:val="0"/>
            <w:bCs w:val="0"/>
            <w:sz w:val="20"/>
          </w:rPr>
          <w:t>SLD 4 GRD 1-4</w:t>
        </w:r>
      </w:hyperlink>
      <w:r w:rsidR="00E04CCB">
        <w:rPr>
          <w:b w:val="0"/>
          <w:bCs w:val="0"/>
          <w:sz w:val="20"/>
        </w:rPr>
        <w:t xml:space="preserve">, </w:t>
      </w:r>
      <w:hyperlink r:id="rId21" w:history="1">
        <w:r w:rsidR="00E04CCB" w:rsidRPr="00E04CCB">
          <w:rPr>
            <w:rStyle w:val="Hyperlink"/>
            <w:b w:val="0"/>
            <w:bCs w:val="0"/>
            <w:sz w:val="20"/>
          </w:rPr>
          <w:t>SLD GRD 5-8</w:t>
        </w:r>
      </w:hyperlink>
      <w:r w:rsidR="00E04CCB">
        <w:rPr>
          <w:b w:val="0"/>
          <w:bCs w:val="0"/>
          <w:sz w:val="20"/>
        </w:rPr>
        <w:t xml:space="preserve">, </w:t>
      </w:r>
      <w:hyperlink r:id="rId22" w:history="1">
        <w:r w:rsidR="00E04CCB" w:rsidRPr="00E04CCB">
          <w:rPr>
            <w:rStyle w:val="Hyperlink"/>
            <w:b w:val="0"/>
            <w:bCs w:val="0"/>
            <w:sz w:val="20"/>
          </w:rPr>
          <w:t>SLD GRD 9-12</w:t>
        </w:r>
      </w:hyperlink>
      <w:r w:rsidR="00E04CCB">
        <w:rPr>
          <w:b w:val="0"/>
          <w:bCs w:val="0"/>
          <w:sz w:val="20"/>
        </w:rPr>
        <w:t xml:space="preserve"> </w:t>
      </w:r>
      <w:r>
        <w:rPr>
          <w:b w:val="0"/>
          <w:bCs w:val="0"/>
          <w:sz w:val="20"/>
        </w:rPr>
        <w:t>(purple)</w:t>
      </w:r>
    </w:p>
    <w:p w14:paraId="4EF227D3" w14:textId="77777777" w:rsidR="000144B2" w:rsidRDefault="000144B2"/>
    <w:p w14:paraId="3AEEA9A3" w14:textId="77777777" w:rsidR="000144B2" w:rsidRDefault="000144B2">
      <w:pPr>
        <w:pStyle w:val="Heading4"/>
        <w:rPr>
          <w:sz w:val="20"/>
        </w:rPr>
      </w:pPr>
      <w:r>
        <w:rPr>
          <w:sz w:val="20"/>
        </w:rPr>
        <w:t xml:space="preserve">Observation </w:t>
      </w:r>
      <w:r>
        <w:rPr>
          <w:b w:val="0"/>
          <w:bCs w:val="0"/>
          <w:sz w:val="20"/>
        </w:rPr>
        <w:t xml:space="preserve">[34 CFR 300.310] </w:t>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p>
    <w:p w14:paraId="70EE9FD7" w14:textId="77777777" w:rsidR="000144B2" w:rsidRDefault="000144B2">
      <w:pPr>
        <w:rPr>
          <w:rFonts w:ascii="Arial" w:hAnsi="Arial" w:cs="Arial"/>
          <w:sz w:val="20"/>
        </w:rPr>
      </w:pPr>
      <w:r>
        <w:rPr>
          <w:rFonts w:ascii="Arial" w:hAnsi="Arial" w:cs="Arial"/>
          <w:sz w:val="20"/>
        </w:rPr>
        <w:t xml:space="preserve">The student must be observed in his/her natural learning environment to document academic performance and behavior in the area(s) of difficulty.  An observation can be conducted after the student has been referred for evaluation, or information from an observation in routine classroom instruction that was done before the student was referred for an evaluation can be used.   If the student is less than school age (3-5 years old) the observation must be done in the student’s natural environment.  </w:t>
      </w:r>
    </w:p>
    <w:p w14:paraId="0D76DBD7" w14:textId="77777777" w:rsidR="000144B2" w:rsidRDefault="000144B2">
      <w:pPr>
        <w:rPr>
          <w:rFonts w:ascii="Arial" w:hAnsi="Arial" w:cs="Arial"/>
          <w:sz w:val="20"/>
        </w:rPr>
      </w:pPr>
    </w:p>
    <w:sectPr w:rsidR="000144B2" w:rsidSect="0074115C">
      <w:headerReference w:type="default" r:id="rId23"/>
      <w:footerReference w:type="default" r:id="rId24"/>
      <w:pgSz w:w="12240" w:h="15840" w:code="1"/>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E491F" w14:textId="77777777" w:rsidR="00BA35C3" w:rsidRDefault="00BA35C3">
      <w:r>
        <w:separator/>
      </w:r>
    </w:p>
  </w:endnote>
  <w:endnote w:type="continuationSeparator" w:id="0">
    <w:p w14:paraId="54F72803" w14:textId="77777777" w:rsidR="00BA35C3" w:rsidRDefault="00BA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9B1B" w14:textId="77777777" w:rsidR="00011F90" w:rsidRDefault="00011F90">
    <w:pPr>
      <w:pStyle w:val="Footer"/>
      <w:rPr>
        <w:rFonts w:ascii="Arial" w:hAnsi="Arial" w:cs="Arial"/>
        <w:sz w:val="20"/>
      </w:rPr>
    </w:pPr>
  </w:p>
  <w:p w14:paraId="2E923F24" w14:textId="77777777" w:rsidR="00011F90" w:rsidRDefault="00011F90">
    <w:pPr>
      <w:pStyle w:val="Footer"/>
      <w:jc w:val="right"/>
      <w:rPr>
        <w:rFonts w:ascii="Arial" w:hAnsi="Arial" w:cs="Arial"/>
        <w:sz w:val="20"/>
      </w:rPr>
    </w:pPr>
    <w:r>
      <w:rPr>
        <w:rFonts w:ascii="Arial" w:hAnsi="Arial" w:cs="Arial"/>
        <w:sz w:val="20"/>
      </w:rPr>
      <w:t>SLD TA 1</w:t>
    </w:r>
  </w:p>
  <w:p w14:paraId="3B8D03DF" w14:textId="77777777" w:rsidR="00011F90" w:rsidRDefault="00011F90">
    <w:pPr>
      <w:pStyle w:val="Footer"/>
      <w:jc w:val="right"/>
      <w:rPr>
        <w:rFonts w:ascii="Arial" w:hAnsi="Arial" w:cs="Arial"/>
        <w:sz w:val="20"/>
      </w:rPr>
    </w:pPr>
    <w:r>
      <w:rPr>
        <w:rFonts w:ascii="Arial" w:hAnsi="Arial" w:cs="Arial"/>
        <w:sz w:val="20"/>
      </w:rPr>
      <w:t xml:space="preserve">Page </w:t>
    </w:r>
    <w:r w:rsidR="0074115C">
      <w:rPr>
        <w:rFonts w:ascii="Arial" w:hAnsi="Arial" w:cs="Arial"/>
        <w:sz w:val="20"/>
      </w:rPr>
      <w:fldChar w:fldCharType="begin"/>
    </w:r>
    <w:r>
      <w:rPr>
        <w:rFonts w:ascii="Arial" w:hAnsi="Arial" w:cs="Arial"/>
        <w:sz w:val="20"/>
      </w:rPr>
      <w:instrText xml:space="preserve"> PAGE </w:instrText>
    </w:r>
    <w:r w:rsidR="0074115C">
      <w:rPr>
        <w:rFonts w:ascii="Arial" w:hAnsi="Arial" w:cs="Arial"/>
        <w:sz w:val="20"/>
      </w:rPr>
      <w:fldChar w:fldCharType="separate"/>
    </w:r>
    <w:r w:rsidR="00545D2A">
      <w:rPr>
        <w:rFonts w:ascii="Arial" w:hAnsi="Arial" w:cs="Arial"/>
        <w:noProof/>
        <w:sz w:val="20"/>
      </w:rPr>
      <w:t>2</w:t>
    </w:r>
    <w:r w:rsidR="0074115C">
      <w:rPr>
        <w:rFonts w:ascii="Arial" w:hAnsi="Arial" w:cs="Arial"/>
        <w:sz w:val="20"/>
      </w:rPr>
      <w:fldChar w:fldCharType="end"/>
    </w:r>
    <w:r>
      <w:rPr>
        <w:rFonts w:ascii="Arial" w:hAnsi="Arial" w:cs="Arial"/>
        <w:sz w:val="20"/>
      </w:rPr>
      <w:t xml:space="preserve"> of </w:t>
    </w:r>
    <w:r w:rsidR="0074115C">
      <w:rPr>
        <w:rFonts w:ascii="Arial" w:hAnsi="Arial" w:cs="Arial"/>
        <w:sz w:val="20"/>
      </w:rPr>
      <w:fldChar w:fldCharType="begin"/>
    </w:r>
    <w:r>
      <w:rPr>
        <w:rFonts w:ascii="Arial" w:hAnsi="Arial" w:cs="Arial"/>
        <w:sz w:val="20"/>
      </w:rPr>
      <w:instrText xml:space="preserve"> NUMPAGES </w:instrText>
    </w:r>
    <w:r w:rsidR="0074115C">
      <w:rPr>
        <w:rFonts w:ascii="Arial" w:hAnsi="Arial" w:cs="Arial"/>
        <w:sz w:val="20"/>
      </w:rPr>
      <w:fldChar w:fldCharType="separate"/>
    </w:r>
    <w:r w:rsidR="00545D2A">
      <w:rPr>
        <w:rFonts w:ascii="Arial" w:hAnsi="Arial" w:cs="Arial"/>
        <w:noProof/>
        <w:sz w:val="20"/>
      </w:rPr>
      <w:t>4</w:t>
    </w:r>
    <w:r w:rsidR="0074115C">
      <w:rP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2F551" w14:textId="77777777" w:rsidR="00BA35C3" w:rsidRDefault="00BA35C3">
      <w:r>
        <w:separator/>
      </w:r>
    </w:p>
  </w:footnote>
  <w:footnote w:type="continuationSeparator" w:id="0">
    <w:p w14:paraId="6025F773" w14:textId="77777777" w:rsidR="00BA35C3" w:rsidRDefault="00BA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6061" w14:textId="77777777" w:rsidR="00011F90" w:rsidRDefault="00011F90">
    <w:pPr>
      <w:pStyle w:val="Header"/>
      <w:jc w:val="center"/>
      <w:rPr>
        <w:rFonts w:ascii="Arial" w:hAnsi="Arial" w:cs="Arial"/>
        <w:b/>
        <w:bCs/>
        <w:sz w:val="28"/>
      </w:rPr>
    </w:pPr>
    <w:r>
      <w:rPr>
        <w:rFonts w:ascii="Arial" w:hAnsi="Arial" w:cs="Arial"/>
        <w:b/>
        <w:bCs/>
        <w:sz w:val="28"/>
      </w:rPr>
      <w:t>Specific Learning Disability</w:t>
    </w:r>
  </w:p>
  <w:p w14:paraId="56822122" w14:textId="77777777" w:rsidR="00011F90" w:rsidRDefault="00011F90">
    <w:pPr>
      <w:pStyle w:val="Header"/>
      <w:jc w:val="center"/>
    </w:pPr>
    <w:r>
      <w:rPr>
        <w:rFonts w:ascii="Arial" w:hAnsi="Arial" w:cs="Arial"/>
        <w:b/>
        <w:bCs/>
        <w:sz w:val="28"/>
      </w:rPr>
      <w:t>Eligibility Requirements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89B"/>
    <w:multiLevelType w:val="hybridMultilevel"/>
    <w:tmpl w:val="A9B06A22"/>
    <w:lvl w:ilvl="0" w:tplc="04090015">
      <w:start w:val="1"/>
      <w:numFmt w:val="upperLetter"/>
      <w:lvlText w:val="%1."/>
      <w:lvlJc w:val="left"/>
      <w:pPr>
        <w:tabs>
          <w:tab w:val="num" w:pos="720"/>
        </w:tabs>
        <w:ind w:left="720" w:hanging="360"/>
      </w:pPr>
    </w:lvl>
    <w:lvl w:ilvl="1" w:tplc="FC7481CE">
      <w:start w:val="1"/>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1E3704"/>
    <w:multiLevelType w:val="hybridMultilevel"/>
    <w:tmpl w:val="9E6E69F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832A34"/>
    <w:multiLevelType w:val="hybridMultilevel"/>
    <w:tmpl w:val="72F47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94751"/>
    <w:multiLevelType w:val="hybridMultilevel"/>
    <w:tmpl w:val="6A0CC4AE"/>
    <w:lvl w:ilvl="0" w:tplc="FDA2B8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05C16"/>
    <w:multiLevelType w:val="hybridMultilevel"/>
    <w:tmpl w:val="9A342A3A"/>
    <w:lvl w:ilvl="0" w:tplc="0F2C69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161E0A"/>
    <w:multiLevelType w:val="hybridMultilevel"/>
    <w:tmpl w:val="4796A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903AA"/>
    <w:multiLevelType w:val="hybridMultilevel"/>
    <w:tmpl w:val="B5D899CA"/>
    <w:lvl w:ilvl="0" w:tplc="476A3B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367FE4"/>
    <w:multiLevelType w:val="hybridMultilevel"/>
    <w:tmpl w:val="23A01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05A5A"/>
    <w:multiLevelType w:val="hybridMultilevel"/>
    <w:tmpl w:val="11EAABC0"/>
    <w:lvl w:ilvl="0" w:tplc="D0E696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75353C"/>
    <w:multiLevelType w:val="hybridMultilevel"/>
    <w:tmpl w:val="FF62F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877F3"/>
    <w:multiLevelType w:val="hybridMultilevel"/>
    <w:tmpl w:val="139EFCEE"/>
    <w:lvl w:ilvl="0" w:tplc="04090015">
      <w:start w:val="1"/>
      <w:numFmt w:val="upp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801B9"/>
    <w:multiLevelType w:val="hybridMultilevel"/>
    <w:tmpl w:val="40BA8712"/>
    <w:lvl w:ilvl="0" w:tplc="BF6077E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07239B"/>
    <w:multiLevelType w:val="hybridMultilevel"/>
    <w:tmpl w:val="31888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F7303"/>
    <w:multiLevelType w:val="hybridMultilevel"/>
    <w:tmpl w:val="139EF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477CBB"/>
    <w:multiLevelType w:val="hybridMultilevel"/>
    <w:tmpl w:val="D8CA7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11"/>
  </w:num>
  <w:num w:numId="6">
    <w:abstractNumId w:val="4"/>
  </w:num>
  <w:num w:numId="7">
    <w:abstractNumId w:val="6"/>
  </w:num>
  <w:num w:numId="8">
    <w:abstractNumId w:val="8"/>
  </w:num>
  <w:num w:numId="9">
    <w:abstractNumId w:val="2"/>
  </w:num>
  <w:num w:numId="10">
    <w:abstractNumId w:val="12"/>
  </w:num>
  <w:num w:numId="11">
    <w:abstractNumId w:val="14"/>
  </w:num>
  <w:num w:numId="12">
    <w:abstractNumId w:val="13"/>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D6"/>
    <w:rsid w:val="00011F90"/>
    <w:rsid w:val="000144B2"/>
    <w:rsid w:val="000213C5"/>
    <w:rsid w:val="0006050A"/>
    <w:rsid w:val="000839C8"/>
    <w:rsid w:val="00101CD1"/>
    <w:rsid w:val="00134531"/>
    <w:rsid w:val="0018704F"/>
    <w:rsid w:val="003075C1"/>
    <w:rsid w:val="00362ED9"/>
    <w:rsid w:val="00396838"/>
    <w:rsid w:val="003B5B23"/>
    <w:rsid w:val="003B7ED6"/>
    <w:rsid w:val="003E05F9"/>
    <w:rsid w:val="0044365E"/>
    <w:rsid w:val="00514FD6"/>
    <w:rsid w:val="00545D2A"/>
    <w:rsid w:val="005D1134"/>
    <w:rsid w:val="005F1EB9"/>
    <w:rsid w:val="0064319C"/>
    <w:rsid w:val="0074115C"/>
    <w:rsid w:val="00777A5D"/>
    <w:rsid w:val="0093289A"/>
    <w:rsid w:val="009409BE"/>
    <w:rsid w:val="00983B61"/>
    <w:rsid w:val="00A64C6D"/>
    <w:rsid w:val="00AB5E4E"/>
    <w:rsid w:val="00B0202A"/>
    <w:rsid w:val="00B77E05"/>
    <w:rsid w:val="00B97457"/>
    <w:rsid w:val="00BA35C3"/>
    <w:rsid w:val="00BC04A8"/>
    <w:rsid w:val="00C87E1A"/>
    <w:rsid w:val="00D17E86"/>
    <w:rsid w:val="00DD6742"/>
    <w:rsid w:val="00E04CCB"/>
    <w:rsid w:val="00E64139"/>
    <w:rsid w:val="00E9196E"/>
    <w:rsid w:val="00F273A6"/>
    <w:rsid w:val="00F37E22"/>
    <w:rsid w:val="00F751AB"/>
    <w:rsid w:val="00F77468"/>
    <w:rsid w:val="00FD5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2131A9"/>
  <w15:docId w15:val="{2BF89EA4-3D76-44A4-8A56-FF0DD2C4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15C"/>
    <w:rPr>
      <w:sz w:val="24"/>
      <w:szCs w:val="24"/>
    </w:rPr>
  </w:style>
  <w:style w:type="paragraph" w:styleId="Heading1">
    <w:name w:val="heading 1"/>
    <w:basedOn w:val="Normal"/>
    <w:next w:val="Normal"/>
    <w:qFormat/>
    <w:rsid w:val="0074115C"/>
    <w:pPr>
      <w:keepNext/>
      <w:outlineLvl w:val="0"/>
    </w:pPr>
    <w:rPr>
      <w:rFonts w:ascii="Arial" w:hAnsi="Arial" w:cs="Arial"/>
      <w:b/>
      <w:bCs/>
      <w:sz w:val="20"/>
    </w:rPr>
  </w:style>
  <w:style w:type="paragraph" w:styleId="Heading2">
    <w:name w:val="heading 2"/>
    <w:basedOn w:val="Normal"/>
    <w:next w:val="Normal"/>
    <w:qFormat/>
    <w:rsid w:val="0074115C"/>
    <w:pPr>
      <w:keepNext/>
      <w:outlineLvl w:val="1"/>
    </w:pPr>
    <w:rPr>
      <w:rFonts w:ascii="Arial" w:hAnsi="Arial" w:cs="Arial"/>
      <w:b/>
      <w:bCs/>
    </w:rPr>
  </w:style>
  <w:style w:type="paragraph" w:styleId="Heading3">
    <w:name w:val="heading 3"/>
    <w:basedOn w:val="Normal"/>
    <w:next w:val="Normal"/>
    <w:qFormat/>
    <w:rsid w:val="0074115C"/>
    <w:pPr>
      <w:keepNext/>
      <w:jc w:val="right"/>
      <w:outlineLvl w:val="2"/>
    </w:pPr>
    <w:rPr>
      <w:rFonts w:ascii="Arial" w:hAnsi="Arial" w:cs="Arial"/>
      <w:b/>
      <w:bCs/>
    </w:rPr>
  </w:style>
  <w:style w:type="paragraph" w:styleId="Heading4">
    <w:name w:val="heading 4"/>
    <w:basedOn w:val="Normal"/>
    <w:next w:val="Normal"/>
    <w:qFormat/>
    <w:rsid w:val="0074115C"/>
    <w:pPr>
      <w:keepNext/>
      <w:outlineLvl w:val="3"/>
    </w:pPr>
    <w:rPr>
      <w:rFonts w:ascii="Arial" w:hAnsi="Arial" w:cs="Arial"/>
      <w:b/>
      <w:bCs/>
      <w:sz w:val="22"/>
    </w:rPr>
  </w:style>
  <w:style w:type="paragraph" w:styleId="Heading5">
    <w:name w:val="heading 5"/>
    <w:basedOn w:val="Normal"/>
    <w:next w:val="Normal"/>
    <w:qFormat/>
    <w:rsid w:val="0074115C"/>
    <w:pPr>
      <w:keepNext/>
      <w:pBdr>
        <w:top w:val="single" w:sz="4" w:space="1" w:color="auto"/>
        <w:left w:val="single" w:sz="4" w:space="4" w:color="auto"/>
        <w:bottom w:val="single" w:sz="4" w:space="1" w:color="auto"/>
        <w:right w:val="single" w:sz="4" w:space="4" w:color="auto"/>
      </w:pBdr>
      <w:shd w:val="clear" w:color="auto" w:fill="C0C0C0"/>
      <w:jc w:val="center"/>
      <w:outlineLvl w:val="4"/>
    </w:pPr>
    <w:rPr>
      <w:rFonts w:ascii="Arial" w:hAnsi="Arial" w:cs="Arial"/>
      <w:b/>
      <w:bCs/>
      <w:sz w:val="22"/>
    </w:rPr>
  </w:style>
  <w:style w:type="paragraph" w:styleId="Heading6">
    <w:name w:val="heading 6"/>
    <w:basedOn w:val="Normal"/>
    <w:next w:val="Normal"/>
    <w:qFormat/>
    <w:rsid w:val="0074115C"/>
    <w:pPr>
      <w:keepNext/>
      <w:outlineLvl w:val="5"/>
    </w:pPr>
    <w:rPr>
      <w:rFonts w:ascii="Arial" w:hAnsi="Arial" w:cs="Arial"/>
      <w:b/>
      <w:bCs/>
      <w:sz w:val="21"/>
    </w:rPr>
  </w:style>
  <w:style w:type="paragraph" w:styleId="Heading7">
    <w:name w:val="heading 7"/>
    <w:basedOn w:val="Normal"/>
    <w:next w:val="Normal"/>
    <w:qFormat/>
    <w:rsid w:val="0074115C"/>
    <w:pPr>
      <w:keepNext/>
      <w:outlineLvl w:val="6"/>
    </w:pPr>
    <w:rPr>
      <w:rFonts w:ascii="Arial" w:hAnsi="Arial" w:cs="Arial"/>
      <w:b/>
      <w:bCs/>
      <w:color w:val="0000FF"/>
      <w:sz w:val="20"/>
    </w:rPr>
  </w:style>
  <w:style w:type="paragraph" w:styleId="Heading8">
    <w:name w:val="heading 8"/>
    <w:basedOn w:val="Normal"/>
    <w:next w:val="Normal"/>
    <w:qFormat/>
    <w:rsid w:val="0074115C"/>
    <w:pPr>
      <w:keepNext/>
      <w:jc w:val="right"/>
      <w:outlineLvl w:val="7"/>
    </w:pPr>
    <w:rPr>
      <w:rFonts w:ascii="Arial" w:hAnsi="Arial" w:cs="Arial"/>
      <w:b/>
      <w:bCs/>
      <w:color w:val="0000FF"/>
      <w:sz w:val="20"/>
    </w:rPr>
  </w:style>
  <w:style w:type="paragraph" w:styleId="Heading9">
    <w:name w:val="heading 9"/>
    <w:basedOn w:val="Normal"/>
    <w:next w:val="Normal"/>
    <w:qFormat/>
    <w:rsid w:val="0074115C"/>
    <w:pPr>
      <w:keepNext/>
      <w:jc w:val="righ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4115C"/>
    <w:rPr>
      <w:rFonts w:ascii="Arial" w:hAnsi="Arial" w:cs="Arial"/>
      <w:sz w:val="22"/>
    </w:rPr>
  </w:style>
  <w:style w:type="paragraph" w:styleId="BodyText">
    <w:name w:val="Body Text"/>
    <w:basedOn w:val="Normal"/>
    <w:rsid w:val="0074115C"/>
    <w:pPr>
      <w:jc w:val="center"/>
    </w:pPr>
    <w:rPr>
      <w:rFonts w:ascii="Arial" w:hAnsi="Arial" w:cs="Arial"/>
      <w:i/>
      <w:iCs/>
      <w:sz w:val="22"/>
    </w:rPr>
  </w:style>
  <w:style w:type="paragraph" w:styleId="BodyText3">
    <w:name w:val="Body Text 3"/>
    <w:basedOn w:val="Normal"/>
    <w:rsid w:val="0074115C"/>
    <w:rPr>
      <w:rFonts w:ascii="Arial" w:hAnsi="Arial" w:cs="Arial"/>
      <w:sz w:val="20"/>
    </w:rPr>
  </w:style>
  <w:style w:type="paragraph" w:styleId="Header">
    <w:name w:val="header"/>
    <w:basedOn w:val="Normal"/>
    <w:rsid w:val="0074115C"/>
    <w:pPr>
      <w:tabs>
        <w:tab w:val="center" w:pos="4320"/>
        <w:tab w:val="right" w:pos="8640"/>
      </w:tabs>
    </w:pPr>
  </w:style>
  <w:style w:type="paragraph" w:styleId="Footer">
    <w:name w:val="footer"/>
    <w:basedOn w:val="Normal"/>
    <w:rsid w:val="0074115C"/>
    <w:pPr>
      <w:tabs>
        <w:tab w:val="center" w:pos="4320"/>
        <w:tab w:val="right" w:pos="8640"/>
      </w:tabs>
    </w:pPr>
  </w:style>
  <w:style w:type="paragraph" w:styleId="Title">
    <w:name w:val="Title"/>
    <w:basedOn w:val="Normal"/>
    <w:qFormat/>
    <w:rsid w:val="0074115C"/>
    <w:pPr>
      <w:jc w:val="center"/>
    </w:pPr>
    <w:rPr>
      <w:rFonts w:ascii="Arial" w:hAnsi="Arial" w:cs="Arial"/>
      <w:sz w:val="28"/>
    </w:rPr>
  </w:style>
  <w:style w:type="paragraph" w:styleId="BodyTextIndent">
    <w:name w:val="Body Text Indent"/>
    <w:basedOn w:val="Normal"/>
    <w:rsid w:val="0074115C"/>
    <w:pPr>
      <w:tabs>
        <w:tab w:val="left" w:pos="360"/>
      </w:tabs>
      <w:ind w:left="720" w:hanging="720"/>
    </w:pPr>
    <w:rPr>
      <w:rFonts w:ascii="Arial" w:hAnsi="Arial" w:cs="Arial"/>
      <w:sz w:val="22"/>
    </w:rPr>
  </w:style>
  <w:style w:type="paragraph" w:styleId="BodyTextIndent2">
    <w:name w:val="Body Text Indent 2"/>
    <w:basedOn w:val="Normal"/>
    <w:rsid w:val="0074115C"/>
    <w:pPr>
      <w:tabs>
        <w:tab w:val="left" w:pos="720"/>
      </w:tabs>
      <w:ind w:left="720" w:hanging="360"/>
    </w:pPr>
    <w:rPr>
      <w:rFonts w:ascii="Arial" w:hAnsi="Arial" w:cs="Arial"/>
      <w:sz w:val="22"/>
    </w:rPr>
  </w:style>
  <w:style w:type="character" w:styleId="PageNumber">
    <w:name w:val="page number"/>
    <w:basedOn w:val="DefaultParagraphFont"/>
    <w:rsid w:val="0074115C"/>
  </w:style>
  <w:style w:type="paragraph" w:styleId="BodyTextIndent3">
    <w:name w:val="Body Text Indent 3"/>
    <w:basedOn w:val="Normal"/>
    <w:rsid w:val="0074115C"/>
    <w:pPr>
      <w:pBdr>
        <w:top w:val="single" w:sz="4" w:space="1" w:color="auto"/>
        <w:left w:val="single" w:sz="4" w:space="17" w:color="auto"/>
        <w:bottom w:val="single" w:sz="4" w:space="13" w:color="auto"/>
        <w:right w:val="single" w:sz="4" w:space="4" w:color="auto"/>
      </w:pBdr>
      <w:ind w:left="360"/>
    </w:pPr>
    <w:rPr>
      <w:rFonts w:ascii="Arial" w:hAnsi="Arial" w:cs="Arial"/>
      <w:sz w:val="22"/>
    </w:rPr>
  </w:style>
  <w:style w:type="character" w:styleId="Hyperlink">
    <w:name w:val="Hyperlink"/>
    <w:rsid w:val="0074115C"/>
    <w:rPr>
      <w:color w:val="0000FF"/>
      <w:u w:val="single"/>
    </w:rPr>
  </w:style>
  <w:style w:type="character" w:styleId="FollowedHyperlink">
    <w:name w:val="FollowedHyperlink"/>
    <w:rsid w:val="0074115C"/>
    <w:rPr>
      <w:color w:val="800080"/>
      <w:u w:val="single"/>
    </w:rPr>
  </w:style>
  <w:style w:type="character" w:styleId="CommentReference">
    <w:name w:val="annotation reference"/>
    <w:semiHidden/>
    <w:unhideWhenUsed/>
    <w:rsid w:val="0064319C"/>
    <w:rPr>
      <w:sz w:val="16"/>
      <w:szCs w:val="16"/>
    </w:rPr>
  </w:style>
  <w:style w:type="paragraph" w:styleId="CommentText">
    <w:name w:val="annotation text"/>
    <w:basedOn w:val="Normal"/>
    <w:link w:val="CommentTextChar"/>
    <w:semiHidden/>
    <w:unhideWhenUsed/>
    <w:rsid w:val="0064319C"/>
    <w:rPr>
      <w:sz w:val="20"/>
      <w:szCs w:val="20"/>
    </w:rPr>
  </w:style>
  <w:style w:type="character" w:customStyle="1" w:styleId="CommentTextChar">
    <w:name w:val="Comment Text Char"/>
    <w:basedOn w:val="DefaultParagraphFont"/>
    <w:link w:val="CommentText"/>
    <w:semiHidden/>
    <w:rsid w:val="0064319C"/>
  </w:style>
  <w:style w:type="paragraph" w:styleId="CommentSubject">
    <w:name w:val="annotation subject"/>
    <w:basedOn w:val="CommentText"/>
    <w:next w:val="CommentText"/>
    <w:link w:val="CommentSubjectChar"/>
    <w:semiHidden/>
    <w:unhideWhenUsed/>
    <w:rsid w:val="0064319C"/>
    <w:rPr>
      <w:b/>
      <w:bCs/>
    </w:rPr>
  </w:style>
  <w:style w:type="character" w:customStyle="1" w:styleId="CommentSubjectChar">
    <w:name w:val="Comment Subject Char"/>
    <w:link w:val="CommentSubject"/>
    <w:semiHidden/>
    <w:rsid w:val="0064319C"/>
    <w:rPr>
      <w:b/>
      <w:bCs/>
    </w:rPr>
  </w:style>
  <w:style w:type="paragraph" w:styleId="BalloonText">
    <w:name w:val="Balloon Text"/>
    <w:basedOn w:val="Normal"/>
    <w:link w:val="BalloonTextChar"/>
    <w:rsid w:val="0064319C"/>
    <w:rPr>
      <w:rFonts w:ascii="Segoe UI" w:hAnsi="Segoe UI" w:cs="Segoe UI"/>
      <w:sz w:val="18"/>
      <w:szCs w:val="18"/>
    </w:rPr>
  </w:style>
  <w:style w:type="character" w:customStyle="1" w:styleId="BalloonTextChar">
    <w:name w:val="Balloon Text Char"/>
    <w:link w:val="BalloonText"/>
    <w:rsid w:val="0064319C"/>
    <w:rPr>
      <w:rFonts w:ascii="Segoe UI" w:hAnsi="Segoe UI" w:cs="Segoe UI"/>
      <w:sz w:val="18"/>
      <w:szCs w:val="18"/>
    </w:rPr>
  </w:style>
  <w:style w:type="character" w:styleId="UnresolvedMention">
    <w:name w:val="Unresolved Mention"/>
    <w:uiPriority w:val="99"/>
    <w:semiHidden/>
    <w:unhideWhenUsed/>
    <w:rsid w:val="005D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iep/sld/SLD-TA3.docx" TargetMode="External"/><Relationship Id="rId18" Type="http://schemas.openxmlformats.org/officeDocument/2006/relationships/hyperlink" Target="https://www.doe.mass.edu/sped/iep/sld/SLD3.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sped/iep/sld/SLD4_g5-8.docx" TargetMode="External"/><Relationship Id="rId7" Type="http://schemas.openxmlformats.org/officeDocument/2006/relationships/settings" Target="settings.xml"/><Relationship Id="rId12" Type="http://schemas.openxmlformats.org/officeDocument/2006/relationships/hyperlink" Target="https://www.doe.mass.edu/sped/iep/sld/SLD1.docx" TargetMode="External"/><Relationship Id="rId17" Type="http://schemas.openxmlformats.org/officeDocument/2006/relationships/hyperlink" Target="https://www.doe.mass.edu/sped/iep/sld/SLD2.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sped/28mr/28r1.docx" TargetMode="External"/><Relationship Id="rId20" Type="http://schemas.openxmlformats.org/officeDocument/2006/relationships/hyperlink" Target="https://www.doe.mass.edu/sped/iep/sld/SLD4_g1-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ea.ed.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oe.mass.edu/sped/28mr/28r1.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oe.mass.edu/sped/iep/sld/SLD4_pre-k.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iep/sld/SLD-TA4.docx" TargetMode="External"/><Relationship Id="rId22" Type="http://schemas.openxmlformats.org/officeDocument/2006/relationships/hyperlink" Target="https://www.doe.mass.edu/sped/iep/sld/SLD4_g9-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DESE-231-66841</_dlc_DocId>
    <_dlc_DocIdUrl xmlns="733efe1c-5bbe-4968-87dc-d400e65c879f">
      <Url>https://sharepoint.doemass.org/ese/webteam/cps/_layouts/DocIdRedir.aspx?ID=DESE-231-66841</Url>
      <Description>DESE-231-66841</Description>
    </_dlc_DocIdUrl>
  </documentManagement>
</p:properties>
</file>

<file path=customXml/itemProps1.xml><?xml version="1.0" encoding="utf-8"?>
<ds:datastoreItem xmlns:ds="http://schemas.openxmlformats.org/officeDocument/2006/customXml" ds:itemID="{479538C3-4ABA-4609-BE13-CB637E3D2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37670-551C-4B7C-87E1-F69D3B593555}">
  <ds:schemaRefs>
    <ds:schemaRef ds:uri="http://schemas.microsoft.com/sharepoint/events"/>
  </ds:schemaRefs>
</ds:datastoreItem>
</file>

<file path=customXml/itemProps3.xml><?xml version="1.0" encoding="utf-8"?>
<ds:datastoreItem xmlns:ds="http://schemas.openxmlformats.org/officeDocument/2006/customXml" ds:itemID="{5645003C-9129-4BA0-981F-5A35F54398AF}">
  <ds:schemaRefs>
    <ds:schemaRef ds:uri="http://schemas.microsoft.com/sharepoint/v3/contenttype/forms"/>
  </ds:schemaRefs>
</ds:datastoreItem>
</file>

<file path=customXml/itemProps4.xml><?xml version="1.0" encoding="utf-8"?>
<ds:datastoreItem xmlns:ds="http://schemas.openxmlformats.org/officeDocument/2006/customXml" ds:itemID="{5BEB097E-BD19-4DEC-8566-75D32784348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SLD Eligibility Requirements Instructions (SLD TA 1)</vt:lpstr>
    </vt:vector>
  </TitlesOfParts>
  <Company/>
  <LinksUpToDate>false</LinksUpToDate>
  <CharactersWithSpaces>7740</CharactersWithSpaces>
  <SharedDoc>false</SharedDoc>
  <HLinks>
    <vt:vector size="72" baseType="variant">
      <vt:variant>
        <vt:i4>1835041</vt:i4>
      </vt:variant>
      <vt:variant>
        <vt:i4>33</vt:i4>
      </vt:variant>
      <vt:variant>
        <vt:i4>0</vt:i4>
      </vt:variant>
      <vt:variant>
        <vt:i4>5</vt:i4>
      </vt:variant>
      <vt:variant>
        <vt:lpwstr>https://www.doe.mass.edu/sped/iep/sld/SLD4_g9-12.docx</vt:lpwstr>
      </vt:variant>
      <vt:variant>
        <vt:lpwstr/>
      </vt:variant>
      <vt:variant>
        <vt:i4>1048674</vt:i4>
      </vt:variant>
      <vt:variant>
        <vt:i4>30</vt:i4>
      </vt:variant>
      <vt:variant>
        <vt:i4>0</vt:i4>
      </vt:variant>
      <vt:variant>
        <vt:i4>5</vt:i4>
      </vt:variant>
      <vt:variant>
        <vt:lpwstr>https://www.doe.mass.edu/sped/iep/sld/SLD4_g5-8.docx</vt:lpwstr>
      </vt:variant>
      <vt:variant>
        <vt:lpwstr/>
      </vt:variant>
      <vt:variant>
        <vt:i4>1048682</vt:i4>
      </vt:variant>
      <vt:variant>
        <vt:i4>27</vt:i4>
      </vt:variant>
      <vt:variant>
        <vt:i4>0</vt:i4>
      </vt:variant>
      <vt:variant>
        <vt:i4>5</vt:i4>
      </vt:variant>
      <vt:variant>
        <vt:lpwstr>https://www.doe.mass.edu/sped/iep/sld/SLD4_g1-4.docx</vt:lpwstr>
      </vt:variant>
      <vt:variant>
        <vt:lpwstr/>
      </vt:variant>
      <vt:variant>
        <vt:i4>1704054</vt:i4>
      </vt:variant>
      <vt:variant>
        <vt:i4>24</vt:i4>
      </vt:variant>
      <vt:variant>
        <vt:i4>0</vt:i4>
      </vt:variant>
      <vt:variant>
        <vt:i4>5</vt:i4>
      </vt:variant>
      <vt:variant>
        <vt:lpwstr>https://www.doe.mass.edu/sped/iep/sld/SLD4_pre-k.docx</vt:lpwstr>
      </vt:variant>
      <vt:variant>
        <vt:lpwstr/>
      </vt:variant>
      <vt:variant>
        <vt:i4>6488182</vt:i4>
      </vt:variant>
      <vt:variant>
        <vt:i4>21</vt:i4>
      </vt:variant>
      <vt:variant>
        <vt:i4>0</vt:i4>
      </vt:variant>
      <vt:variant>
        <vt:i4>5</vt:i4>
      </vt:variant>
      <vt:variant>
        <vt:lpwstr>https://www.doe.mass.edu/sped/iep/sld/SLD3.docx</vt:lpwstr>
      </vt:variant>
      <vt:variant>
        <vt:lpwstr/>
      </vt:variant>
      <vt:variant>
        <vt:i4>6422646</vt:i4>
      </vt:variant>
      <vt:variant>
        <vt:i4>18</vt:i4>
      </vt:variant>
      <vt:variant>
        <vt:i4>0</vt:i4>
      </vt:variant>
      <vt:variant>
        <vt:i4>5</vt:i4>
      </vt:variant>
      <vt:variant>
        <vt:lpwstr>https://www.doe.mass.edu/sped/iep/sld/SLD2.docx</vt:lpwstr>
      </vt:variant>
      <vt:variant>
        <vt:lpwstr/>
      </vt:variant>
      <vt:variant>
        <vt:i4>65616</vt:i4>
      </vt:variant>
      <vt:variant>
        <vt:i4>15</vt:i4>
      </vt:variant>
      <vt:variant>
        <vt:i4>0</vt:i4>
      </vt:variant>
      <vt:variant>
        <vt:i4>5</vt:i4>
      </vt:variant>
      <vt:variant>
        <vt:lpwstr>https://www.doe.mass.edu/sped/28mr/28r1.docx</vt:lpwstr>
      </vt:variant>
      <vt:variant>
        <vt:lpwstr/>
      </vt:variant>
      <vt:variant>
        <vt:i4>65616</vt:i4>
      </vt:variant>
      <vt:variant>
        <vt:i4>12</vt:i4>
      </vt:variant>
      <vt:variant>
        <vt:i4>0</vt:i4>
      </vt:variant>
      <vt:variant>
        <vt:i4>5</vt:i4>
      </vt:variant>
      <vt:variant>
        <vt:lpwstr>https://www.doe.mass.edu/sped/28mr/28r1.docx</vt:lpwstr>
      </vt:variant>
      <vt:variant>
        <vt:lpwstr/>
      </vt:variant>
      <vt:variant>
        <vt:i4>2228336</vt:i4>
      </vt:variant>
      <vt:variant>
        <vt:i4>9</vt:i4>
      </vt:variant>
      <vt:variant>
        <vt:i4>0</vt:i4>
      </vt:variant>
      <vt:variant>
        <vt:i4>5</vt:i4>
      </vt:variant>
      <vt:variant>
        <vt:lpwstr>https://www.doe.mass.edu/sped/iep/sld/SLD-TA4.docx</vt:lpwstr>
      </vt:variant>
      <vt:variant>
        <vt:lpwstr/>
      </vt:variant>
      <vt:variant>
        <vt:i4>2228343</vt:i4>
      </vt:variant>
      <vt:variant>
        <vt:i4>6</vt:i4>
      </vt:variant>
      <vt:variant>
        <vt:i4>0</vt:i4>
      </vt:variant>
      <vt:variant>
        <vt:i4>5</vt:i4>
      </vt:variant>
      <vt:variant>
        <vt:lpwstr>https://www.doe.mass.edu/sped/iep/sld/SLD-TA3.docx</vt:lpwstr>
      </vt:variant>
      <vt:variant>
        <vt:lpwstr/>
      </vt:variant>
      <vt:variant>
        <vt:i4>6357110</vt:i4>
      </vt:variant>
      <vt:variant>
        <vt:i4>3</vt:i4>
      </vt:variant>
      <vt:variant>
        <vt:i4>0</vt:i4>
      </vt:variant>
      <vt:variant>
        <vt:i4>5</vt:i4>
      </vt:variant>
      <vt:variant>
        <vt:lpwstr>https://www.doe.mass.edu/sped/iep/sld/SLD1.docx</vt:lpwstr>
      </vt:variant>
      <vt:variant>
        <vt:lpwstr/>
      </vt:variant>
      <vt:variant>
        <vt:i4>8126504</vt:i4>
      </vt:variant>
      <vt:variant>
        <vt:i4>0</vt:i4>
      </vt:variant>
      <vt:variant>
        <vt:i4>0</vt:i4>
      </vt:variant>
      <vt:variant>
        <vt:i4>5</vt:i4>
      </vt:variant>
      <vt:variant>
        <vt:lpwstr>http://idea.ed.gov/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 Eligibility Requirements Instructions (SLD TA 1)</dc:title>
  <dc:subject/>
  <dc:creator>DESE</dc:creator>
  <cp:keywords/>
  <cp:lastModifiedBy>Zou, Dong (EOE)</cp:lastModifiedBy>
  <cp:revision>7</cp:revision>
  <cp:lastPrinted>2007-11-29T21:11:00Z</cp:lastPrinted>
  <dcterms:created xsi:type="dcterms:W3CDTF">2020-12-11T11:13:00Z</dcterms:created>
  <dcterms:modified xsi:type="dcterms:W3CDTF">2020-12-16T21:10:00Z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2020</vt:lpwstr>
  </property>
</Properties>
</file>