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D088D" w14:textId="77777777" w:rsidR="00245724" w:rsidRDefault="005C6FF6">
      <w:pPr>
        <w:spacing w:after="0"/>
        <w:jc w:val="center"/>
        <w:rPr>
          <w:b/>
          <w:color w:val="1A4785"/>
          <w:sz w:val="14"/>
          <w:szCs w:val="14"/>
        </w:rPr>
      </w:pPr>
      <w:r>
        <w:rPr>
          <w:noProof/>
        </w:rPr>
        <w:drawing>
          <wp:anchor distT="0" distB="0" distL="114300" distR="114300" simplePos="0" relativeHeight="251658240" behindDoc="0" locked="0" layoutInCell="1" hidden="0" allowOverlap="1" wp14:anchorId="7292E509" wp14:editId="318EBEC8">
            <wp:simplePos x="0" y="0"/>
            <wp:positionH relativeFrom="column">
              <wp:posOffset>-274319</wp:posOffset>
            </wp:positionH>
            <wp:positionV relativeFrom="paragraph">
              <wp:posOffset>-304799</wp:posOffset>
            </wp:positionV>
            <wp:extent cx="2164594" cy="617695"/>
            <wp:effectExtent l="0" t="0" r="0" b="0"/>
            <wp:wrapNone/>
            <wp:docPr id="1033157437"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33157437" name="image1.png">
                      <a:extLst>
                        <a:ext uri="{C183D7F6-B498-43B3-948B-1728B52AA6E4}">
                          <adec:decorative xmlns:adec="http://schemas.microsoft.com/office/drawing/2017/decorative" val="1"/>
                        </a:ext>
                      </a:extLst>
                    </pic:cNvPr>
                    <pic:cNvPicPr preferRelativeResize="0"/>
                  </pic:nvPicPr>
                  <pic:blipFill>
                    <a:blip r:embed="rId7"/>
                    <a:srcRect l="-11894" r="11894"/>
                    <a:stretch>
                      <a:fillRect/>
                    </a:stretch>
                  </pic:blipFill>
                  <pic:spPr>
                    <a:xfrm>
                      <a:off x="0" y="0"/>
                      <a:ext cx="2164594" cy="617695"/>
                    </a:xfrm>
                    <a:prstGeom prst="rect">
                      <a:avLst/>
                    </a:prstGeom>
                    <a:ln/>
                  </pic:spPr>
                </pic:pic>
              </a:graphicData>
            </a:graphic>
          </wp:anchor>
        </w:drawing>
      </w:r>
    </w:p>
    <w:p w14:paraId="67DDB820" w14:textId="77777777" w:rsidR="00245724" w:rsidRDefault="00245724">
      <w:pPr>
        <w:spacing w:after="0"/>
        <w:rPr>
          <w:b/>
          <w:color w:val="1A4785"/>
          <w:sz w:val="14"/>
          <w:szCs w:val="14"/>
        </w:rPr>
      </w:pPr>
    </w:p>
    <w:p w14:paraId="3FED9897" w14:textId="77777777" w:rsidR="00245724" w:rsidRDefault="00245724">
      <w:pPr>
        <w:spacing w:after="0"/>
        <w:rPr>
          <w:b/>
          <w:color w:val="1A4785"/>
          <w:sz w:val="14"/>
          <w:szCs w:val="14"/>
        </w:rPr>
      </w:pPr>
    </w:p>
    <w:p w14:paraId="1903A117" w14:textId="77777777" w:rsidR="00245724" w:rsidRDefault="00245724">
      <w:pPr>
        <w:spacing w:after="0"/>
        <w:rPr>
          <w:b/>
          <w:color w:val="1A4785"/>
          <w:sz w:val="14"/>
          <w:szCs w:val="14"/>
        </w:rPr>
      </w:pPr>
    </w:p>
    <w:p w14:paraId="3B47A6BA" w14:textId="77777777" w:rsidR="00245724" w:rsidRDefault="005C6FF6">
      <w:pPr>
        <w:jc w:val="center"/>
        <w:rPr>
          <w:b/>
          <w:color w:val="1A4785"/>
          <w:sz w:val="36"/>
          <w:szCs w:val="36"/>
        </w:rPr>
      </w:pPr>
      <w:r>
        <w:rPr>
          <w:b/>
          <w:color w:val="1A4785"/>
          <w:sz w:val="36"/>
          <w:szCs w:val="36"/>
        </w:rPr>
        <w:t>Quick Reference Guide: LEA Determination Criteria for 2023</w:t>
      </w:r>
    </w:p>
    <w:p w14:paraId="46D41053" w14:textId="77777777" w:rsidR="00245724" w:rsidRDefault="005C6FF6">
      <w:pPr>
        <w:rPr>
          <w:sz w:val="20"/>
          <w:szCs w:val="20"/>
        </w:rPr>
      </w:pPr>
      <w:r>
        <w:rPr>
          <w:sz w:val="20"/>
          <w:szCs w:val="20"/>
        </w:rPr>
        <w:t xml:space="preserve">As required by the </w:t>
      </w:r>
      <w:r>
        <w:rPr>
          <w:i/>
          <w:sz w:val="20"/>
          <w:szCs w:val="20"/>
        </w:rPr>
        <w:t xml:space="preserve">Individual with Disabilities Education Act </w:t>
      </w:r>
      <w:r>
        <w:rPr>
          <w:sz w:val="20"/>
          <w:szCs w:val="20"/>
        </w:rPr>
        <w:t>(</w:t>
      </w:r>
      <w:r>
        <w:rPr>
          <w:i/>
          <w:sz w:val="20"/>
          <w:szCs w:val="20"/>
        </w:rPr>
        <w:t>IDEA</w:t>
      </w:r>
      <w:r>
        <w:rPr>
          <w:sz w:val="20"/>
          <w:szCs w:val="20"/>
        </w:rPr>
        <w:t>),</w:t>
      </w:r>
      <w:r>
        <w:rPr>
          <w:sz w:val="20"/>
          <w:szCs w:val="20"/>
          <w:vertAlign w:val="superscript"/>
        </w:rPr>
        <w:footnoteReference w:id="1"/>
      </w:r>
      <w:r>
        <w:rPr>
          <w:sz w:val="20"/>
          <w:szCs w:val="20"/>
        </w:rPr>
        <w:t xml:space="preserve"> states must make LEA determinations annually based on federal and state-determined criteria. These criteria applied in Massachusetts’ LEA determinations are described in the table below. For more details about LEA determinations, please consult the </w:t>
      </w:r>
      <w:r>
        <w:rPr>
          <w:i/>
          <w:sz w:val="20"/>
          <w:szCs w:val="20"/>
        </w:rPr>
        <w:t xml:space="preserve">Frequently Asked Questions about LEA Determinations of Need for Special Education Technical Assistance or Intervention </w:t>
      </w:r>
      <w:r>
        <w:rPr>
          <w:sz w:val="20"/>
          <w:szCs w:val="20"/>
        </w:rPr>
        <w:t>resource.</w:t>
      </w:r>
    </w:p>
    <w:tbl>
      <w:tblPr>
        <w:tblStyle w:val="a"/>
        <w:tblW w:w="14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245"/>
        <w:gridCol w:w="1440"/>
        <w:gridCol w:w="7290"/>
        <w:gridCol w:w="3690"/>
      </w:tblGrid>
      <w:tr w:rsidR="00245724" w14:paraId="7EFF0739" w14:textId="77777777" w:rsidTr="00DA66AF">
        <w:trPr>
          <w:trHeight w:val="629"/>
          <w:tblHeader/>
        </w:trPr>
        <w:tc>
          <w:tcPr>
            <w:tcW w:w="2245" w:type="dxa"/>
            <w:shd w:val="clear" w:color="auto" w:fill="1A4785"/>
            <w:vAlign w:val="center"/>
          </w:tcPr>
          <w:p w14:paraId="5083296D" w14:textId="77777777" w:rsidR="00245724" w:rsidRDefault="005C6FF6">
            <w:pPr>
              <w:jc w:val="center"/>
              <w:rPr>
                <w:b/>
                <w:color w:val="FFFFFF"/>
                <w:sz w:val="24"/>
                <w:szCs w:val="24"/>
              </w:rPr>
            </w:pPr>
            <w:r>
              <w:rPr>
                <w:b/>
                <w:color w:val="FFFFFF"/>
                <w:sz w:val="24"/>
                <w:szCs w:val="24"/>
              </w:rPr>
              <w:t>Determination Criteria</w:t>
            </w:r>
          </w:p>
        </w:tc>
        <w:tc>
          <w:tcPr>
            <w:tcW w:w="1440" w:type="dxa"/>
            <w:shd w:val="clear" w:color="auto" w:fill="1A4785"/>
            <w:vAlign w:val="center"/>
          </w:tcPr>
          <w:p w14:paraId="52D91C4E" w14:textId="77777777" w:rsidR="00245724" w:rsidRDefault="005C6FF6">
            <w:pPr>
              <w:jc w:val="center"/>
              <w:rPr>
                <w:b/>
                <w:color w:val="FFFFFF"/>
                <w:sz w:val="24"/>
                <w:szCs w:val="24"/>
              </w:rPr>
            </w:pPr>
            <w:r>
              <w:rPr>
                <w:b/>
                <w:color w:val="FFFFFF"/>
                <w:sz w:val="24"/>
                <w:szCs w:val="24"/>
              </w:rPr>
              <w:t>Reporting Period/Year</w:t>
            </w:r>
          </w:p>
        </w:tc>
        <w:tc>
          <w:tcPr>
            <w:tcW w:w="7290" w:type="dxa"/>
            <w:shd w:val="clear" w:color="auto" w:fill="1A4785"/>
            <w:vAlign w:val="center"/>
          </w:tcPr>
          <w:p w14:paraId="6E1FB0C7" w14:textId="77777777" w:rsidR="00245724" w:rsidRDefault="005C6FF6">
            <w:pPr>
              <w:jc w:val="center"/>
              <w:rPr>
                <w:b/>
                <w:color w:val="FFFFFF"/>
                <w:sz w:val="24"/>
                <w:szCs w:val="24"/>
              </w:rPr>
            </w:pPr>
            <w:r>
              <w:rPr>
                <w:b/>
                <w:color w:val="FFFFFF"/>
                <w:sz w:val="24"/>
                <w:szCs w:val="24"/>
              </w:rPr>
              <w:t>Description</w:t>
            </w:r>
          </w:p>
        </w:tc>
        <w:tc>
          <w:tcPr>
            <w:tcW w:w="3690" w:type="dxa"/>
            <w:shd w:val="clear" w:color="auto" w:fill="1A4785"/>
            <w:vAlign w:val="center"/>
          </w:tcPr>
          <w:p w14:paraId="50CDB755" w14:textId="77777777" w:rsidR="00245724" w:rsidRDefault="005C6FF6">
            <w:pPr>
              <w:jc w:val="center"/>
              <w:rPr>
                <w:b/>
                <w:color w:val="FFFFFF"/>
                <w:sz w:val="24"/>
                <w:szCs w:val="24"/>
              </w:rPr>
            </w:pPr>
            <w:r>
              <w:rPr>
                <w:b/>
                <w:color w:val="FFFFFF"/>
                <w:sz w:val="24"/>
                <w:szCs w:val="24"/>
              </w:rPr>
              <w:t>Data Sources</w:t>
            </w:r>
          </w:p>
        </w:tc>
      </w:tr>
      <w:tr w:rsidR="00CE3C39" w14:paraId="5DF465CC" w14:textId="77777777" w:rsidTr="00F95451">
        <w:trPr>
          <w:trHeight w:val="359"/>
        </w:trPr>
        <w:tc>
          <w:tcPr>
            <w:tcW w:w="14665" w:type="dxa"/>
            <w:gridSpan w:val="4"/>
            <w:shd w:val="clear" w:color="auto" w:fill="FFC107"/>
            <w:vAlign w:val="center"/>
          </w:tcPr>
          <w:p w14:paraId="18C523A0" w14:textId="56225BB7" w:rsidR="00CE3C39" w:rsidRDefault="00CE3C39">
            <w:pPr>
              <w:rPr>
                <w:b/>
                <w:sz w:val="21"/>
                <w:szCs w:val="21"/>
              </w:rPr>
            </w:pPr>
            <w:r>
              <w:rPr>
                <w:b/>
              </w:rPr>
              <w:t>Performance Criteria</w:t>
            </w:r>
          </w:p>
        </w:tc>
      </w:tr>
      <w:tr w:rsidR="00245724" w14:paraId="7EAA82D8" w14:textId="77777777" w:rsidTr="00DA66AF">
        <w:trPr>
          <w:trHeight w:val="1691"/>
        </w:trPr>
        <w:tc>
          <w:tcPr>
            <w:tcW w:w="2245" w:type="dxa"/>
            <w:vAlign w:val="center"/>
          </w:tcPr>
          <w:p w14:paraId="03F2378D" w14:textId="77777777" w:rsidR="00245724" w:rsidRDefault="005C6FF6">
            <w:pPr>
              <w:rPr>
                <w:b/>
                <w:sz w:val="21"/>
                <w:szCs w:val="21"/>
              </w:rPr>
            </w:pPr>
            <w:r>
              <w:rPr>
                <w:b/>
                <w:sz w:val="21"/>
                <w:szCs w:val="21"/>
              </w:rPr>
              <w:t>Annual Dropout Rate</w:t>
            </w:r>
          </w:p>
        </w:tc>
        <w:tc>
          <w:tcPr>
            <w:tcW w:w="1440" w:type="dxa"/>
            <w:vAlign w:val="center"/>
          </w:tcPr>
          <w:p w14:paraId="7E49DA09" w14:textId="77777777" w:rsidR="00245724" w:rsidRDefault="005C6FF6">
            <w:pPr>
              <w:rPr>
                <w:sz w:val="21"/>
                <w:szCs w:val="21"/>
              </w:rPr>
            </w:pPr>
            <w:r>
              <w:rPr>
                <w:sz w:val="21"/>
                <w:szCs w:val="21"/>
              </w:rPr>
              <w:t>SY 2021-2022</w:t>
            </w:r>
          </w:p>
        </w:tc>
        <w:tc>
          <w:tcPr>
            <w:tcW w:w="7290" w:type="dxa"/>
            <w:vAlign w:val="center"/>
          </w:tcPr>
          <w:p w14:paraId="723E85D9" w14:textId="77777777" w:rsidR="00245724" w:rsidRDefault="005C6FF6">
            <w:pPr>
              <w:rPr>
                <w:sz w:val="21"/>
                <w:szCs w:val="21"/>
              </w:rPr>
            </w:pPr>
            <w:r>
              <w:rPr>
                <w:sz w:val="21"/>
                <w:szCs w:val="21"/>
              </w:rPr>
              <w:t xml:space="preserve">The annual dropout rate is the percentage of students in grades 9-12 who dropped out of high school within the defined reporting period and did not return to school by October 1 of the following school year. </w:t>
            </w:r>
          </w:p>
          <w:p w14:paraId="63A1DC54" w14:textId="77777777" w:rsidR="00245724" w:rsidRDefault="00245724">
            <w:pPr>
              <w:rPr>
                <w:sz w:val="10"/>
                <w:szCs w:val="10"/>
              </w:rPr>
            </w:pPr>
          </w:p>
          <w:p w14:paraId="538E5E27" w14:textId="77777777" w:rsidR="00245724" w:rsidRDefault="005C6FF6">
            <w:pPr>
              <w:rPr>
                <w:sz w:val="21"/>
                <w:szCs w:val="21"/>
              </w:rPr>
            </w:pPr>
            <w:r>
              <w:rPr>
                <w:sz w:val="21"/>
                <w:szCs w:val="21"/>
              </w:rPr>
              <w:t xml:space="preserve">The dropout rate used for LEA determinations is </w:t>
            </w:r>
            <w:r>
              <w:rPr>
                <w:sz w:val="21"/>
                <w:szCs w:val="21"/>
                <w:u w:val="single"/>
              </w:rPr>
              <w:t>not</w:t>
            </w:r>
            <w:r>
              <w:rPr>
                <w:sz w:val="21"/>
                <w:szCs w:val="21"/>
              </w:rPr>
              <w:t xml:space="preserve"> the same as the dropout rate reported for SPP/APR Indicator 2. </w:t>
            </w:r>
          </w:p>
        </w:tc>
        <w:tc>
          <w:tcPr>
            <w:tcW w:w="3690" w:type="dxa"/>
            <w:vAlign w:val="center"/>
          </w:tcPr>
          <w:p w14:paraId="17BEDDA1" w14:textId="77777777" w:rsidR="00245724" w:rsidRDefault="005C6FF6">
            <w:pPr>
              <w:rPr>
                <w:sz w:val="21"/>
                <w:szCs w:val="21"/>
              </w:rPr>
            </w:pPr>
            <w:r>
              <w:rPr>
                <w:sz w:val="21"/>
                <w:szCs w:val="21"/>
              </w:rPr>
              <w:t xml:space="preserve">Data come from 5 different SIMS data collections (see calculation process </w:t>
            </w:r>
            <w:hyperlink r:id="rId8">
              <w:r>
                <w:rPr>
                  <w:color w:val="0563C1"/>
                  <w:sz w:val="21"/>
                  <w:szCs w:val="21"/>
                  <w:u w:val="single"/>
                </w:rPr>
                <w:t>here</w:t>
              </w:r>
            </w:hyperlink>
            <w:r>
              <w:rPr>
                <w:sz w:val="21"/>
                <w:szCs w:val="21"/>
              </w:rPr>
              <w:t>).</w:t>
            </w:r>
          </w:p>
          <w:p w14:paraId="10492CB4" w14:textId="77777777" w:rsidR="00245724" w:rsidRDefault="00245724">
            <w:pPr>
              <w:rPr>
                <w:sz w:val="10"/>
                <w:szCs w:val="10"/>
              </w:rPr>
            </w:pPr>
          </w:p>
          <w:p w14:paraId="6244A63E" w14:textId="77777777" w:rsidR="00245724" w:rsidRDefault="005C6FF6">
            <w:pPr>
              <w:rPr>
                <w:sz w:val="21"/>
                <w:szCs w:val="21"/>
              </w:rPr>
            </w:pPr>
            <w:r>
              <w:rPr>
                <w:sz w:val="21"/>
                <w:szCs w:val="21"/>
              </w:rPr>
              <w:t>Data can be accessed and reviewed in the state’s Security Portal (</w:t>
            </w:r>
            <w:hyperlink r:id="rId9">
              <w:r>
                <w:rPr>
                  <w:color w:val="0563C1"/>
                  <w:sz w:val="21"/>
                  <w:szCs w:val="21"/>
                  <w:u w:val="single"/>
                </w:rPr>
                <w:t>here</w:t>
              </w:r>
            </w:hyperlink>
            <w:r>
              <w:rPr>
                <w:sz w:val="21"/>
                <w:szCs w:val="21"/>
              </w:rPr>
              <w:t xml:space="preserve">). </w:t>
            </w:r>
          </w:p>
        </w:tc>
      </w:tr>
      <w:tr w:rsidR="00245724" w14:paraId="0F57E56B" w14:textId="77777777" w:rsidTr="00DA66AF">
        <w:trPr>
          <w:trHeight w:val="1430"/>
        </w:trPr>
        <w:tc>
          <w:tcPr>
            <w:tcW w:w="2245" w:type="dxa"/>
            <w:vAlign w:val="center"/>
          </w:tcPr>
          <w:p w14:paraId="6E6A8F01" w14:textId="77777777" w:rsidR="00245724" w:rsidRDefault="005C6FF6">
            <w:pPr>
              <w:rPr>
                <w:b/>
                <w:sz w:val="21"/>
                <w:szCs w:val="21"/>
              </w:rPr>
            </w:pPr>
            <w:r>
              <w:rPr>
                <w:b/>
                <w:color w:val="000000"/>
                <w:sz w:val="21"/>
                <w:szCs w:val="21"/>
              </w:rPr>
              <w:t>5-Year Cohort Graduation Rate</w:t>
            </w:r>
          </w:p>
        </w:tc>
        <w:tc>
          <w:tcPr>
            <w:tcW w:w="1440" w:type="dxa"/>
            <w:vAlign w:val="center"/>
          </w:tcPr>
          <w:p w14:paraId="08FD00FE" w14:textId="77777777" w:rsidR="00245724" w:rsidRDefault="005C6FF6">
            <w:pPr>
              <w:rPr>
                <w:sz w:val="21"/>
                <w:szCs w:val="21"/>
              </w:rPr>
            </w:pPr>
            <w:r>
              <w:rPr>
                <w:sz w:val="21"/>
                <w:szCs w:val="21"/>
              </w:rPr>
              <w:t>SY 2020-2021</w:t>
            </w:r>
          </w:p>
        </w:tc>
        <w:tc>
          <w:tcPr>
            <w:tcW w:w="7290" w:type="dxa"/>
            <w:vAlign w:val="center"/>
          </w:tcPr>
          <w:p w14:paraId="6D1BCBD7" w14:textId="77777777" w:rsidR="00245724" w:rsidRDefault="005C6FF6">
            <w:pPr>
              <w:rPr>
                <w:sz w:val="21"/>
                <w:szCs w:val="21"/>
              </w:rPr>
            </w:pPr>
            <w:r>
              <w:rPr>
                <w:sz w:val="21"/>
                <w:szCs w:val="21"/>
              </w:rPr>
              <w:t>The 5-year cohort graduation rate is the percentage of students with disabilities in a 9</w:t>
            </w:r>
            <w:r>
              <w:rPr>
                <w:sz w:val="21"/>
                <w:szCs w:val="21"/>
                <w:vertAlign w:val="superscript"/>
              </w:rPr>
              <w:t>th</w:t>
            </w:r>
            <w:r>
              <w:rPr>
                <w:sz w:val="21"/>
                <w:szCs w:val="21"/>
              </w:rPr>
              <w:t xml:space="preserve"> grade cohort who graduate within 5 years. </w:t>
            </w:r>
          </w:p>
          <w:p w14:paraId="5E67E074" w14:textId="77777777" w:rsidR="00245724" w:rsidRDefault="00245724">
            <w:pPr>
              <w:rPr>
                <w:sz w:val="10"/>
                <w:szCs w:val="10"/>
              </w:rPr>
            </w:pPr>
          </w:p>
          <w:p w14:paraId="521AAAF7" w14:textId="77777777" w:rsidR="00245724" w:rsidRDefault="005C6FF6">
            <w:pPr>
              <w:rPr>
                <w:sz w:val="21"/>
                <w:szCs w:val="21"/>
              </w:rPr>
            </w:pPr>
            <w:r>
              <w:rPr>
                <w:sz w:val="21"/>
                <w:szCs w:val="21"/>
              </w:rPr>
              <w:t xml:space="preserve">The 5-year cohort graduation rate used for LEA determinations is </w:t>
            </w:r>
            <w:r>
              <w:rPr>
                <w:sz w:val="21"/>
                <w:szCs w:val="21"/>
                <w:u w:val="single"/>
              </w:rPr>
              <w:t>not</w:t>
            </w:r>
            <w:r>
              <w:rPr>
                <w:sz w:val="21"/>
                <w:szCs w:val="21"/>
              </w:rPr>
              <w:t xml:space="preserve"> the same as the graduation rate reported for SPP/APR Indicator 1.</w:t>
            </w:r>
          </w:p>
        </w:tc>
        <w:tc>
          <w:tcPr>
            <w:tcW w:w="3690" w:type="dxa"/>
            <w:vAlign w:val="center"/>
          </w:tcPr>
          <w:p w14:paraId="641DA3FD" w14:textId="77777777" w:rsidR="00245724" w:rsidRDefault="005C6FF6">
            <w:pPr>
              <w:rPr>
                <w:sz w:val="21"/>
                <w:szCs w:val="21"/>
              </w:rPr>
            </w:pPr>
            <w:r>
              <w:rPr>
                <w:sz w:val="21"/>
                <w:szCs w:val="21"/>
              </w:rPr>
              <w:t xml:space="preserve">Data come from SIMS (see information in graduation FAQ </w:t>
            </w:r>
            <w:hyperlink r:id="rId10">
              <w:r>
                <w:rPr>
                  <w:color w:val="0563C1"/>
                  <w:sz w:val="21"/>
                  <w:szCs w:val="21"/>
                  <w:u w:val="single"/>
                </w:rPr>
                <w:t>here</w:t>
              </w:r>
            </w:hyperlink>
            <w:r>
              <w:rPr>
                <w:sz w:val="21"/>
                <w:szCs w:val="21"/>
              </w:rPr>
              <w:t>).</w:t>
            </w:r>
          </w:p>
          <w:p w14:paraId="60290E14" w14:textId="77777777" w:rsidR="00245724" w:rsidRDefault="00245724">
            <w:pPr>
              <w:rPr>
                <w:sz w:val="10"/>
                <w:szCs w:val="10"/>
              </w:rPr>
            </w:pPr>
          </w:p>
          <w:p w14:paraId="220E080F" w14:textId="77777777" w:rsidR="00245724" w:rsidRDefault="005C6FF6">
            <w:pPr>
              <w:rPr>
                <w:sz w:val="21"/>
                <w:szCs w:val="21"/>
              </w:rPr>
            </w:pPr>
            <w:r>
              <w:rPr>
                <w:sz w:val="21"/>
                <w:szCs w:val="21"/>
              </w:rPr>
              <w:t>Data can be accessed and reviewed in the state’s Security Portal (</w:t>
            </w:r>
            <w:hyperlink r:id="rId11">
              <w:r>
                <w:rPr>
                  <w:color w:val="0563C1"/>
                  <w:sz w:val="21"/>
                  <w:szCs w:val="21"/>
                  <w:u w:val="single"/>
                </w:rPr>
                <w:t>here</w:t>
              </w:r>
            </w:hyperlink>
            <w:r>
              <w:rPr>
                <w:sz w:val="21"/>
                <w:szCs w:val="21"/>
              </w:rPr>
              <w:t>).</w:t>
            </w:r>
          </w:p>
        </w:tc>
      </w:tr>
      <w:tr w:rsidR="00245724" w14:paraId="5123C4F5" w14:textId="77777777" w:rsidTr="00DA66AF">
        <w:trPr>
          <w:trHeight w:val="1880"/>
        </w:trPr>
        <w:tc>
          <w:tcPr>
            <w:tcW w:w="2245" w:type="dxa"/>
            <w:vAlign w:val="center"/>
          </w:tcPr>
          <w:p w14:paraId="3A08F5AA" w14:textId="77777777" w:rsidR="00245724" w:rsidRDefault="005C6FF6">
            <w:pPr>
              <w:rPr>
                <w:b/>
                <w:sz w:val="21"/>
                <w:szCs w:val="21"/>
              </w:rPr>
            </w:pPr>
            <w:r>
              <w:rPr>
                <w:b/>
                <w:sz w:val="21"/>
                <w:szCs w:val="21"/>
              </w:rPr>
              <w:t>State Performance Plan/Annual Performance Report (SPP/APR) Indicator 3</w:t>
            </w:r>
          </w:p>
        </w:tc>
        <w:tc>
          <w:tcPr>
            <w:tcW w:w="1440" w:type="dxa"/>
            <w:vAlign w:val="center"/>
          </w:tcPr>
          <w:p w14:paraId="04C552A7" w14:textId="77777777" w:rsidR="00245724" w:rsidRDefault="005C6FF6">
            <w:pPr>
              <w:rPr>
                <w:sz w:val="21"/>
                <w:szCs w:val="21"/>
              </w:rPr>
            </w:pPr>
            <w:r>
              <w:rPr>
                <w:sz w:val="21"/>
                <w:szCs w:val="21"/>
              </w:rPr>
              <w:t>SY 2022-2023</w:t>
            </w:r>
          </w:p>
        </w:tc>
        <w:tc>
          <w:tcPr>
            <w:tcW w:w="7290" w:type="dxa"/>
            <w:vAlign w:val="center"/>
          </w:tcPr>
          <w:p w14:paraId="2100869E" w14:textId="77777777" w:rsidR="00245724" w:rsidRDefault="005C6FF6">
            <w:pPr>
              <w:rPr>
                <w:sz w:val="21"/>
                <w:szCs w:val="21"/>
              </w:rPr>
            </w:pPr>
            <w:r>
              <w:rPr>
                <w:sz w:val="21"/>
                <w:szCs w:val="21"/>
              </w:rPr>
              <w:t>This new data point is based on SPP/APR 3, measure D, which captures the gap in proficiency rates on regular statewide assessments between students with disabilities and all students. Proficiency is based on performance levels “Meeting Expectations” and “Exceeding Expectations.”</w:t>
            </w:r>
          </w:p>
          <w:p w14:paraId="2C392CD9" w14:textId="77777777" w:rsidR="00245724" w:rsidRDefault="00245724">
            <w:pPr>
              <w:rPr>
                <w:sz w:val="10"/>
                <w:szCs w:val="10"/>
              </w:rPr>
            </w:pPr>
          </w:p>
          <w:p w14:paraId="287A4551" w14:textId="77777777" w:rsidR="00245724" w:rsidRDefault="005C6FF6">
            <w:pPr>
              <w:rPr>
                <w:sz w:val="21"/>
                <w:szCs w:val="21"/>
              </w:rPr>
            </w:pPr>
            <w:r>
              <w:rPr>
                <w:sz w:val="21"/>
                <w:szCs w:val="21"/>
              </w:rPr>
              <w:t>For LEA determinations, the Department looks at the proficiency gaps on the 8</w:t>
            </w:r>
            <w:r>
              <w:rPr>
                <w:sz w:val="21"/>
                <w:szCs w:val="21"/>
                <w:vertAlign w:val="superscript"/>
              </w:rPr>
              <w:t>th</w:t>
            </w:r>
            <w:r>
              <w:rPr>
                <w:sz w:val="21"/>
                <w:szCs w:val="21"/>
              </w:rPr>
              <w:t xml:space="preserve"> grade Reading assessment.</w:t>
            </w:r>
          </w:p>
        </w:tc>
        <w:tc>
          <w:tcPr>
            <w:tcW w:w="3690" w:type="dxa"/>
            <w:vAlign w:val="center"/>
          </w:tcPr>
          <w:p w14:paraId="75C20F03" w14:textId="77777777" w:rsidR="00245724" w:rsidRDefault="005C6FF6">
            <w:pPr>
              <w:rPr>
                <w:sz w:val="21"/>
                <w:szCs w:val="21"/>
              </w:rPr>
            </w:pPr>
            <w:r>
              <w:rPr>
                <w:sz w:val="21"/>
                <w:szCs w:val="21"/>
              </w:rPr>
              <w:t>MCAS results are used to calculate the 8</w:t>
            </w:r>
            <w:r>
              <w:rPr>
                <w:sz w:val="21"/>
                <w:szCs w:val="21"/>
                <w:vertAlign w:val="superscript"/>
              </w:rPr>
              <w:t>th</w:t>
            </w:r>
            <w:r>
              <w:rPr>
                <w:sz w:val="21"/>
                <w:szCs w:val="21"/>
              </w:rPr>
              <w:t xml:space="preserve"> grade Reading proficiency gap. </w:t>
            </w:r>
          </w:p>
          <w:p w14:paraId="30C6D715" w14:textId="77777777" w:rsidR="00245724" w:rsidRDefault="00245724">
            <w:pPr>
              <w:rPr>
                <w:sz w:val="10"/>
                <w:szCs w:val="10"/>
              </w:rPr>
            </w:pPr>
          </w:p>
          <w:p w14:paraId="5736172C" w14:textId="77777777" w:rsidR="00245724" w:rsidRDefault="005C6FF6">
            <w:pPr>
              <w:rPr>
                <w:sz w:val="21"/>
                <w:szCs w:val="21"/>
              </w:rPr>
            </w:pPr>
            <w:r>
              <w:rPr>
                <w:sz w:val="21"/>
                <w:szCs w:val="21"/>
              </w:rPr>
              <w:t>Data can be accessed and reviewed on the School and District Profiles (</w:t>
            </w:r>
            <w:hyperlink r:id="rId12">
              <w:r>
                <w:rPr>
                  <w:color w:val="0563C1"/>
                  <w:sz w:val="21"/>
                  <w:szCs w:val="21"/>
                  <w:u w:val="single"/>
                </w:rPr>
                <w:t>here</w:t>
              </w:r>
            </w:hyperlink>
            <w:r>
              <w:rPr>
                <w:sz w:val="21"/>
                <w:szCs w:val="21"/>
              </w:rPr>
              <w:t xml:space="preserve">). </w:t>
            </w:r>
          </w:p>
        </w:tc>
      </w:tr>
      <w:tr w:rsidR="00245724" w14:paraId="79272AC9" w14:textId="77777777" w:rsidTr="00DA66AF">
        <w:trPr>
          <w:trHeight w:val="2150"/>
        </w:trPr>
        <w:tc>
          <w:tcPr>
            <w:tcW w:w="2245" w:type="dxa"/>
            <w:vAlign w:val="center"/>
          </w:tcPr>
          <w:p w14:paraId="6447B9E7" w14:textId="77777777" w:rsidR="00245724" w:rsidRDefault="005C6FF6">
            <w:pPr>
              <w:rPr>
                <w:b/>
                <w:sz w:val="21"/>
                <w:szCs w:val="21"/>
              </w:rPr>
            </w:pPr>
            <w:r>
              <w:rPr>
                <w:b/>
                <w:sz w:val="21"/>
                <w:szCs w:val="21"/>
              </w:rPr>
              <w:t>SPP/APR Indicators 5 and 6</w:t>
            </w:r>
          </w:p>
        </w:tc>
        <w:tc>
          <w:tcPr>
            <w:tcW w:w="1440" w:type="dxa"/>
            <w:vAlign w:val="center"/>
          </w:tcPr>
          <w:p w14:paraId="2EB3B706" w14:textId="77777777" w:rsidR="00245724" w:rsidRDefault="005C6FF6">
            <w:pPr>
              <w:rPr>
                <w:sz w:val="21"/>
                <w:szCs w:val="21"/>
              </w:rPr>
            </w:pPr>
            <w:r>
              <w:rPr>
                <w:sz w:val="21"/>
                <w:szCs w:val="21"/>
              </w:rPr>
              <w:t>SY 2022-2023</w:t>
            </w:r>
          </w:p>
        </w:tc>
        <w:tc>
          <w:tcPr>
            <w:tcW w:w="7290" w:type="dxa"/>
            <w:vAlign w:val="center"/>
          </w:tcPr>
          <w:p w14:paraId="3F812E6E" w14:textId="77777777" w:rsidR="00245724" w:rsidRDefault="005C6FF6">
            <w:pPr>
              <w:rPr>
                <w:sz w:val="21"/>
                <w:szCs w:val="21"/>
              </w:rPr>
            </w:pPr>
            <w:r>
              <w:rPr>
                <w:sz w:val="21"/>
                <w:szCs w:val="21"/>
              </w:rPr>
              <w:t xml:space="preserve">These indicators address educational environments for both school age (Indicator 5) and preschool (Indicator 6) students with disabilities. For LEA determinations, the Department looks at the percentage of students with disabilities in full inclusion (K-age 22) and the students with disabilities receiving services in inclusive settings </w:t>
            </w:r>
            <w:proofErr w:type="gramStart"/>
            <w:r>
              <w:rPr>
                <w:sz w:val="21"/>
                <w:szCs w:val="21"/>
              </w:rPr>
              <w:t>the majority of</w:t>
            </w:r>
            <w:proofErr w:type="gramEnd"/>
            <w:r>
              <w:rPr>
                <w:sz w:val="21"/>
                <w:szCs w:val="21"/>
              </w:rPr>
              <w:t xml:space="preserve"> the time (ages 3-5 in early childhood environments).</w:t>
            </w:r>
          </w:p>
          <w:p w14:paraId="59DF1637" w14:textId="77777777" w:rsidR="00245724" w:rsidRDefault="00245724">
            <w:pPr>
              <w:rPr>
                <w:sz w:val="10"/>
                <w:szCs w:val="10"/>
              </w:rPr>
            </w:pPr>
          </w:p>
          <w:p w14:paraId="5E64172B" w14:textId="77777777" w:rsidR="00245724" w:rsidRDefault="005C6FF6">
            <w:pPr>
              <w:rPr>
                <w:sz w:val="21"/>
                <w:szCs w:val="21"/>
              </w:rPr>
            </w:pPr>
            <w:r>
              <w:rPr>
                <w:sz w:val="21"/>
                <w:szCs w:val="21"/>
              </w:rPr>
              <w:t xml:space="preserve">The full inclusion rate is </w:t>
            </w:r>
            <w:r>
              <w:rPr>
                <w:sz w:val="21"/>
                <w:szCs w:val="21"/>
                <w:u w:val="single"/>
              </w:rPr>
              <w:t>not</w:t>
            </w:r>
            <w:r>
              <w:rPr>
                <w:sz w:val="21"/>
                <w:szCs w:val="21"/>
              </w:rPr>
              <w:t xml:space="preserve"> the same as any of the measures reported for SPP/APR indicators 5 and 6. </w:t>
            </w:r>
          </w:p>
        </w:tc>
        <w:tc>
          <w:tcPr>
            <w:tcW w:w="3690" w:type="dxa"/>
            <w:vAlign w:val="center"/>
          </w:tcPr>
          <w:p w14:paraId="40D9A8A2" w14:textId="77777777" w:rsidR="00245724" w:rsidRDefault="005C6FF6">
            <w:pPr>
              <w:rPr>
                <w:sz w:val="21"/>
                <w:szCs w:val="21"/>
              </w:rPr>
            </w:pPr>
            <w:r>
              <w:rPr>
                <w:sz w:val="21"/>
                <w:szCs w:val="21"/>
              </w:rPr>
              <w:t>Data comes from SIMS and the numerator of the calculation is based on SIMS codes DOE034 – 10 and DOE032 – 31 and 34.</w:t>
            </w:r>
          </w:p>
        </w:tc>
      </w:tr>
      <w:tr w:rsidR="00CE3C39" w14:paraId="3F60C1EF" w14:textId="77777777" w:rsidTr="0021307B">
        <w:trPr>
          <w:trHeight w:val="341"/>
        </w:trPr>
        <w:tc>
          <w:tcPr>
            <w:tcW w:w="14665" w:type="dxa"/>
            <w:gridSpan w:val="4"/>
            <w:shd w:val="clear" w:color="auto" w:fill="FFC107"/>
            <w:vAlign w:val="center"/>
          </w:tcPr>
          <w:p w14:paraId="6EA15C59" w14:textId="53A08E7F" w:rsidR="00CE3C39" w:rsidRDefault="00CE3C39">
            <w:pPr>
              <w:rPr>
                <w:b/>
                <w:sz w:val="21"/>
                <w:szCs w:val="21"/>
              </w:rPr>
            </w:pPr>
            <w:r>
              <w:rPr>
                <w:b/>
              </w:rPr>
              <w:lastRenderedPageBreak/>
              <w:t>Compliance Criteria</w:t>
            </w:r>
          </w:p>
        </w:tc>
      </w:tr>
      <w:tr w:rsidR="00245724" w14:paraId="4729ABE0" w14:textId="77777777" w:rsidTr="00DA66AF">
        <w:trPr>
          <w:trHeight w:val="3329"/>
        </w:trPr>
        <w:tc>
          <w:tcPr>
            <w:tcW w:w="2245" w:type="dxa"/>
            <w:vAlign w:val="center"/>
          </w:tcPr>
          <w:p w14:paraId="7DFCD48C" w14:textId="77777777" w:rsidR="00245724" w:rsidRDefault="005C6FF6">
            <w:pPr>
              <w:rPr>
                <w:b/>
                <w:sz w:val="21"/>
                <w:szCs w:val="21"/>
              </w:rPr>
            </w:pPr>
            <w:r>
              <w:rPr>
                <w:b/>
                <w:sz w:val="21"/>
                <w:szCs w:val="21"/>
              </w:rPr>
              <w:t>SPP/APR Indicators 4B, 9, and 10</w:t>
            </w:r>
          </w:p>
        </w:tc>
        <w:tc>
          <w:tcPr>
            <w:tcW w:w="1440" w:type="dxa"/>
            <w:vAlign w:val="center"/>
          </w:tcPr>
          <w:p w14:paraId="6773002F" w14:textId="77777777" w:rsidR="00245724" w:rsidRDefault="005C6FF6">
            <w:pPr>
              <w:rPr>
                <w:sz w:val="21"/>
                <w:szCs w:val="21"/>
              </w:rPr>
            </w:pPr>
            <w:r>
              <w:rPr>
                <w:sz w:val="21"/>
                <w:szCs w:val="21"/>
              </w:rPr>
              <w:t>SY 2021-2022</w:t>
            </w:r>
          </w:p>
        </w:tc>
        <w:tc>
          <w:tcPr>
            <w:tcW w:w="7290" w:type="dxa"/>
            <w:vAlign w:val="center"/>
          </w:tcPr>
          <w:p w14:paraId="41DAF8B2" w14:textId="77777777" w:rsidR="00245724" w:rsidRDefault="005C6FF6">
            <w:pPr>
              <w:rPr>
                <w:sz w:val="21"/>
                <w:szCs w:val="21"/>
              </w:rPr>
            </w:pPr>
            <w:r>
              <w:rPr>
                <w:sz w:val="21"/>
                <w:szCs w:val="21"/>
              </w:rPr>
              <w:t>Indicator 4B evaluates whether an LEA is: 1) identified with significant discrepancy in the rates of students with disabilities in one or more racial/ethnic group(s) suspended or expelled for more than 10 days and 2) has policies, procedures, and practices that do not comply with requirements related to the development and implementation of IEPs, use of positive behavioral supports, and procedural safeguards.</w:t>
            </w:r>
          </w:p>
          <w:p w14:paraId="0883948B" w14:textId="77777777" w:rsidR="00245724" w:rsidRDefault="00245724">
            <w:pPr>
              <w:rPr>
                <w:sz w:val="10"/>
                <w:szCs w:val="10"/>
              </w:rPr>
            </w:pPr>
          </w:p>
          <w:p w14:paraId="3AE63DBC" w14:textId="77777777" w:rsidR="00245724" w:rsidRDefault="005C6FF6">
            <w:pPr>
              <w:rPr>
                <w:sz w:val="21"/>
                <w:szCs w:val="21"/>
              </w:rPr>
            </w:pPr>
            <w:r>
              <w:rPr>
                <w:sz w:val="21"/>
                <w:szCs w:val="21"/>
              </w:rPr>
              <w:t>Indicators 9 and 10 evaluate whether an LEA that has disproportionate representation in one or more racial/ethnic group(s) identified with disabilities (Indicator 9) and/or six specific disability categories (Indicator 10) are the result of an inappropriate identification.</w:t>
            </w:r>
          </w:p>
        </w:tc>
        <w:tc>
          <w:tcPr>
            <w:tcW w:w="3690" w:type="dxa"/>
            <w:vAlign w:val="center"/>
          </w:tcPr>
          <w:p w14:paraId="2DDB39B4" w14:textId="77777777" w:rsidR="00245724" w:rsidRDefault="005C6FF6">
            <w:pPr>
              <w:rPr>
                <w:sz w:val="21"/>
                <w:szCs w:val="21"/>
              </w:rPr>
            </w:pPr>
            <w:r>
              <w:rPr>
                <w:sz w:val="21"/>
                <w:szCs w:val="21"/>
              </w:rPr>
              <w:t xml:space="preserve">Data for Indicators 4B, 9, and 10 are based on state collected discipline data (Indicator 4B) and October 1 child count and enrollment data (Indicators 9 and 10). Based on data analyses, LEAs may be required to complete reviews of policies, procedures, and practices to determine compliance with </w:t>
            </w:r>
            <w:r>
              <w:rPr>
                <w:i/>
                <w:sz w:val="21"/>
                <w:szCs w:val="21"/>
              </w:rPr>
              <w:t>IDEA</w:t>
            </w:r>
            <w:r>
              <w:rPr>
                <w:sz w:val="21"/>
                <w:szCs w:val="21"/>
              </w:rPr>
              <w:t>.</w:t>
            </w:r>
          </w:p>
          <w:p w14:paraId="4E417127" w14:textId="77777777" w:rsidR="00245724" w:rsidRDefault="00245724">
            <w:pPr>
              <w:rPr>
                <w:sz w:val="10"/>
                <w:szCs w:val="10"/>
              </w:rPr>
            </w:pPr>
          </w:p>
          <w:p w14:paraId="3F9EB8F0" w14:textId="77777777" w:rsidR="00245724" w:rsidRDefault="005C6FF6">
            <w:pPr>
              <w:rPr>
                <w:sz w:val="21"/>
                <w:szCs w:val="21"/>
              </w:rPr>
            </w:pPr>
            <w:r>
              <w:rPr>
                <w:sz w:val="21"/>
                <w:szCs w:val="21"/>
              </w:rPr>
              <w:t>Further details on these indicators can be found on the state’s SPP/APR website (</w:t>
            </w:r>
            <w:hyperlink r:id="rId13">
              <w:r>
                <w:rPr>
                  <w:color w:val="0563C1"/>
                  <w:sz w:val="21"/>
                  <w:szCs w:val="21"/>
                  <w:u w:val="single"/>
                </w:rPr>
                <w:t>here</w:t>
              </w:r>
            </w:hyperlink>
            <w:r>
              <w:rPr>
                <w:sz w:val="21"/>
                <w:szCs w:val="21"/>
              </w:rPr>
              <w:t>).</w:t>
            </w:r>
          </w:p>
        </w:tc>
      </w:tr>
      <w:tr w:rsidR="00245724" w14:paraId="5F3CE86B" w14:textId="77777777" w:rsidTr="00DA66AF">
        <w:trPr>
          <w:trHeight w:val="2771"/>
        </w:trPr>
        <w:tc>
          <w:tcPr>
            <w:tcW w:w="2245" w:type="dxa"/>
            <w:vAlign w:val="center"/>
          </w:tcPr>
          <w:p w14:paraId="24B37E4D" w14:textId="77777777" w:rsidR="00245724" w:rsidRDefault="005C6FF6">
            <w:pPr>
              <w:rPr>
                <w:b/>
                <w:sz w:val="21"/>
                <w:szCs w:val="21"/>
              </w:rPr>
            </w:pPr>
            <w:r>
              <w:rPr>
                <w:b/>
                <w:sz w:val="21"/>
                <w:szCs w:val="21"/>
              </w:rPr>
              <w:t>SPP/APR Indicators 11, 12, and 13</w:t>
            </w:r>
          </w:p>
        </w:tc>
        <w:tc>
          <w:tcPr>
            <w:tcW w:w="1440" w:type="dxa"/>
            <w:vAlign w:val="center"/>
          </w:tcPr>
          <w:p w14:paraId="15012638" w14:textId="77777777" w:rsidR="00245724" w:rsidRDefault="005C6FF6">
            <w:pPr>
              <w:rPr>
                <w:sz w:val="21"/>
                <w:szCs w:val="21"/>
              </w:rPr>
            </w:pPr>
            <w:r>
              <w:rPr>
                <w:sz w:val="21"/>
                <w:szCs w:val="21"/>
              </w:rPr>
              <w:t>SY 2022-2023</w:t>
            </w:r>
          </w:p>
        </w:tc>
        <w:tc>
          <w:tcPr>
            <w:tcW w:w="7290" w:type="dxa"/>
            <w:vAlign w:val="center"/>
          </w:tcPr>
          <w:p w14:paraId="6823E871" w14:textId="77777777" w:rsidR="00245724" w:rsidRDefault="005C6FF6">
            <w:pPr>
              <w:rPr>
                <w:sz w:val="21"/>
                <w:szCs w:val="21"/>
              </w:rPr>
            </w:pPr>
            <w:r>
              <w:rPr>
                <w:sz w:val="21"/>
                <w:szCs w:val="21"/>
              </w:rPr>
              <w:t xml:space="preserve">Indicator 11 evaluates whether monitored LEAs fulfilled Child Find responsibilities in meeting initial evaluation timelines. </w:t>
            </w:r>
          </w:p>
          <w:p w14:paraId="4499166F" w14:textId="77777777" w:rsidR="00245724" w:rsidRDefault="00245724">
            <w:pPr>
              <w:rPr>
                <w:sz w:val="10"/>
                <w:szCs w:val="10"/>
              </w:rPr>
            </w:pPr>
          </w:p>
          <w:p w14:paraId="3FFE82EE" w14:textId="77777777" w:rsidR="00245724" w:rsidRDefault="005C6FF6">
            <w:pPr>
              <w:rPr>
                <w:sz w:val="21"/>
                <w:szCs w:val="21"/>
              </w:rPr>
            </w:pPr>
            <w:r>
              <w:rPr>
                <w:sz w:val="21"/>
                <w:szCs w:val="21"/>
              </w:rPr>
              <w:t>Indicator 12 evaluates whether children transitioning from Early Intervention programs (Part C) to Part B programs had IEPs developed and implemented by their third birthdays.</w:t>
            </w:r>
          </w:p>
          <w:p w14:paraId="21F1BFCD" w14:textId="77777777" w:rsidR="00245724" w:rsidRDefault="00245724">
            <w:pPr>
              <w:rPr>
                <w:sz w:val="10"/>
                <w:szCs w:val="10"/>
              </w:rPr>
            </w:pPr>
          </w:p>
          <w:p w14:paraId="5257DF0F" w14:textId="77777777" w:rsidR="00245724" w:rsidRDefault="005C6FF6">
            <w:pPr>
              <w:rPr>
                <w:sz w:val="21"/>
                <w:szCs w:val="21"/>
              </w:rPr>
            </w:pPr>
            <w:r>
              <w:rPr>
                <w:sz w:val="21"/>
                <w:szCs w:val="21"/>
              </w:rPr>
              <w:t xml:space="preserve">Indicator 13 evaluates whether children aged 14 and above receive secondary transition planning and services aligned with </w:t>
            </w:r>
            <w:r>
              <w:rPr>
                <w:i/>
                <w:sz w:val="21"/>
                <w:szCs w:val="21"/>
              </w:rPr>
              <w:t xml:space="preserve">IDEA </w:t>
            </w:r>
            <w:r>
              <w:rPr>
                <w:sz w:val="21"/>
                <w:szCs w:val="21"/>
              </w:rPr>
              <w:t>requirements.</w:t>
            </w:r>
          </w:p>
        </w:tc>
        <w:tc>
          <w:tcPr>
            <w:tcW w:w="3690" w:type="dxa"/>
            <w:vAlign w:val="center"/>
          </w:tcPr>
          <w:p w14:paraId="10151626" w14:textId="77777777" w:rsidR="00245724" w:rsidRDefault="005C6FF6">
            <w:pPr>
              <w:rPr>
                <w:sz w:val="21"/>
                <w:szCs w:val="21"/>
              </w:rPr>
            </w:pPr>
            <w:r>
              <w:rPr>
                <w:sz w:val="21"/>
                <w:szCs w:val="21"/>
              </w:rPr>
              <w:t xml:space="preserve">Data </w:t>
            </w:r>
            <w:proofErr w:type="gramStart"/>
            <w:r>
              <w:rPr>
                <w:sz w:val="21"/>
                <w:szCs w:val="21"/>
              </w:rPr>
              <w:t>are</w:t>
            </w:r>
            <w:proofErr w:type="gramEnd"/>
            <w:r>
              <w:rPr>
                <w:sz w:val="21"/>
                <w:szCs w:val="21"/>
              </w:rPr>
              <w:t xml:space="preserve"> collected only for LEAs part of Tiered Focused Monitoring Group A. Student-level information is reported by LEAs in the state’s web-based monitoring system and monitoring staff determine compliance based on information and evidence provided.</w:t>
            </w:r>
          </w:p>
          <w:p w14:paraId="13FF5F2A" w14:textId="77777777" w:rsidR="00245724" w:rsidRDefault="00245724">
            <w:pPr>
              <w:rPr>
                <w:sz w:val="10"/>
                <w:szCs w:val="10"/>
              </w:rPr>
            </w:pPr>
          </w:p>
          <w:p w14:paraId="46F279F1" w14:textId="77777777" w:rsidR="00245724" w:rsidRDefault="005C6FF6">
            <w:pPr>
              <w:rPr>
                <w:sz w:val="21"/>
                <w:szCs w:val="21"/>
              </w:rPr>
            </w:pPr>
            <w:r>
              <w:rPr>
                <w:sz w:val="21"/>
                <w:szCs w:val="21"/>
              </w:rPr>
              <w:t>Further details on these indicators can be found on the state’s SPP/APR website (</w:t>
            </w:r>
            <w:hyperlink r:id="rId14">
              <w:r>
                <w:rPr>
                  <w:color w:val="0563C1"/>
                  <w:sz w:val="21"/>
                  <w:szCs w:val="21"/>
                  <w:u w:val="single"/>
                </w:rPr>
                <w:t>here</w:t>
              </w:r>
            </w:hyperlink>
            <w:r>
              <w:rPr>
                <w:sz w:val="21"/>
                <w:szCs w:val="21"/>
              </w:rPr>
              <w:t>).</w:t>
            </w:r>
          </w:p>
        </w:tc>
      </w:tr>
      <w:tr w:rsidR="00245724" w14:paraId="22A3A0B0" w14:textId="77777777" w:rsidTr="00DA66AF">
        <w:trPr>
          <w:trHeight w:val="1799"/>
        </w:trPr>
        <w:tc>
          <w:tcPr>
            <w:tcW w:w="2245" w:type="dxa"/>
            <w:vAlign w:val="center"/>
          </w:tcPr>
          <w:p w14:paraId="3EAD30DB" w14:textId="77777777" w:rsidR="00245724" w:rsidRDefault="005C6FF6">
            <w:pPr>
              <w:rPr>
                <w:b/>
                <w:sz w:val="21"/>
                <w:szCs w:val="21"/>
              </w:rPr>
            </w:pPr>
            <w:r>
              <w:rPr>
                <w:b/>
                <w:sz w:val="21"/>
                <w:szCs w:val="21"/>
              </w:rPr>
              <w:t>Identification of Noncompliance (number of findings)</w:t>
            </w:r>
          </w:p>
        </w:tc>
        <w:tc>
          <w:tcPr>
            <w:tcW w:w="1440" w:type="dxa"/>
            <w:vAlign w:val="center"/>
          </w:tcPr>
          <w:p w14:paraId="15380F30" w14:textId="77777777" w:rsidR="00245724" w:rsidRDefault="005C6FF6">
            <w:pPr>
              <w:rPr>
                <w:sz w:val="21"/>
                <w:szCs w:val="21"/>
              </w:rPr>
            </w:pPr>
            <w:r>
              <w:rPr>
                <w:sz w:val="21"/>
                <w:szCs w:val="21"/>
              </w:rPr>
              <w:t>SY 2022-2023</w:t>
            </w:r>
          </w:p>
        </w:tc>
        <w:tc>
          <w:tcPr>
            <w:tcW w:w="7290" w:type="dxa"/>
            <w:vAlign w:val="center"/>
          </w:tcPr>
          <w:p w14:paraId="22AB5ECF" w14:textId="77777777" w:rsidR="00245724" w:rsidRDefault="005C6FF6">
            <w:pPr>
              <w:rPr>
                <w:sz w:val="21"/>
                <w:szCs w:val="21"/>
              </w:rPr>
            </w:pPr>
            <w:r>
              <w:rPr>
                <w:sz w:val="21"/>
                <w:szCs w:val="21"/>
              </w:rPr>
              <w:t xml:space="preserve">These data are based on the combined number of findings of noncompliance with </w:t>
            </w:r>
            <w:r>
              <w:rPr>
                <w:i/>
                <w:sz w:val="21"/>
                <w:szCs w:val="21"/>
              </w:rPr>
              <w:t xml:space="preserve">IDEA </w:t>
            </w:r>
            <w:r>
              <w:rPr>
                <w:sz w:val="21"/>
                <w:szCs w:val="21"/>
              </w:rPr>
              <w:t xml:space="preserve">found through the </w:t>
            </w:r>
            <w:proofErr w:type="gramStart"/>
            <w:r>
              <w:rPr>
                <w:sz w:val="21"/>
                <w:szCs w:val="21"/>
              </w:rPr>
              <w:t>Public School</w:t>
            </w:r>
            <w:proofErr w:type="gramEnd"/>
            <w:r>
              <w:rPr>
                <w:sz w:val="21"/>
                <w:szCs w:val="21"/>
              </w:rPr>
              <w:t xml:space="preserve"> Monitoring’s Tiered Focused Monitoring (Group A and Group B) and Problem Resolution Systems. </w:t>
            </w:r>
          </w:p>
          <w:p w14:paraId="2360F1C9" w14:textId="77777777" w:rsidR="00245724" w:rsidRDefault="00245724">
            <w:pPr>
              <w:rPr>
                <w:sz w:val="10"/>
                <w:szCs w:val="10"/>
              </w:rPr>
            </w:pPr>
          </w:p>
          <w:p w14:paraId="5928638A" w14:textId="77777777" w:rsidR="00245724" w:rsidRDefault="005C6FF6">
            <w:pPr>
              <w:rPr>
                <w:sz w:val="21"/>
                <w:szCs w:val="21"/>
              </w:rPr>
            </w:pPr>
            <w:r>
              <w:rPr>
                <w:sz w:val="21"/>
                <w:szCs w:val="21"/>
              </w:rPr>
              <w:t>Data provided for this data element is not a count of noncompliance, but instead a rate to standardize data across LEAs of all sizes.</w:t>
            </w:r>
          </w:p>
        </w:tc>
        <w:tc>
          <w:tcPr>
            <w:tcW w:w="3690" w:type="dxa"/>
            <w:vAlign w:val="center"/>
          </w:tcPr>
          <w:p w14:paraId="7D7F95D2" w14:textId="77777777" w:rsidR="00245724" w:rsidRDefault="005C6FF6">
            <w:pPr>
              <w:rPr>
                <w:sz w:val="21"/>
                <w:szCs w:val="21"/>
              </w:rPr>
            </w:pPr>
            <w:r>
              <w:rPr>
                <w:sz w:val="21"/>
                <w:szCs w:val="21"/>
              </w:rPr>
              <w:t xml:space="preserve">Data are based on findings of noncompliance or complaints identified through Tiered Focused Monitoring (more information </w:t>
            </w:r>
            <w:hyperlink r:id="rId15">
              <w:r>
                <w:rPr>
                  <w:color w:val="0563C1"/>
                  <w:sz w:val="21"/>
                  <w:szCs w:val="21"/>
                  <w:u w:val="single"/>
                </w:rPr>
                <w:t>here</w:t>
              </w:r>
            </w:hyperlink>
            <w:r>
              <w:rPr>
                <w:sz w:val="21"/>
                <w:szCs w:val="21"/>
              </w:rPr>
              <w:t xml:space="preserve">) or Problem Resolution Systems (more information </w:t>
            </w:r>
            <w:hyperlink r:id="rId16">
              <w:r>
                <w:rPr>
                  <w:color w:val="0563C1"/>
                  <w:sz w:val="21"/>
                  <w:szCs w:val="21"/>
                  <w:u w:val="single"/>
                </w:rPr>
                <w:t>here</w:t>
              </w:r>
            </w:hyperlink>
            <w:r>
              <w:rPr>
                <w:sz w:val="21"/>
                <w:szCs w:val="21"/>
              </w:rPr>
              <w:t xml:space="preserve">). </w:t>
            </w:r>
          </w:p>
        </w:tc>
      </w:tr>
      <w:tr w:rsidR="00245724" w14:paraId="48F3CE33" w14:textId="77777777" w:rsidTr="00DA66AF">
        <w:trPr>
          <w:trHeight w:val="1871"/>
        </w:trPr>
        <w:tc>
          <w:tcPr>
            <w:tcW w:w="2245" w:type="dxa"/>
            <w:vAlign w:val="center"/>
          </w:tcPr>
          <w:p w14:paraId="7A583C1A" w14:textId="77777777" w:rsidR="00245724" w:rsidRDefault="005C6FF6">
            <w:pPr>
              <w:rPr>
                <w:b/>
                <w:sz w:val="21"/>
                <w:szCs w:val="21"/>
              </w:rPr>
            </w:pPr>
            <w:r>
              <w:rPr>
                <w:b/>
                <w:sz w:val="21"/>
                <w:szCs w:val="21"/>
              </w:rPr>
              <w:t>Timely Submission/ Verified Correction of Noncompliance</w:t>
            </w:r>
          </w:p>
        </w:tc>
        <w:tc>
          <w:tcPr>
            <w:tcW w:w="1440" w:type="dxa"/>
            <w:vAlign w:val="center"/>
          </w:tcPr>
          <w:p w14:paraId="2606AC2E" w14:textId="77777777" w:rsidR="00245724" w:rsidRDefault="005C6FF6">
            <w:pPr>
              <w:rPr>
                <w:sz w:val="21"/>
                <w:szCs w:val="21"/>
              </w:rPr>
            </w:pPr>
            <w:r>
              <w:rPr>
                <w:sz w:val="21"/>
                <w:szCs w:val="21"/>
              </w:rPr>
              <w:t>SY 2022-2023</w:t>
            </w:r>
          </w:p>
        </w:tc>
        <w:tc>
          <w:tcPr>
            <w:tcW w:w="7290" w:type="dxa"/>
            <w:vAlign w:val="center"/>
          </w:tcPr>
          <w:p w14:paraId="69082891" w14:textId="77777777" w:rsidR="00245724" w:rsidRDefault="005C6FF6">
            <w:pPr>
              <w:rPr>
                <w:sz w:val="21"/>
                <w:szCs w:val="21"/>
              </w:rPr>
            </w:pPr>
            <w:proofErr w:type="gramStart"/>
            <w:r>
              <w:rPr>
                <w:sz w:val="21"/>
                <w:szCs w:val="21"/>
              </w:rPr>
              <w:t>These</w:t>
            </w:r>
            <w:proofErr w:type="gramEnd"/>
            <w:r>
              <w:rPr>
                <w:sz w:val="21"/>
                <w:szCs w:val="21"/>
              </w:rPr>
              <w:t xml:space="preserve"> data are based on the combined number of instances in which data submitted were not valid, reliable, and timely and findings of noncompliance were not verified as corrected within one year of written notification of findings.</w:t>
            </w:r>
          </w:p>
          <w:p w14:paraId="790923EE" w14:textId="77777777" w:rsidR="00245724" w:rsidRDefault="00245724">
            <w:pPr>
              <w:rPr>
                <w:sz w:val="10"/>
                <w:szCs w:val="10"/>
              </w:rPr>
            </w:pPr>
          </w:p>
          <w:p w14:paraId="6EB458D2" w14:textId="77777777" w:rsidR="00245724" w:rsidRDefault="005C6FF6">
            <w:pPr>
              <w:rPr>
                <w:sz w:val="21"/>
                <w:szCs w:val="21"/>
              </w:rPr>
            </w:pPr>
            <w:r>
              <w:rPr>
                <w:sz w:val="21"/>
                <w:szCs w:val="21"/>
              </w:rPr>
              <w:t>Data provided for this data element is not a count of reports not valid, reliable, and timely and/or findings of noncompliance not yet verified as corrected, but instead a rate to standardize data across LEAs of all sizes.</w:t>
            </w:r>
          </w:p>
        </w:tc>
        <w:tc>
          <w:tcPr>
            <w:tcW w:w="3690" w:type="dxa"/>
            <w:vAlign w:val="center"/>
          </w:tcPr>
          <w:p w14:paraId="17C057C5" w14:textId="77777777" w:rsidR="00245724" w:rsidRDefault="005C6FF6">
            <w:pPr>
              <w:rPr>
                <w:sz w:val="21"/>
                <w:szCs w:val="21"/>
              </w:rPr>
            </w:pPr>
            <w:r>
              <w:rPr>
                <w:sz w:val="21"/>
                <w:szCs w:val="21"/>
              </w:rPr>
              <w:t xml:space="preserve">Data are based on findings of outstanding noncompliance identified through Tiered Focused Monitoring (more information </w:t>
            </w:r>
            <w:hyperlink r:id="rId17">
              <w:r>
                <w:rPr>
                  <w:color w:val="0563C1"/>
                  <w:sz w:val="21"/>
                  <w:szCs w:val="21"/>
                  <w:u w:val="single"/>
                </w:rPr>
                <w:t>here</w:t>
              </w:r>
            </w:hyperlink>
            <w:r>
              <w:rPr>
                <w:sz w:val="21"/>
                <w:szCs w:val="21"/>
              </w:rPr>
              <w:t xml:space="preserve">) or untimely submission of Corrective Action Plans identified through Problem Resolution Systems (more information </w:t>
            </w:r>
            <w:hyperlink r:id="rId18">
              <w:r>
                <w:rPr>
                  <w:color w:val="0563C1"/>
                  <w:sz w:val="21"/>
                  <w:szCs w:val="21"/>
                  <w:u w:val="single"/>
                </w:rPr>
                <w:t>here</w:t>
              </w:r>
            </w:hyperlink>
            <w:r>
              <w:rPr>
                <w:sz w:val="21"/>
                <w:szCs w:val="21"/>
              </w:rPr>
              <w:t xml:space="preserve">). </w:t>
            </w:r>
          </w:p>
        </w:tc>
      </w:tr>
    </w:tbl>
    <w:p w14:paraId="4C3A45C1" w14:textId="77777777" w:rsidR="00245724" w:rsidRDefault="00245724"/>
    <w:sectPr w:rsidR="00245724">
      <w:pgSz w:w="15840" w:h="12240" w:orient="landscape"/>
      <w:pgMar w:top="576" w:right="576" w:bottom="432" w:left="576"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8C63F" w14:textId="77777777" w:rsidR="00966E3A" w:rsidRDefault="00966E3A">
      <w:pPr>
        <w:spacing w:after="0" w:line="240" w:lineRule="auto"/>
      </w:pPr>
      <w:r>
        <w:separator/>
      </w:r>
    </w:p>
  </w:endnote>
  <w:endnote w:type="continuationSeparator" w:id="0">
    <w:p w14:paraId="42B81AD5" w14:textId="77777777" w:rsidR="00966E3A" w:rsidRDefault="00966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AFF10" w14:textId="77777777" w:rsidR="00966E3A" w:rsidRDefault="00966E3A">
      <w:pPr>
        <w:spacing w:after="0" w:line="240" w:lineRule="auto"/>
      </w:pPr>
      <w:r>
        <w:separator/>
      </w:r>
    </w:p>
  </w:footnote>
  <w:footnote w:type="continuationSeparator" w:id="0">
    <w:p w14:paraId="488C31AD" w14:textId="77777777" w:rsidR="00966E3A" w:rsidRDefault="00966E3A">
      <w:pPr>
        <w:spacing w:after="0" w:line="240" w:lineRule="auto"/>
      </w:pPr>
      <w:r>
        <w:continuationSeparator/>
      </w:r>
    </w:p>
  </w:footnote>
  <w:footnote w:id="1">
    <w:p w14:paraId="4AC682AC" w14:textId="77777777" w:rsidR="00245724" w:rsidRDefault="005C6FF6">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color w:val="000000"/>
          <w:sz w:val="18"/>
          <w:szCs w:val="18"/>
        </w:rPr>
        <w:t>See §300.00(a)(2) and §300.603(b)(1).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24"/>
    <w:rsid w:val="00041AE0"/>
    <w:rsid w:val="000537AD"/>
    <w:rsid w:val="001A1CE2"/>
    <w:rsid w:val="00245724"/>
    <w:rsid w:val="0026685C"/>
    <w:rsid w:val="002B331B"/>
    <w:rsid w:val="004A1EB8"/>
    <w:rsid w:val="005C6FF6"/>
    <w:rsid w:val="00966E3A"/>
    <w:rsid w:val="00996072"/>
    <w:rsid w:val="00B64826"/>
    <w:rsid w:val="00CE3C39"/>
    <w:rsid w:val="00DA66A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5F9B"/>
  <w15:docId w15:val="{72D7CB14-6FDC-49FD-AD3B-3DCB924D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D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5D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5D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5D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5D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5D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5D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5D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5D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5D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55D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5D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5D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5D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5D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5D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5D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5D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5D9D"/>
    <w:rPr>
      <w:rFonts w:eastAsiaTheme="majorEastAsia" w:cstheme="majorBidi"/>
      <w:color w:val="272727" w:themeColor="text1" w:themeTint="D8"/>
    </w:rPr>
  </w:style>
  <w:style w:type="character" w:customStyle="1" w:styleId="TitleChar">
    <w:name w:val="Title Char"/>
    <w:basedOn w:val="DefaultParagraphFont"/>
    <w:link w:val="Title"/>
    <w:uiPriority w:val="10"/>
    <w:rsid w:val="00E55D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E55D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5D9D"/>
    <w:pPr>
      <w:spacing w:before="160"/>
      <w:jc w:val="center"/>
    </w:pPr>
    <w:rPr>
      <w:i/>
      <w:iCs/>
      <w:color w:val="404040" w:themeColor="text1" w:themeTint="BF"/>
    </w:rPr>
  </w:style>
  <w:style w:type="character" w:customStyle="1" w:styleId="QuoteChar">
    <w:name w:val="Quote Char"/>
    <w:basedOn w:val="DefaultParagraphFont"/>
    <w:link w:val="Quote"/>
    <w:uiPriority w:val="29"/>
    <w:rsid w:val="00E55D9D"/>
    <w:rPr>
      <w:i/>
      <w:iCs/>
      <w:color w:val="404040" w:themeColor="text1" w:themeTint="BF"/>
    </w:rPr>
  </w:style>
  <w:style w:type="paragraph" w:styleId="ListParagraph">
    <w:name w:val="List Paragraph"/>
    <w:basedOn w:val="Normal"/>
    <w:uiPriority w:val="34"/>
    <w:qFormat/>
    <w:rsid w:val="00E55D9D"/>
    <w:pPr>
      <w:ind w:left="720"/>
      <w:contextualSpacing/>
    </w:pPr>
  </w:style>
  <w:style w:type="character" w:styleId="IntenseEmphasis">
    <w:name w:val="Intense Emphasis"/>
    <w:basedOn w:val="DefaultParagraphFont"/>
    <w:uiPriority w:val="21"/>
    <w:qFormat/>
    <w:rsid w:val="00E55D9D"/>
    <w:rPr>
      <w:i/>
      <w:iCs/>
      <w:color w:val="2F5496" w:themeColor="accent1" w:themeShade="BF"/>
    </w:rPr>
  </w:style>
  <w:style w:type="paragraph" w:styleId="IntenseQuote">
    <w:name w:val="Intense Quote"/>
    <w:basedOn w:val="Normal"/>
    <w:next w:val="Normal"/>
    <w:link w:val="IntenseQuoteChar"/>
    <w:uiPriority w:val="30"/>
    <w:qFormat/>
    <w:rsid w:val="00E55D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5D9D"/>
    <w:rPr>
      <w:i/>
      <w:iCs/>
      <w:color w:val="2F5496" w:themeColor="accent1" w:themeShade="BF"/>
    </w:rPr>
  </w:style>
  <w:style w:type="character" w:styleId="IntenseReference">
    <w:name w:val="Intense Reference"/>
    <w:basedOn w:val="DefaultParagraphFont"/>
    <w:uiPriority w:val="32"/>
    <w:qFormat/>
    <w:rsid w:val="00E55D9D"/>
    <w:rPr>
      <w:b/>
      <w:bCs/>
      <w:smallCaps/>
      <w:color w:val="2F5496" w:themeColor="accent1" w:themeShade="BF"/>
      <w:spacing w:val="5"/>
    </w:rPr>
  </w:style>
  <w:style w:type="table" w:styleId="TableGrid">
    <w:name w:val="Table Grid"/>
    <w:basedOn w:val="TableNormal"/>
    <w:uiPriority w:val="39"/>
    <w:rsid w:val="00F25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10B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0B2F"/>
    <w:rPr>
      <w:sz w:val="20"/>
      <w:szCs w:val="20"/>
    </w:rPr>
  </w:style>
  <w:style w:type="character" w:styleId="FootnoteReference">
    <w:name w:val="footnote reference"/>
    <w:basedOn w:val="DefaultParagraphFont"/>
    <w:uiPriority w:val="99"/>
    <w:semiHidden/>
    <w:unhideWhenUsed/>
    <w:rsid w:val="00410B2F"/>
    <w:rPr>
      <w:vertAlign w:val="superscript"/>
    </w:rPr>
  </w:style>
  <w:style w:type="character" w:styleId="CommentReference">
    <w:name w:val="annotation reference"/>
    <w:basedOn w:val="DefaultParagraphFont"/>
    <w:uiPriority w:val="99"/>
    <w:semiHidden/>
    <w:unhideWhenUsed/>
    <w:rsid w:val="00D7009D"/>
    <w:rPr>
      <w:sz w:val="16"/>
      <w:szCs w:val="16"/>
    </w:rPr>
  </w:style>
  <w:style w:type="paragraph" w:styleId="CommentText">
    <w:name w:val="annotation text"/>
    <w:basedOn w:val="Normal"/>
    <w:link w:val="CommentTextChar"/>
    <w:uiPriority w:val="99"/>
    <w:unhideWhenUsed/>
    <w:rsid w:val="00D7009D"/>
    <w:pPr>
      <w:spacing w:line="240" w:lineRule="auto"/>
    </w:pPr>
    <w:rPr>
      <w:sz w:val="20"/>
      <w:szCs w:val="20"/>
    </w:rPr>
  </w:style>
  <w:style w:type="character" w:customStyle="1" w:styleId="CommentTextChar">
    <w:name w:val="Comment Text Char"/>
    <w:basedOn w:val="DefaultParagraphFont"/>
    <w:link w:val="CommentText"/>
    <w:uiPriority w:val="99"/>
    <w:rsid w:val="00D7009D"/>
    <w:rPr>
      <w:sz w:val="20"/>
      <w:szCs w:val="20"/>
    </w:rPr>
  </w:style>
  <w:style w:type="paragraph" w:styleId="CommentSubject">
    <w:name w:val="annotation subject"/>
    <w:basedOn w:val="CommentText"/>
    <w:next w:val="CommentText"/>
    <w:link w:val="CommentSubjectChar"/>
    <w:uiPriority w:val="99"/>
    <w:semiHidden/>
    <w:unhideWhenUsed/>
    <w:rsid w:val="00D7009D"/>
    <w:rPr>
      <w:b/>
      <w:bCs/>
    </w:rPr>
  </w:style>
  <w:style w:type="character" w:customStyle="1" w:styleId="CommentSubjectChar">
    <w:name w:val="Comment Subject Char"/>
    <w:basedOn w:val="CommentTextChar"/>
    <w:link w:val="CommentSubject"/>
    <w:uiPriority w:val="99"/>
    <w:semiHidden/>
    <w:rsid w:val="00D7009D"/>
    <w:rPr>
      <w:b/>
      <w:bCs/>
      <w:sz w:val="20"/>
      <w:szCs w:val="20"/>
    </w:rPr>
  </w:style>
  <w:style w:type="character" w:styleId="Hyperlink">
    <w:name w:val="Hyperlink"/>
    <w:basedOn w:val="DefaultParagraphFont"/>
    <w:uiPriority w:val="99"/>
    <w:unhideWhenUsed/>
    <w:rsid w:val="00637995"/>
    <w:rPr>
      <w:color w:val="0563C1" w:themeColor="hyperlink"/>
      <w:u w:val="single"/>
    </w:rPr>
  </w:style>
  <w:style w:type="character" w:styleId="UnresolvedMention">
    <w:name w:val="Unresolved Mention"/>
    <w:basedOn w:val="DefaultParagraphFont"/>
    <w:uiPriority w:val="99"/>
    <w:semiHidden/>
    <w:unhideWhenUsed/>
    <w:rsid w:val="00637995"/>
    <w:rPr>
      <w:color w:val="605E5C"/>
      <w:shd w:val="clear" w:color="auto" w:fill="E1DFDD"/>
    </w:rPr>
  </w:style>
  <w:style w:type="paragraph" w:styleId="Header">
    <w:name w:val="header"/>
    <w:basedOn w:val="Normal"/>
    <w:link w:val="HeaderChar"/>
    <w:uiPriority w:val="99"/>
    <w:unhideWhenUsed/>
    <w:rsid w:val="0041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77A"/>
  </w:style>
  <w:style w:type="paragraph" w:styleId="Footer">
    <w:name w:val="footer"/>
    <w:basedOn w:val="Normal"/>
    <w:link w:val="FooterChar"/>
    <w:uiPriority w:val="99"/>
    <w:unhideWhenUsed/>
    <w:rsid w:val="0041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77A"/>
  </w:style>
  <w:style w:type="character" w:styleId="FollowedHyperlink">
    <w:name w:val="FollowedHyperlink"/>
    <w:basedOn w:val="DefaultParagraphFont"/>
    <w:uiPriority w:val="99"/>
    <w:semiHidden/>
    <w:unhideWhenUsed/>
    <w:rsid w:val="003F4EE5"/>
    <w:rPr>
      <w:color w:val="954F72" w:themeColor="followedHyperlink"/>
      <w:u w:val="single"/>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doe.mass.edu/infoservices/data/guides/dropout-calc.html" TargetMode="External"/><Relationship Id="rId13" Type="http://schemas.openxmlformats.org/officeDocument/2006/relationships/hyperlink" Target="https://www.doe.mass.edu/sped/spp/maspp.html" TargetMode="External"/><Relationship Id="rId18" Type="http://schemas.openxmlformats.org/officeDocument/2006/relationships/hyperlink" Target="https://www.doe.mass.edu/prs/guide/default.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ofiles.doe.mass.edu/statereport/nextgenmcas.aspx" TargetMode="External"/><Relationship Id="rId17" Type="http://schemas.openxmlformats.org/officeDocument/2006/relationships/hyperlink" Target="https://www.doe.mass.edu/psm/" TargetMode="External"/><Relationship Id="rId2" Type="http://schemas.openxmlformats.org/officeDocument/2006/relationships/styles" Target="styles.xml"/><Relationship Id="rId16" Type="http://schemas.openxmlformats.org/officeDocument/2006/relationships/hyperlink" Target="https://www.doe.mass.edu/prs/guide/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gateway.edu.state.ma.us/stardust/login" TargetMode="External"/><Relationship Id="rId5" Type="http://schemas.openxmlformats.org/officeDocument/2006/relationships/footnotes" Target="footnotes.xml"/><Relationship Id="rId15" Type="http://schemas.openxmlformats.org/officeDocument/2006/relationships/hyperlink" Target="https://www.doe.mass.edu/psm/" TargetMode="External"/><Relationship Id="rId10" Type="http://schemas.openxmlformats.org/officeDocument/2006/relationships/hyperlink" Target="https://www.doe.mass.edu/infoservices/reports/gradrates/gradratesfaq.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ateway.edu.state.ma.us/stardust/login" TargetMode="External"/><Relationship Id="rId14" Type="http://schemas.openxmlformats.org/officeDocument/2006/relationships/hyperlink" Target="https://www.doe.mass.edu/sped/spp/masp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KeH3jLH9/zRNwJZXzy+dkDoOzg==">CgMxLjA4AGonChRzdWdnZXN0Lndrd2h6a2JpbTY1ORIPTGF1cmVuIExlQmVudGFsaicKFHN1Z2dlc3QudGtwdDRkMWx2ZnBuEg9MYXVyZW4gTGVCZW50YWxqJwoUc3VnZ2VzdC5lZ3Q1MDlpMWZuN2QSD0xhdXJlbiBMZUJlbnRhbGonChRzdWdnZXN0LmNpbzE0NzVsdzY5bBIPTGF1cmVuIExlQmVudGFsaicKFHN1Z2dlc3QudXY5ZDhlaWU2dWdxEg9MYXVyZW4gTGVCZW50YWxyITF6RWR6QkxoUVZmZnpiaHRqVzI3X2pPY0sybFdtVFFa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Quick Reference Guide: LEA Determination Criteria for 2023</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Reference Guide: LEA Determination Criteria for 2023</dc:title>
  <dc:creator>DESE</dc:creator>
  <cp:lastModifiedBy>Zou, Dong (EOE)</cp:lastModifiedBy>
  <cp:revision>10</cp:revision>
  <dcterms:created xsi:type="dcterms:W3CDTF">2024-05-10T16:37:00Z</dcterms:created>
  <dcterms:modified xsi:type="dcterms:W3CDTF">2024-05-10T18:09:00Z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10 2024 12:00AM</vt:lpwstr>
  </property>
</Properties>
</file>