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F6944" w14:textId="6C1797B8" w:rsidR="00C63C72" w:rsidRPr="00E579D7" w:rsidRDefault="007D5351" w:rsidP="009936DE">
      <w:pPr>
        <w:jc w:val="center"/>
      </w:pPr>
      <w:bookmarkStart w:id="0" w:name="_Hlk115875470"/>
      <w:r w:rsidRPr="1B7BFB39">
        <w:rPr>
          <w:b/>
        </w:rPr>
        <w:t>Frequently Asked Questions about</w:t>
      </w:r>
      <w:r w:rsidR="002A0729" w:rsidRPr="1B7BFB39">
        <w:rPr>
          <w:b/>
        </w:rPr>
        <w:t xml:space="preserve"> </w:t>
      </w:r>
      <w:r w:rsidR="00E30AC8">
        <w:rPr>
          <w:b/>
        </w:rPr>
        <w:t xml:space="preserve">LEA </w:t>
      </w:r>
      <w:r w:rsidRPr="1B7BFB39">
        <w:rPr>
          <w:b/>
        </w:rPr>
        <w:t>Determinations of Need for Special Education Technical Assistance or Intervention</w:t>
      </w:r>
    </w:p>
    <w:p w14:paraId="06E704F6" w14:textId="06D5DFC3" w:rsidR="00377F8D" w:rsidRPr="00301F0D" w:rsidRDefault="00301F0D" w:rsidP="33F793F4">
      <w:pPr>
        <w:spacing w:after="0"/>
        <w:rPr>
          <w:rStyle w:val="Hyperlink"/>
        </w:rPr>
      </w:pPr>
      <w:r w:rsidRPr="5AD46A10">
        <w:rPr>
          <w:color w:val="2B579A"/>
          <w:shd w:val="clear" w:color="auto" w:fill="E6E6E6"/>
        </w:rPr>
        <w:fldChar w:fldCharType="begin"/>
      </w:r>
      <w:r w:rsidRPr="33F793F4">
        <w:instrText xml:space="preserve"> HYPERLINK  \l "_Authority_&amp;_State" </w:instrText>
      </w:r>
      <w:r w:rsidRPr="5AD46A10">
        <w:rPr>
          <w:color w:val="2B579A"/>
          <w:shd w:val="clear" w:color="auto" w:fill="E6E6E6"/>
        </w:rPr>
      </w:r>
      <w:r w:rsidRPr="5AD46A10">
        <w:rPr>
          <w:color w:val="2B579A"/>
          <w:shd w:val="clear" w:color="auto" w:fill="E6E6E6"/>
        </w:rPr>
        <w:fldChar w:fldCharType="separate"/>
      </w:r>
      <w:r w:rsidR="00377F8D" w:rsidRPr="33F793F4">
        <w:rPr>
          <w:rStyle w:val="Hyperlink"/>
        </w:rPr>
        <w:t xml:space="preserve">Authority &amp; </w:t>
      </w:r>
      <w:r w:rsidRPr="33F793F4">
        <w:rPr>
          <w:rStyle w:val="Hyperlink"/>
        </w:rPr>
        <w:t xml:space="preserve">State </w:t>
      </w:r>
      <w:r w:rsidR="00377F8D" w:rsidRPr="33F793F4">
        <w:rPr>
          <w:rStyle w:val="Hyperlink"/>
        </w:rPr>
        <w:t>Requirements</w:t>
      </w:r>
    </w:p>
    <w:p w14:paraId="67B5FDF3" w14:textId="645884D0" w:rsidR="00377F8D" w:rsidRPr="00980DC7" w:rsidRDefault="00301F0D" w:rsidP="5AD46A10">
      <w:pPr>
        <w:spacing w:after="0"/>
        <w:rPr>
          <w:rStyle w:val="Hyperlink"/>
        </w:rPr>
      </w:pPr>
      <w:r w:rsidRPr="5AD46A10">
        <w:rPr>
          <w:color w:val="2B579A"/>
        </w:rPr>
        <w:fldChar w:fldCharType="end"/>
      </w:r>
      <w:r w:rsidR="00980DC7">
        <w:rPr>
          <w:color w:val="2B579A"/>
        </w:rPr>
        <w:fldChar w:fldCharType="begin"/>
      </w:r>
      <w:r w:rsidR="00980DC7">
        <w:rPr>
          <w:color w:val="2B579A"/>
        </w:rPr>
        <w:instrText xml:space="preserve"> HYPERLINK  \l "_LEA_Determination_Rubric" </w:instrText>
      </w:r>
      <w:r w:rsidR="00980DC7">
        <w:rPr>
          <w:color w:val="2B579A"/>
        </w:rPr>
      </w:r>
      <w:r w:rsidR="00980DC7">
        <w:rPr>
          <w:color w:val="2B579A"/>
        </w:rPr>
        <w:fldChar w:fldCharType="separate"/>
      </w:r>
      <w:r w:rsidR="00980DC7" w:rsidRPr="00980DC7">
        <w:rPr>
          <w:rStyle w:val="Hyperlink"/>
        </w:rPr>
        <w:t xml:space="preserve">LEA Determination </w:t>
      </w:r>
      <w:r w:rsidR="1C57ED22" w:rsidRPr="00980DC7">
        <w:rPr>
          <w:rStyle w:val="Hyperlink"/>
        </w:rPr>
        <w:t>Rubric</w:t>
      </w:r>
    </w:p>
    <w:p w14:paraId="4BDC300A" w14:textId="35D2249E" w:rsidR="00377F8D" w:rsidRPr="00936157" w:rsidRDefault="00980DC7" w:rsidP="00377F8D">
      <w:pPr>
        <w:spacing w:after="0"/>
        <w:rPr>
          <w:rStyle w:val="eop"/>
          <w:rFonts w:cstheme="minorHAnsi"/>
        </w:rPr>
      </w:pPr>
      <w:r>
        <w:rPr>
          <w:color w:val="2B579A"/>
        </w:rPr>
        <w:fldChar w:fldCharType="end"/>
      </w:r>
      <w:hyperlink w:anchor="_Data_Source" w:history="1">
        <w:r w:rsidR="00377F8D" w:rsidRPr="00DF7882">
          <w:rPr>
            <w:rStyle w:val="Hyperlink"/>
            <w:rFonts w:cstheme="minorHAnsi"/>
          </w:rPr>
          <w:t>Data Source</w:t>
        </w:r>
      </w:hyperlink>
    </w:p>
    <w:p w14:paraId="32AA72AB" w14:textId="6C57FF3D" w:rsidR="00C62A77" w:rsidRDefault="00000000" w:rsidP="00377F8D">
      <w:pPr>
        <w:spacing w:after="0"/>
        <w:rPr>
          <w:rStyle w:val="eop"/>
          <w:rFonts w:cstheme="minorHAnsi"/>
        </w:rPr>
      </w:pPr>
      <w:hyperlink w:anchor="_Performance_Indicators_Used" w:history="1">
        <w:r w:rsidR="00C62A77" w:rsidRPr="00C46369">
          <w:rPr>
            <w:rStyle w:val="Hyperlink"/>
            <w:rFonts w:cstheme="minorHAnsi"/>
          </w:rPr>
          <w:t>Performance Indicators Used in the LEA Determinations</w:t>
        </w:r>
      </w:hyperlink>
    </w:p>
    <w:p w14:paraId="1A71B2B1" w14:textId="7FD893C9" w:rsidR="00367F23" w:rsidRPr="003D06AC" w:rsidRDefault="003D06AC" w:rsidP="00377F8D">
      <w:pPr>
        <w:spacing w:after="0"/>
        <w:rPr>
          <w:rStyle w:val="Hyperlink"/>
          <w:rFonts w:cstheme="minorHAnsi"/>
        </w:rPr>
      </w:pPr>
      <w:r>
        <w:rPr>
          <w:rStyle w:val="eop"/>
          <w:rFonts w:cstheme="minorHAnsi"/>
        </w:rPr>
        <w:fldChar w:fldCharType="begin"/>
      </w:r>
      <w:r>
        <w:rPr>
          <w:rStyle w:val="eop"/>
          <w:rFonts w:cstheme="minorHAnsi"/>
        </w:rPr>
        <w:instrText xml:space="preserve"> HYPERLINK  \l "_Dropout_Rate_Calculation" </w:instrText>
      </w:r>
      <w:r>
        <w:rPr>
          <w:rStyle w:val="eop"/>
          <w:rFonts w:cstheme="minorHAnsi"/>
        </w:rPr>
      </w:r>
      <w:r>
        <w:rPr>
          <w:rStyle w:val="eop"/>
          <w:rFonts w:cstheme="minorHAnsi"/>
        </w:rPr>
        <w:fldChar w:fldCharType="separate"/>
      </w:r>
      <w:r w:rsidR="00367F23" w:rsidRPr="003D06AC">
        <w:rPr>
          <w:rStyle w:val="Hyperlink"/>
          <w:rFonts w:cstheme="minorHAnsi"/>
        </w:rPr>
        <w:t>Annual Dropout Rate</w:t>
      </w:r>
      <w:r>
        <w:rPr>
          <w:rStyle w:val="Hyperlink"/>
          <w:rFonts w:cstheme="minorHAnsi"/>
        </w:rPr>
        <w:t xml:space="preserve"> Calculation</w:t>
      </w:r>
    </w:p>
    <w:p w14:paraId="592BC486" w14:textId="736E1833" w:rsidR="00377F8D" w:rsidRPr="00D8571D" w:rsidRDefault="003D06AC" w:rsidP="00377F8D">
      <w:pPr>
        <w:spacing w:after="0"/>
        <w:rPr>
          <w:rStyle w:val="Hyperlink"/>
          <w:rFonts w:cstheme="minorHAnsi"/>
        </w:rPr>
      </w:pPr>
      <w:r>
        <w:rPr>
          <w:rStyle w:val="eop"/>
          <w:rFonts w:cstheme="minorHAnsi"/>
        </w:rPr>
        <w:fldChar w:fldCharType="end"/>
      </w:r>
      <w:r w:rsidR="00D8571D">
        <w:rPr>
          <w:rStyle w:val="eop"/>
          <w:rFonts w:cstheme="minorHAnsi"/>
        </w:rPr>
        <w:fldChar w:fldCharType="begin"/>
      </w:r>
      <w:r w:rsidR="00D8571D">
        <w:rPr>
          <w:rStyle w:val="eop"/>
          <w:rFonts w:cstheme="minorHAnsi"/>
        </w:rPr>
        <w:instrText xml:space="preserve"> HYPERLINK  \l "_5-Year_Cohort_Graduation" </w:instrText>
      </w:r>
      <w:r w:rsidR="00D8571D">
        <w:rPr>
          <w:rStyle w:val="eop"/>
          <w:rFonts w:cstheme="minorHAnsi"/>
        </w:rPr>
      </w:r>
      <w:r w:rsidR="00D8571D">
        <w:rPr>
          <w:rStyle w:val="eop"/>
          <w:rFonts w:cstheme="minorHAnsi"/>
        </w:rPr>
        <w:fldChar w:fldCharType="separate"/>
      </w:r>
      <w:r w:rsidR="00377F8D" w:rsidRPr="00D8571D">
        <w:rPr>
          <w:rStyle w:val="Hyperlink"/>
          <w:rFonts w:cstheme="minorHAnsi"/>
        </w:rPr>
        <w:t>5-Year Cohort Graduation Rate Calculation</w:t>
      </w:r>
    </w:p>
    <w:p w14:paraId="790F9B61" w14:textId="6E60135E" w:rsidR="008649E0" w:rsidRDefault="00D8571D" w:rsidP="00377F8D">
      <w:pPr>
        <w:spacing w:after="0"/>
        <w:rPr>
          <w:rStyle w:val="eop"/>
          <w:rFonts w:cstheme="minorHAnsi"/>
        </w:rPr>
      </w:pPr>
      <w:r>
        <w:rPr>
          <w:rStyle w:val="eop"/>
          <w:rFonts w:cstheme="minorHAnsi"/>
        </w:rPr>
        <w:fldChar w:fldCharType="end"/>
      </w:r>
      <w:hyperlink w:anchor="_SPP/APR_Indicator_3" w:history="1">
        <w:r w:rsidR="008649E0" w:rsidRPr="00C46369">
          <w:rPr>
            <w:rStyle w:val="Hyperlink"/>
            <w:rFonts w:cstheme="minorHAnsi"/>
          </w:rPr>
          <w:t>SPP/APR Indicator 3 – New</w:t>
        </w:r>
      </w:hyperlink>
    </w:p>
    <w:p w14:paraId="792D616C" w14:textId="77777777" w:rsidR="008649E0" w:rsidRPr="00367F23" w:rsidRDefault="008649E0" w:rsidP="008649E0">
      <w:pPr>
        <w:spacing w:after="0"/>
        <w:rPr>
          <w:rStyle w:val="Hyperlink"/>
          <w:rFonts w:eastAsiaTheme="majorEastAsia" w:cstheme="minorHAnsi"/>
        </w:rPr>
      </w:pPr>
      <w:r>
        <w:rPr>
          <w:rStyle w:val="eop"/>
          <w:rFonts w:eastAsiaTheme="majorEastAsia" w:cstheme="minorHAnsi"/>
        </w:rPr>
        <w:fldChar w:fldCharType="begin"/>
      </w:r>
      <w:r>
        <w:rPr>
          <w:rStyle w:val="eop"/>
          <w:rFonts w:eastAsiaTheme="majorEastAsia" w:cstheme="minorHAnsi"/>
        </w:rPr>
        <w:instrText>HYPERLINK  \l "_SPP/APR_Performance_Indicators"</w:instrText>
      </w:r>
      <w:r>
        <w:rPr>
          <w:rStyle w:val="eop"/>
          <w:rFonts w:eastAsiaTheme="majorEastAsia" w:cstheme="minorHAnsi"/>
        </w:rPr>
      </w:r>
      <w:r>
        <w:rPr>
          <w:rStyle w:val="eop"/>
          <w:rFonts w:eastAsiaTheme="majorEastAsia" w:cstheme="minorHAnsi"/>
        </w:rPr>
        <w:fldChar w:fldCharType="separate"/>
      </w:r>
      <w:r w:rsidRPr="00367F23">
        <w:rPr>
          <w:rStyle w:val="Hyperlink"/>
          <w:rFonts w:eastAsiaTheme="majorEastAsia" w:cstheme="minorHAnsi"/>
        </w:rPr>
        <w:t>SPP/APR Performance Indicators 5 &amp; 6 Calculation</w:t>
      </w:r>
    </w:p>
    <w:p w14:paraId="2177F8F2" w14:textId="1104EEA4" w:rsidR="008649E0" w:rsidRDefault="008649E0" w:rsidP="008649E0">
      <w:pPr>
        <w:spacing w:after="0"/>
        <w:rPr>
          <w:rStyle w:val="eop"/>
          <w:rFonts w:eastAsiaTheme="majorEastAsia" w:cstheme="minorHAnsi"/>
        </w:rPr>
      </w:pPr>
      <w:r>
        <w:rPr>
          <w:rStyle w:val="eop"/>
          <w:rFonts w:eastAsiaTheme="majorEastAsia" w:cstheme="minorHAnsi"/>
        </w:rPr>
        <w:fldChar w:fldCharType="end"/>
      </w:r>
      <w:hyperlink w:anchor="_Compliance_Indicators_Used" w:history="1">
        <w:r w:rsidRPr="00C46369">
          <w:rPr>
            <w:rStyle w:val="Hyperlink"/>
            <w:rFonts w:eastAsiaTheme="majorEastAsia" w:cstheme="minorHAnsi"/>
          </w:rPr>
          <w:t xml:space="preserve">Compliance Indicators </w:t>
        </w:r>
        <w:r w:rsidR="00136ACD" w:rsidRPr="00C46369">
          <w:rPr>
            <w:rStyle w:val="Hyperlink"/>
            <w:rFonts w:eastAsiaTheme="majorEastAsia" w:cstheme="minorHAnsi"/>
          </w:rPr>
          <w:t>Used in the LEA Determinations</w:t>
        </w:r>
      </w:hyperlink>
    </w:p>
    <w:p w14:paraId="72E23EEC" w14:textId="77777777" w:rsidR="00136ACD" w:rsidRDefault="00136ACD" w:rsidP="00136ACD">
      <w:pPr>
        <w:spacing w:after="0"/>
        <w:rPr>
          <w:rStyle w:val="eop"/>
          <w:rFonts w:eastAsiaTheme="majorEastAsia"/>
        </w:rPr>
      </w:pPr>
      <w:r w:rsidRPr="4F7297A9">
        <w:rPr>
          <w:rStyle w:val="Hyperlink"/>
          <w:rFonts w:eastAsiaTheme="majorEastAsia"/>
        </w:rPr>
        <w:t>SPP/APR Compliance Indicators 4B, 9, &amp; 10</w:t>
      </w:r>
    </w:p>
    <w:p w14:paraId="46E8FE75" w14:textId="7CC3C248" w:rsidR="00136ACD" w:rsidRDefault="00000000" w:rsidP="008649E0">
      <w:pPr>
        <w:spacing w:after="0"/>
        <w:rPr>
          <w:rStyle w:val="eop"/>
          <w:rFonts w:cstheme="minorHAnsi"/>
        </w:rPr>
      </w:pPr>
      <w:hyperlink w:anchor="_SPP/APR_Compliance_Indicators_1" w:history="1">
        <w:r w:rsidR="00136ACD" w:rsidRPr="00C46369">
          <w:rPr>
            <w:rStyle w:val="Hyperlink"/>
            <w:rFonts w:cstheme="minorHAnsi"/>
          </w:rPr>
          <w:t>SPP/APR Compliance Indicators 11, 12, and 13 – NEW</w:t>
        </w:r>
      </w:hyperlink>
    </w:p>
    <w:p w14:paraId="2289E847" w14:textId="1F0C88A7" w:rsidR="00136ACD" w:rsidRDefault="00000000" w:rsidP="008649E0">
      <w:pPr>
        <w:spacing w:after="0"/>
        <w:rPr>
          <w:rStyle w:val="eop"/>
          <w:rFonts w:cstheme="minorHAnsi"/>
        </w:rPr>
      </w:pPr>
      <w:hyperlink w:anchor="_Identification_of_Non-Compliance" w:history="1">
        <w:r w:rsidR="00136ACD" w:rsidRPr="00C46369">
          <w:rPr>
            <w:rStyle w:val="Hyperlink"/>
            <w:rFonts w:cstheme="minorHAnsi"/>
          </w:rPr>
          <w:t>Identification of Non-Compliance # of Findings – NEW</w:t>
        </w:r>
      </w:hyperlink>
    </w:p>
    <w:p w14:paraId="328639E2" w14:textId="690082A1" w:rsidR="00136ACD" w:rsidRDefault="00000000" w:rsidP="008649E0">
      <w:pPr>
        <w:spacing w:after="0"/>
        <w:rPr>
          <w:rStyle w:val="eop"/>
          <w:rFonts w:cstheme="minorHAnsi"/>
        </w:rPr>
      </w:pPr>
      <w:hyperlink w:anchor="_Timely_Submission/Verified_Correcti" w:history="1">
        <w:r w:rsidR="00136ACD" w:rsidRPr="00C46369">
          <w:rPr>
            <w:rStyle w:val="Hyperlink"/>
            <w:rFonts w:cstheme="minorHAnsi"/>
          </w:rPr>
          <w:t>Timely Submission/Verified Correction of Non-Compliance – NEW</w:t>
        </w:r>
      </w:hyperlink>
    </w:p>
    <w:p w14:paraId="2A7D05A8" w14:textId="40CE0B23" w:rsidR="00377F8D" w:rsidRPr="00936157" w:rsidRDefault="00000000" w:rsidP="00832932">
      <w:pPr>
        <w:spacing w:after="0"/>
        <w:rPr>
          <w:rStyle w:val="eop"/>
          <w:rFonts w:cstheme="minorHAnsi"/>
        </w:rPr>
      </w:pPr>
      <w:hyperlink w:anchor="_MOE" w:history="1">
        <w:r w:rsidR="00377F8D" w:rsidRPr="005831EC">
          <w:rPr>
            <w:rStyle w:val="Hyperlink"/>
            <w:rFonts w:cstheme="minorHAnsi"/>
          </w:rPr>
          <w:t>M</w:t>
        </w:r>
        <w:r w:rsidR="00806125" w:rsidRPr="00806125">
          <w:rPr>
            <w:rStyle w:val="Hyperlink"/>
            <w:rFonts w:cstheme="minorHAnsi"/>
          </w:rPr>
          <w:t>aintenance of Effort (MOE)</w:t>
        </w:r>
      </w:hyperlink>
    </w:p>
    <w:p w14:paraId="194ED314" w14:textId="18471618" w:rsidR="00377F8D" w:rsidRPr="00936157" w:rsidRDefault="00000000" w:rsidP="00377F8D">
      <w:pPr>
        <w:spacing w:after="0"/>
        <w:rPr>
          <w:rStyle w:val="eop"/>
          <w:rFonts w:cstheme="minorHAnsi"/>
        </w:rPr>
      </w:pPr>
      <w:hyperlink w:anchor="_Assistance" w:history="1">
        <w:r w:rsidR="00377F8D" w:rsidRPr="003D06AC">
          <w:rPr>
            <w:rStyle w:val="Hyperlink"/>
            <w:rFonts w:cstheme="minorHAnsi"/>
          </w:rPr>
          <w:t>Assistance</w:t>
        </w:r>
      </w:hyperlink>
    </w:p>
    <w:p w14:paraId="00045FF7" w14:textId="32AD0D6E" w:rsidR="00377F8D" w:rsidRPr="00936157" w:rsidRDefault="00000000" w:rsidP="00377F8D">
      <w:pPr>
        <w:spacing w:after="0"/>
        <w:rPr>
          <w:rStyle w:val="eop"/>
          <w:rFonts w:cstheme="minorHAnsi"/>
        </w:rPr>
      </w:pPr>
      <w:hyperlink w:anchor="_Making_Money_Matter" w:history="1">
        <w:r w:rsidR="00377F8D" w:rsidRPr="003D06AC">
          <w:rPr>
            <w:rStyle w:val="Hyperlink"/>
            <w:rFonts w:cstheme="minorHAnsi"/>
          </w:rPr>
          <w:t>Making Money Matter (M</w:t>
        </w:r>
        <w:r w:rsidR="00377F8D" w:rsidRPr="003D06AC">
          <w:rPr>
            <w:rStyle w:val="Hyperlink"/>
            <w:rFonts w:cstheme="minorHAnsi"/>
            <w:vertAlign w:val="superscript"/>
          </w:rPr>
          <w:t>3</w:t>
        </w:r>
        <w:r w:rsidR="00377F8D" w:rsidRPr="003D06AC">
          <w:rPr>
            <w:rStyle w:val="Hyperlink"/>
            <w:rFonts w:cstheme="minorHAnsi"/>
          </w:rPr>
          <w:t>)</w:t>
        </w:r>
      </w:hyperlink>
    </w:p>
    <w:p w14:paraId="42E234F6" w14:textId="65B98F95" w:rsidR="00377F8D" w:rsidRPr="00936157" w:rsidRDefault="00000000" w:rsidP="00377F8D">
      <w:pPr>
        <w:spacing w:after="0"/>
        <w:rPr>
          <w:rStyle w:val="eop"/>
          <w:rFonts w:cstheme="minorHAnsi"/>
        </w:rPr>
      </w:pPr>
      <w:hyperlink w:anchor="_Additional_Questions" w:history="1">
        <w:r w:rsidR="00377F8D" w:rsidRPr="003D06AC">
          <w:rPr>
            <w:rStyle w:val="Hyperlink"/>
            <w:rFonts w:cstheme="minorHAnsi"/>
          </w:rPr>
          <w:t>Additional Questions</w:t>
        </w:r>
      </w:hyperlink>
    </w:p>
    <w:p w14:paraId="2FDB249C" w14:textId="3E6ED32C" w:rsidR="00AC3523" w:rsidRDefault="00000000" w:rsidP="4F7297A9">
      <w:pPr>
        <w:rPr>
          <w:rStyle w:val="Hyperlink"/>
        </w:rPr>
      </w:pPr>
      <w:hyperlink w:anchor="_Department_Contact_Information">
        <w:r w:rsidR="00095A7E" w:rsidRPr="4F7297A9">
          <w:rPr>
            <w:rStyle w:val="Hyperlink"/>
          </w:rPr>
          <w:t>Department Contact Information</w:t>
        </w:r>
      </w:hyperlink>
    </w:p>
    <w:p w14:paraId="77A5A2F8" w14:textId="254AA83E" w:rsidR="4F7297A9" w:rsidRDefault="4F7297A9" w:rsidP="4F7297A9"/>
    <w:p w14:paraId="4FD640EC" w14:textId="00B5C609" w:rsidR="00A67DFD" w:rsidRPr="00A67DFD" w:rsidRDefault="00A67DFD">
      <w:pPr>
        <w:rPr>
          <w:rFonts w:cstheme="minorHAnsi"/>
          <w:b/>
          <w:bCs/>
        </w:rPr>
      </w:pPr>
      <w:r w:rsidRPr="00A67DFD">
        <w:rPr>
          <w:rFonts w:cstheme="minorHAnsi"/>
          <w:b/>
          <w:bCs/>
        </w:rPr>
        <w:t xml:space="preserve">The term </w:t>
      </w:r>
      <w:r w:rsidR="00D10B05">
        <w:rPr>
          <w:rFonts w:cstheme="minorHAnsi"/>
          <w:b/>
          <w:bCs/>
        </w:rPr>
        <w:t>district</w:t>
      </w:r>
      <w:r w:rsidRPr="00A67DFD">
        <w:rPr>
          <w:rFonts w:cstheme="minorHAnsi"/>
          <w:b/>
          <w:bCs/>
        </w:rPr>
        <w:t>, used throughout this FAQ, should be read to be inclusive of charter schools, innovation schools, and virtual schools.</w:t>
      </w:r>
    </w:p>
    <w:p w14:paraId="1D5F51AE" w14:textId="704E6331" w:rsidR="00C63C72" w:rsidRPr="00F47A5E" w:rsidRDefault="009251A2" w:rsidP="00F47A5E">
      <w:pPr>
        <w:pStyle w:val="Heading2"/>
        <w:rPr>
          <w:rStyle w:val="eop"/>
          <w:b/>
          <w:bCs/>
        </w:rPr>
      </w:pPr>
      <w:bookmarkStart w:id="1" w:name="_Authority_&amp;_Requirements"/>
      <w:bookmarkStart w:id="2" w:name="_Authority_&amp;_State"/>
      <w:bookmarkEnd w:id="1"/>
      <w:bookmarkEnd w:id="2"/>
      <w:r w:rsidRPr="00F47A5E">
        <w:rPr>
          <w:rStyle w:val="eop"/>
          <w:b/>
          <w:bCs/>
        </w:rPr>
        <w:t>Authority</w:t>
      </w:r>
      <w:r w:rsidR="003019B4" w:rsidRPr="00F47A5E">
        <w:rPr>
          <w:rStyle w:val="eop"/>
          <w:b/>
          <w:bCs/>
        </w:rPr>
        <w:t xml:space="preserve"> &amp; </w:t>
      </w:r>
      <w:r w:rsidR="00301F0D">
        <w:rPr>
          <w:rStyle w:val="eop"/>
          <w:b/>
          <w:bCs/>
        </w:rPr>
        <w:t xml:space="preserve">State </w:t>
      </w:r>
      <w:r w:rsidR="003019B4" w:rsidRPr="00F47A5E">
        <w:rPr>
          <w:rStyle w:val="eop"/>
          <w:b/>
          <w:bCs/>
        </w:rPr>
        <w:t>Requirements</w:t>
      </w:r>
    </w:p>
    <w:p w14:paraId="34954F2F" w14:textId="2239CE57" w:rsidR="00D3356C" w:rsidRPr="00A33876" w:rsidRDefault="00C236F8" w:rsidP="00C81FE9">
      <w:pPr>
        <w:spacing w:line="254" w:lineRule="auto"/>
        <w:ind w:left="720"/>
        <w:rPr>
          <w:rFonts w:cstheme="minorHAnsi"/>
          <w:b/>
          <w:bCs/>
        </w:rPr>
      </w:pPr>
      <w:r w:rsidRPr="00A33876">
        <w:rPr>
          <w:rFonts w:cstheme="minorHAnsi"/>
          <w:b/>
          <w:bCs/>
        </w:rPr>
        <w:t>Why does the Department make determinations</w:t>
      </w:r>
      <w:r w:rsidR="00810A7F" w:rsidRPr="00A33876">
        <w:rPr>
          <w:rFonts w:cstheme="minorHAnsi"/>
          <w:b/>
          <w:bCs/>
        </w:rPr>
        <w:t xml:space="preserve"> regarding </w:t>
      </w:r>
      <w:r w:rsidR="00D641B5" w:rsidRPr="00A33876">
        <w:rPr>
          <w:rFonts w:cstheme="minorHAnsi"/>
          <w:b/>
          <w:bCs/>
        </w:rPr>
        <w:t>Local Education Agencies</w:t>
      </w:r>
      <w:r w:rsidR="003E0C40" w:rsidRPr="00A33876">
        <w:rPr>
          <w:rFonts w:cstheme="minorHAnsi"/>
          <w:b/>
          <w:bCs/>
        </w:rPr>
        <w:t>’</w:t>
      </w:r>
      <w:r w:rsidR="00D641B5" w:rsidRPr="00A33876">
        <w:rPr>
          <w:rFonts w:cstheme="minorHAnsi"/>
          <w:b/>
          <w:bCs/>
        </w:rPr>
        <w:t xml:space="preserve"> (LEA)</w:t>
      </w:r>
      <w:r w:rsidR="003E0C40" w:rsidRPr="00A33876">
        <w:rPr>
          <w:rFonts w:cstheme="minorHAnsi"/>
          <w:b/>
          <w:bCs/>
        </w:rPr>
        <w:t xml:space="preserve"> specific needs for technical assistance or intervention</w:t>
      </w:r>
      <w:r w:rsidR="005C668A" w:rsidRPr="00A33876">
        <w:rPr>
          <w:rFonts w:cstheme="minorHAnsi"/>
          <w:b/>
          <w:bCs/>
        </w:rPr>
        <w:t xml:space="preserve"> in special education</w:t>
      </w:r>
      <w:r w:rsidR="00043903" w:rsidRPr="00A33876">
        <w:rPr>
          <w:rFonts w:cstheme="minorHAnsi"/>
          <w:b/>
          <w:bCs/>
        </w:rPr>
        <w:t xml:space="preserve"> (</w:t>
      </w:r>
      <w:r w:rsidR="00B568F5" w:rsidRPr="00A33876">
        <w:rPr>
          <w:rFonts w:cstheme="minorHAnsi"/>
          <w:b/>
          <w:bCs/>
        </w:rPr>
        <w:t>LEA Determinations</w:t>
      </w:r>
      <w:r w:rsidR="00043903" w:rsidRPr="00A33876">
        <w:rPr>
          <w:rFonts w:cstheme="minorHAnsi"/>
          <w:b/>
          <w:bCs/>
        </w:rPr>
        <w:t>)</w:t>
      </w:r>
      <w:r w:rsidRPr="00A33876">
        <w:rPr>
          <w:rFonts w:cstheme="minorHAnsi"/>
          <w:b/>
          <w:bCs/>
        </w:rPr>
        <w:t>?</w:t>
      </w:r>
    </w:p>
    <w:p w14:paraId="29D3D771" w14:textId="427A90C7" w:rsidR="00D3356C" w:rsidRPr="00A33876" w:rsidRDefault="00EF4213" w:rsidP="00C81FE9">
      <w:pPr>
        <w:spacing w:line="254" w:lineRule="auto"/>
        <w:ind w:left="1440"/>
        <w:rPr>
          <w:rFonts w:cstheme="minorHAnsi"/>
        </w:rPr>
      </w:pPr>
      <w:r w:rsidRPr="00A33876">
        <w:rPr>
          <w:rFonts w:cstheme="minorHAnsi"/>
        </w:rPr>
        <w:t>The</w:t>
      </w:r>
      <w:r w:rsidR="00C236F8" w:rsidRPr="00A33876">
        <w:rPr>
          <w:rFonts w:cstheme="minorHAnsi"/>
        </w:rPr>
        <w:t xml:space="preserve"> Individuals with Disabilities Education Act (IDEA)</w:t>
      </w:r>
      <w:r w:rsidRPr="00A33876">
        <w:rPr>
          <w:rFonts w:cstheme="minorHAnsi"/>
        </w:rPr>
        <w:t xml:space="preserve"> </w:t>
      </w:r>
      <w:r w:rsidR="00264060" w:rsidRPr="00A33876">
        <w:rPr>
          <w:rFonts w:cstheme="minorHAnsi"/>
        </w:rPr>
        <w:t>requires</w:t>
      </w:r>
      <w:r w:rsidR="007444D4" w:rsidRPr="00A33876">
        <w:rPr>
          <w:rFonts w:cstheme="minorHAnsi"/>
        </w:rPr>
        <w:t xml:space="preserve"> that </w:t>
      </w:r>
      <w:r w:rsidR="00435668">
        <w:rPr>
          <w:rFonts w:cstheme="minorHAnsi"/>
        </w:rPr>
        <w:t>s</w:t>
      </w:r>
      <w:r w:rsidR="007444D4" w:rsidRPr="00A33876">
        <w:rPr>
          <w:rFonts w:cstheme="minorHAnsi"/>
        </w:rPr>
        <w:t xml:space="preserve">tates </w:t>
      </w:r>
      <w:r w:rsidR="003E5370" w:rsidRPr="00A33876">
        <w:rPr>
          <w:rFonts w:cstheme="minorHAnsi"/>
        </w:rPr>
        <w:t xml:space="preserve">both </w:t>
      </w:r>
      <w:r w:rsidR="00CC493E" w:rsidRPr="00A33876">
        <w:rPr>
          <w:rFonts w:cstheme="minorHAnsi"/>
        </w:rPr>
        <w:t xml:space="preserve">monitor </w:t>
      </w:r>
      <w:r w:rsidR="00F34D4D" w:rsidRPr="00A33876">
        <w:rPr>
          <w:rFonts w:cstheme="minorHAnsi"/>
        </w:rPr>
        <w:t>LEAs</w:t>
      </w:r>
      <w:r w:rsidR="00EE33AC" w:rsidRPr="00A33876">
        <w:rPr>
          <w:rFonts w:cstheme="minorHAnsi"/>
        </w:rPr>
        <w:t>’ implementation of IDEA</w:t>
      </w:r>
      <w:r w:rsidR="001C4617" w:rsidRPr="00A33876">
        <w:rPr>
          <w:rStyle w:val="FootnoteReference"/>
          <w:rFonts w:cstheme="minorHAnsi"/>
        </w:rPr>
        <w:footnoteReference w:id="2"/>
      </w:r>
      <w:r w:rsidR="00EE33AC" w:rsidRPr="00A33876">
        <w:rPr>
          <w:rFonts w:cstheme="minorHAnsi"/>
        </w:rPr>
        <w:t xml:space="preserve"> </w:t>
      </w:r>
      <w:r w:rsidR="003B58FF" w:rsidRPr="00A33876">
        <w:rPr>
          <w:rFonts w:cstheme="minorHAnsi"/>
        </w:rPr>
        <w:t>requirements and</w:t>
      </w:r>
      <w:r w:rsidR="003E5370" w:rsidRPr="00A33876">
        <w:rPr>
          <w:rFonts w:cstheme="minorHAnsi"/>
        </w:rPr>
        <w:t xml:space="preserve"> enforce those requirement</w:t>
      </w:r>
      <w:r w:rsidR="000E1072" w:rsidRPr="00A33876">
        <w:rPr>
          <w:rFonts w:cstheme="minorHAnsi"/>
        </w:rPr>
        <w:t>s</w:t>
      </w:r>
      <w:r w:rsidR="00D3356C" w:rsidRPr="00A33876">
        <w:rPr>
          <w:rFonts w:cstheme="minorHAnsi"/>
        </w:rPr>
        <w:t>.</w:t>
      </w:r>
      <w:r w:rsidR="00331EF5" w:rsidRPr="00A33876">
        <w:rPr>
          <w:rFonts w:cstheme="minorHAnsi"/>
        </w:rPr>
        <w:t xml:space="preserve"> </w:t>
      </w:r>
      <w:r w:rsidR="00331EF5" w:rsidRPr="00A33876">
        <w:rPr>
          <w:rFonts w:cstheme="minorHAnsi"/>
          <w:i/>
          <w:iCs/>
        </w:rPr>
        <w:t>See</w:t>
      </w:r>
      <w:r w:rsidR="00D3356C" w:rsidRPr="00A33876">
        <w:rPr>
          <w:rFonts w:cstheme="minorHAnsi"/>
        </w:rPr>
        <w:t xml:space="preserve"> </w:t>
      </w:r>
      <w:bookmarkStart w:id="3" w:name="_Hlk111466215"/>
      <w:r w:rsidR="00D3356C" w:rsidRPr="00A33876">
        <w:rPr>
          <w:color w:val="2B579A"/>
          <w:shd w:val="clear" w:color="auto" w:fill="E6E6E6"/>
        </w:rPr>
        <w:fldChar w:fldCharType="begin"/>
      </w:r>
      <w:r w:rsidR="00D3356C" w:rsidRPr="00A33876">
        <w:rPr>
          <w:rFonts w:cstheme="minorHAnsi"/>
        </w:rPr>
        <w:instrText xml:space="preserve"> HYPERLINK "https://sites.ed.gov/idea/statute-chapter-33/subchapter-ii/1416/" </w:instrText>
      </w:r>
      <w:r w:rsidR="00D3356C" w:rsidRPr="00A33876">
        <w:rPr>
          <w:color w:val="2B579A"/>
          <w:shd w:val="clear" w:color="auto" w:fill="E6E6E6"/>
        </w:rPr>
      </w:r>
      <w:r w:rsidR="00D3356C" w:rsidRPr="00A33876">
        <w:rPr>
          <w:color w:val="2B579A"/>
          <w:shd w:val="clear" w:color="auto" w:fill="E6E6E6"/>
        </w:rPr>
        <w:fldChar w:fldCharType="separate"/>
      </w:r>
      <w:r w:rsidR="00D3356C" w:rsidRPr="00A33876">
        <w:rPr>
          <w:rFonts w:cstheme="minorHAnsi"/>
          <w:color w:val="2B579A"/>
          <w:shd w:val="clear" w:color="auto" w:fill="E6E6E6"/>
        </w:rPr>
        <w:t>2</w:t>
      </w:r>
      <w:r w:rsidR="00D3356C" w:rsidRPr="00A33876">
        <w:rPr>
          <w:rStyle w:val="Hyperlink"/>
          <w:rFonts w:cstheme="minorHAnsi"/>
        </w:rPr>
        <w:t>0 U.S.C. § 1416</w:t>
      </w:r>
      <w:bookmarkEnd w:id="3"/>
      <w:r w:rsidR="00D3356C" w:rsidRPr="00A33876">
        <w:rPr>
          <w:rStyle w:val="Hyperlink"/>
          <w:rFonts w:cstheme="minorHAnsi"/>
        </w:rPr>
        <w:fldChar w:fldCharType="end"/>
      </w:r>
      <w:r w:rsidR="001D72BB" w:rsidRPr="00A33876">
        <w:rPr>
          <w:rFonts w:cstheme="minorHAnsi"/>
          <w:color w:val="2B579A"/>
          <w:shd w:val="clear" w:color="auto" w:fill="E6E6E6"/>
        </w:rPr>
        <w:t xml:space="preserve"> </w:t>
      </w:r>
      <w:r w:rsidR="001D72BB" w:rsidRPr="00A33876">
        <w:rPr>
          <w:rFonts w:cstheme="minorHAnsi"/>
        </w:rPr>
        <w:t xml:space="preserve">and </w:t>
      </w:r>
      <w:hyperlink r:id="rId11" w:history="1">
        <w:r w:rsidR="004D17E8" w:rsidRPr="00A33876">
          <w:rPr>
            <w:rStyle w:val="Hyperlink"/>
            <w:rFonts w:cstheme="minorHAnsi"/>
          </w:rPr>
          <w:t>34 C.F.R. §300.600</w:t>
        </w:r>
      </w:hyperlink>
      <w:r w:rsidR="00136DA7" w:rsidRPr="00A33876">
        <w:rPr>
          <w:rFonts w:cstheme="minorHAnsi"/>
        </w:rPr>
        <w:t>.</w:t>
      </w:r>
    </w:p>
    <w:p w14:paraId="3AC1FFDB" w14:textId="5EADF545" w:rsidR="002A0729" w:rsidRPr="00A33876" w:rsidRDefault="002A0729" w:rsidP="00C81FE9">
      <w:pPr>
        <w:spacing w:line="254" w:lineRule="auto"/>
        <w:ind w:left="720"/>
        <w:rPr>
          <w:rFonts w:cstheme="minorHAnsi"/>
        </w:rPr>
      </w:pPr>
      <w:r w:rsidRPr="00A33876">
        <w:rPr>
          <w:rFonts w:cstheme="minorHAnsi"/>
          <w:b/>
          <w:bCs/>
        </w:rPr>
        <w:t xml:space="preserve">Is the Department required to issue </w:t>
      </w:r>
      <w:r w:rsidR="007B632C" w:rsidRPr="00A33876">
        <w:rPr>
          <w:rFonts w:cstheme="minorHAnsi"/>
          <w:b/>
          <w:bCs/>
        </w:rPr>
        <w:t xml:space="preserve">LEA </w:t>
      </w:r>
      <w:r w:rsidR="00666F10" w:rsidRPr="00A33876">
        <w:rPr>
          <w:rFonts w:cstheme="minorHAnsi"/>
          <w:b/>
          <w:bCs/>
        </w:rPr>
        <w:t>d</w:t>
      </w:r>
      <w:r w:rsidR="007B632C" w:rsidRPr="00A33876">
        <w:rPr>
          <w:rFonts w:cstheme="minorHAnsi"/>
          <w:b/>
          <w:bCs/>
        </w:rPr>
        <w:t>eterminations</w:t>
      </w:r>
      <w:r w:rsidR="007B632C" w:rsidRPr="00A33876" w:rsidDel="007B632C">
        <w:rPr>
          <w:rFonts w:cstheme="minorHAnsi"/>
          <w:b/>
          <w:bCs/>
        </w:rPr>
        <w:t xml:space="preserve"> </w:t>
      </w:r>
      <w:r w:rsidRPr="00A33876">
        <w:rPr>
          <w:rFonts w:cstheme="minorHAnsi"/>
          <w:b/>
          <w:bCs/>
        </w:rPr>
        <w:t>annually?</w:t>
      </w:r>
    </w:p>
    <w:p w14:paraId="08FCD8E6" w14:textId="321F2814" w:rsidR="00977184" w:rsidRPr="00A33876" w:rsidRDefault="002A0729" w:rsidP="00C81FE9">
      <w:pPr>
        <w:pStyle w:val="ListParagraph"/>
        <w:spacing w:after="240"/>
        <w:ind w:left="1440"/>
        <w:rPr>
          <w:rStyle w:val="normaltextrun"/>
          <w:rFonts w:asciiTheme="minorHAnsi" w:hAnsiTheme="minorHAnsi" w:cstheme="minorHAnsi"/>
          <w:sz w:val="22"/>
          <w:szCs w:val="22"/>
          <w:shd w:val="clear" w:color="auto" w:fill="FFFFFF"/>
        </w:rPr>
      </w:pPr>
      <w:r w:rsidRPr="00A33876">
        <w:rPr>
          <w:rStyle w:val="normaltextrun"/>
          <w:rFonts w:asciiTheme="minorHAnsi" w:hAnsiTheme="minorHAnsi" w:cstheme="minorHAnsi"/>
          <w:sz w:val="22"/>
          <w:szCs w:val="22"/>
          <w:shd w:val="clear" w:color="auto" w:fill="FFFFFF"/>
        </w:rPr>
        <w:t>Yes</w:t>
      </w:r>
      <w:r w:rsidR="00C3280E" w:rsidRPr="00A33876">
        <w:rPr>
          <w:rStyle w:val="normaltextrun"/>
          <w:rFonts w:asciiTheme="minorHAnsi" w:hAnsiTheme="minorHAnsi" w:cstheme="minorHAnsi"/>
          <w:sz w:val="22"/>
          <w:szCs w:val="22"/>
          <w:shd w:val="clear" w:color="auto" w:fill="FFFFFF"/>
        </w:rPr>
        <w:t xml:space="preserve">, </w:t>
      </w:r>
      <w:r w:rsidR="001B3CE4" w:rsidRPr="00A33876">
        <w:rPr>
          <w:rStyle w:val="normaltextrun"/>
          <w:rFonts w:asciiTheme="minorHAnsi" w:hAnsiTheme="minorHAnsi" w:cstheme="minorHAnsi"/>
          <w:sz w:val="22"/>
          <w:szCs w:val="22"/>
          <w:shd w:val="clear" w:color="auto" w:fill="FFFFFF"/>
        </w:rPr>
        <w:t>the Department</w:t>
      </w:r>
      <w:r w:rsidR="004F1B9E" w:rsidRPr="00A33876">
        <w:rPr>
          <w:rStyle w:val="normaltextrun"/>
          <w:rFonts w:asciiTheme="minorHAnsi" w:hAnsiTheme="minorHAnsi" w:cstheme="minorHAnsi"/>
          <w:sz w:val="22"/>
          <w:szCs w:val="22"/>
          <w:shd w:val="clear" w:color="auto" w:fill="FFFFFF"/>
        </w:rPr>
        <w:t xml:space="preserve"> must make </w:t>
      </w:r>
      <w:r w:rsidR="005D48DC" w:rsidRPr="00A33876">
        <w:rPr>
          <w:rStyle w:val="normaltextrun"/>
          <w:rFonts w:asciiTheme="minorHAnsi" w:hAnsiTheme="minorHAnsi" w:cstheme="minorHAnsi"/>
          <w:sz w:val="22"/>
          <w:szCs w:val="22"/>
          <w:shd w:val="clear" w:color="auto" w:fill="FFFFFF"/>
        </w:rPr>
        <w:t xml:space="preserve">LEA </w:t>
      </w:r>
      <w:r w:rsidR="004F1B9E" w:rsidRPr="00A33876">
        <w:rPr>
          <w:rStyle w:val="normaltextrun"/>
          <w:rFonts w:asciiTheme="minorHAnsi" w:hAnsiTheme="minorHAnsi" w:cstheme="minorHAnsi"/>
          <w:sz w:val="22"/>
          <w:szCs w:val="22"/>
          <w:shd w:val="clear" w:color="auto" w:fill="FFFFFF"/>
        </w:rPr>
        <w:t xml:space="preserve">determinations annually about the performance of each LEA </w:t>
      </w:r>
      <w:r w:rsidR="007808D5" w:rsidRPr="00A33876">
        <w:rPr>
          <w:rStyle w:val="normaltextrun"/>
          <w:rFonts w:asciiTheme="minorHAnsi" w:hAnsiTheme="minorHAnsi" w:cstheme="minorHAnsi"/>
          <w:sz w:val="22"/>
          <w:szCs w:val="22"/>
          <w:shd w:val="clear" w:color="auto" w:fill="FFFFFF"/>
        </w:rPr>
        <w:t>consistent with the requirements in IDEA.</w:t>
      </w:r>
      <w:r w:rsidR="00FB5059" w:rsidRPr="00A33876">
        <w:rPr>
          <w:rStyle w:val="normaltextrun"/>
          <w:rFonts w:asciiTheme="minorHAnsi" w:hAnsiTheme="minorHAnsi" w:cstheme="minorHAnsi"/>
          <w:sz w:val="22"/>
          <w:szCs w:val="22"/>
          <w:shd w:val="clear" w:color="auto" w:fill="FFFFFF"/>
        </w:rPr>
        <w:t xml:space="preserve"> </w:t>
      </w:r>
      <w:r w:rsidR="00540D94" w:rsidRPr="00A33876">
        <w:rPr>
          <w:rStyle w:val="normaltextrun"/>
          <w:rFonts w:asciiTheme="minorHAnsi" w:hAnsiTheme="minorHAnsi" w:cstheme="minorHAnsi"/>
          <w:i/>
          <w:iCs/>
          <w:sz w:val="22"/>
          <w:szCs w:val="22"/>
          <w:shd w:val="clear" w:color="auto" w:fill="FFFFFF"/>
        </w:rPr>
        <w:t>See</w:t>
      </w:r>
      <w:r w:rsidR="00540D94" w:rsidRPr="00A33876">
        <w:rPr>
          <w:rStyle w:val="normaltextrun"/>
          <w:rFonts w:asciiTheme="minorHAnsi" w:hAnsiTheme="minorHAnsi" w:cstheme="minorHAnsi"/>
          <w:sz w:val="22"/>
          <w:szCs w:val="22"/>
          <w:shd w:val="clear" w:color="auto" w:fill="FFFFFF"/>
        </w:rPr>
        <w:t xml:space="preserve"> </w:t>
      </w:r>
      <w:hyperlink r:id="rId12" w:history="1">
        <w:r w:rsidR="00A54BE8" w:rsidRPr="00A33876">
          <w:rPr>
            <w:rStyle w:val="Hyperlink"/>
            <w:rFonts w:asciiTheme="minorHAnsi" w:hAnsiTheme="minorHAnsi" w:cstheme="minorHAnsi"/>
            <w:sz w:val="22"/>
            <w:szCs w:val="22"/>
            <w:shd w:val="clear" w:color="auto" w:fill="FFFFFF"/>
          </w:rPr>
          <w:t>34 C.F.R. 300.600</w:t>
        </w:r>
      </w:hyperlink>
      <w:r w:rsidR="00A54BE8" w:rsidRPr="00A33876">
        <w:rPr>
          <w:rStyle w:val="normaltextrun"/>
          <w:rFonts w:asciiTheme="minorHAnsi" w:hAnsiTheme="minorHAnsi" w:cstheme="minorHAnsi"/>
          <w:sz w:val="22"/>
          <w:szCs w:val="22"/>
          <w:shd w:val="clear" w:color="auto" w:fill="FFFFFF"/>
        </w:rPr>
        <w:t xml:space="preserve">. </w:t>
      </w:r>
      <w:r w:rsidR="00FB5059" w:rsidRPr="00A33876">
        <w:rPr>
          <w:rStyle w:val="normaltextrun"/>
          <w:rFonts w:asciiTheme="minorHAnsi" w:hAnsiTheme="minorHAnsi" w:cstheme="minorHAnsi"/>
          <w:sz w:val="22"/>
          <w:szCs w:val="22"/>
          <w:shd w:val="clear" w:color="auto" w:fill="FFFFFF"/>
        </w:rPr>
        <w:t xml:space="preserve">Similarly, the U.S. Department of Education </w:t>
      </w:r>
      <w:r w:rsidR="008C2CE1" w:rsidRPr="00A33876">
        <w:rPr>
          <w:rStyle w:val="normaltextrun"/>
          <w:rFonts w:asciiTheme="minorHAnsi" w:hAnsiTheme="minorHAnsi" w:cstheme="minorHAnsi"/>
          <w:sz w:val="22"/>
          <w:szCs w:val="22"/>
          <w:shd w:val="clear" w:color="auto" w:fill="FFFFFF"/>
        </w:rPr>
        <w:t xml:space="preserve">annually determines if </w:t>
      </w:r>
      <w:r w:rsidR="00E26B55" w:rsidRPr="00A33876">
        <w:rPr>
          <w:rStyle w:val="normaltextrun"/>
          <w:rFonts w:asciiTheme="minorHAnsi" w:hAnsiTheme="minorHAnsi" w:cstheme="minorHAnsi"/>
          <w:sz w:val="22"/>
          <w:szCs w:val="22"/>
          <w:shd w:val="clear" w:color="auto" w:fill="FFFFFF"/>
        </w:rPr>
        <w:t xml:space="preserve">Massachusetts </w:t>
      </w:r>
      <w:r w:rsidR="005D2172" w:rsidRPr="00A33876">
        <w:rPr>
          <w:rStyle w:val="normaltextrun"/>
          <w:rFonts w:asciiTheme="minorHAnsi" w:hAnsiTheme="minorHAnsi" w:cstheme="minorHAnsi"/>
          <w:sz w:val="22"/>
          <w:szCs w:val="22"/>
          <w:shd w:val="clear" w:color="auto" w:fill="FFFFFF"/>
        </w:rPr>
        <w:t>meets IDEA’s requirements, needs assistance in implementing them, needs intervention</w:t>
      </w:r>
      <w:r w:rsidR="00762A1A" w:rsidRPr="00A33876">
        <w:rPr>
          <w:rStyle w:val="normaltextrun"/>
          <w:rFonts w:asciiTheme="minorHAnsi" w:hAnsiTheme="minorHAnsi" w:cstheme="minorHAnsi"/>
          <w:sz w:val="22"/>
          <w:szCs w:val="22"/>
          <w:shd w:val="clear" w:color="auto" w:fill="FFFFFF"/>
        </w:rPr>
        <w:t xml:space="preserve"> in implementing them, or needs substantial intervention implementing them. </w:t>
      </w:r>
      <w:r w:rsidR="00762A1A" w:rsidRPr="00A33876">
        <w:rPr>
          <w:rStyle w:val="normaltextrun"/>
          <w:rFonts w:asciiTheme="minorHAnsi" w:hAnsiTheme="minorHAnsi" w:cstheme="minorHAnsi"/>
          <w:i/>
          <w:iCs/>
          <w:sz w:val="22"/>
          <w:szCs w:val="22"/>
          <w:shd w:val="clear" w:color="auto" w:fill="FFFFFF"/>
        </w:rPr>
        <w:t>See</w:t>
      </w:r>
      <w:r w:rsidR="00762A1A" w:rsidRPr="00A33876">
        <w:rPr>
          <w:rStyle w:val="normaltextrun"/>
          <w:rFonts w:asciiTheme="minorHAnsi" w:hAnsiTheme="minorHAnsi" w:cstheme="minorHAnsi"/>
          <w:sz w:val="22"/>
          <w:szCs w:val="22"/>
          <w:shd w:val="clear" w:color="auto" w:fill="FFFFFF"/>
        </w:rPr>
        <w:t xml:space="preserve"> </w:t>
      </w:r>
      <w:hyperlink r:id="rId13" w:history="1">
        <w:r w:rsidR="00762A1A" w:rsidRPr="00A33876">
          <w:rPr>
            <w:rStyle w:val="Hyperlink"/>
            <w:rFonts w:asciiTheme="minorHAnsi" w:hAnsiTheme="minorHAnsi" w:cstheme="minorHAnsi"/>
            <w:sz w:val="22"/>
            <w:szCs w:val="22"/>
            <w:shd w:val="clear" w:color="auto" w:fill="FFFFFF"/>
          </w:rPr>
          <w:t>34 C.F.R. § 300.603</w:t>
        </w:r>
      </w:hyperlink>
      <w:r w:rsidR="00762A1A" w:rsidRPr="00A33876">
        <w:rPr>
          <w:rStyle w:val="normaltextrun"/>
          <w:rFonts w:asciiTheme="minorHAnsi" w:hAnsiTheme="minorHAnsi" w:cstheme="minorHAnsi"/>
          <w:sz w:val="22"/>
          <w:szCs w:val="22"/>
          <w:shd w:val="clear" w:color="auto" w:fill="FFFFFF"/>
        </w:rPr>
        <w:t xml:space="preserve">. </w:t>
      </w:r>
    </w:p>
    <w:p w14:paraId="1BD6B61D" w14:textId="304204D4" w:rsidR="0067172D" w:rsidRPr="00A33876" w:rsidRDefault="00136DA7" w:rsidP="00C81FE9">
      <w:pPr>
        <w:spacing w:line="254" w:lineRule="auto"/>
        <w:ind w:left="720"/>
        <w:rPr>
          <w:rFonts w:cstheme="minorHAnsi"/>
          <w:b/>
          <w:bCs/>
        </w:rPr>
      </w:pPr>
      <w:r w:rsidRPr="00A33876">
        <w:rPr>
          <w:rFonts w:cstheme="minorHAnsi"/>
          <w:b/>
          <w:bCs/>
        </w:rPr>
        <w:lastRenderedPageBreak/>
        <w:t xml:space="preserve">How </w:t>
      </w:r>
      <w:r w:rsidR="001C2C4E" w:rsidRPr="00A33876">
        <w:rPr>
          <w:rFonts w:cstheme="minorHAnsi"/>
          <w:b/>
          <w:bCs/>
        </w:rPr>
        <w:t xml:space="preserve">are </w:t>
      </w:r>
      <w:r w:rsidR="0067172D" w:rsidRPr="00A33876">
        <w:rPr>
          <w:rFonts w:cstheme="minorHAnsi"/>
          <w:b/>
          <w:bCs/>
        </w:rPr>
        <w:t>IDEA’s requirements</w:t>
      </w:r>
      <w:r w:rsidR="00F428FC" w:rsidRPr="00A33876">
        <w:rPr>
          <w:rFonts w:cstheme="minorHAnsi"/>
          <w:b/>
          <w:bCs/>
        </w:rPr>
        <w:t xml:space="preserve"> </w:t>
      </w:r>
      <w:r w:rsidR="00DF390C" w:rsidRPr="00A33876">
        <w:rPr>
          <w:rFonts w:cstheme="minorHAnsi"/>
          <w:b/>
          <w:bCs/>
        </w:rPr>
        <w:t xml:space="preserve">for states </w:t>
      </w:r>
      <w:r w:rsidR="00F428FC" w:rsidRPr="00A33876">
        <w:rPr>
          <w:rFonts w:cstheme="minorHAnsi"/>
          <w:b/>
          <w:bCs/>
        </w:rPr>
        <w:t>related to</w:t>
      </w:r>
      <w:r w:rsidR="00BD34EB" w:rsidRPr="00A33876">
        <w:rPr>
          <w:rFonts w:cstheme="minorHAnsi"/>
          <w:b/>
          <w:bCs/>
        </w:rPr>
        <w:t xml:space="preserve"> </w:t>
      </w:r>
      <w:r w:rsidR="00C71E53" w:rsidRPr="00A33876">
        <w:rPr>
          <w:rFonts w:cstheme="minorHAnsi"/>
          <w:b/>
          <w:bCs/>
        </w:rPr>
        <w:t xml:space="preserve">LEA </w:t>
      </w:r>
      <w:r w:rsidR="00F5475B" w:rsidRPr="00A33876">
        <w:rPr>
          <w:rFonts w:cstheme="minorHAnsi"/>
          <w:b/>
          <w:bCs/>
        </w:rPr>
        <w:t>determination</w:t>
      </w:r>
      <w:r w:rsidR="008C05E1" w:rsidRPr="00A33876">
        <w:rPr>
          <w:rFonts w:cstheme="minorHAnsi"/>
          <w:b/>
          <w:bCs/>
        </w:rPr>
        <w:t>s</w:t>
      </w:r>
      <w:r w:rsidR="0067172D" w:rsidRPr="00A33876">
        <w:rPr>
          <w:rFonts w:cstheme="minorHAnsi"/>
          <w:b/>
          <w:bCs/>
        </w:rPr>
        <w:t>?</w:t>
      </w:r>
    </w:p>
    <w:p w14:paraId="22F91809" w14:textId="5FF5D02D" w:rsidR="006E3F51" w:rsidRDefault="002D719C" w:rsidP="00C81FE9">
      <w:pPr>
        <w:spacing w:line="254" w:lineRule="auto"/>
        <w:ind w:left="1440"/>
        <w:rPr>
          <w:rFonts w:cstheme="minorHAnsi"/>
        </w:rPr>
      </w:pPr>
      <w:r w:rsidRPr="00A33876">
        <w:rPr>
          <w:rFonts w:cstheme="minorHAnsi"/>
        </w:rPr>
        <w:t xml:space="preserve">IDEA requires states to </w:t>
      </w:r>
      <w:r w:rsidR="00065186" w:rsidRPr="00A33876">
        <w:rPr>
          <w:rFonts w:cstheme="minorHAnsi"/>
        </w:rPr>
        <w:t>make sure that IDEA’s requirements are carried out</w:t>
      </w:r>
      <w:r w:rsidR="00B43FCC" w:rsidRPr="00A33876">
        <w:rPr>
          <w:rFonts w:cstheme="minorHAnsi"/>
        </w:rPr>
        <w:t xml:space="preserve">, </w:t>
      </w:r>
      <w:r w:rsidR="004B21F3" w:rsidRPr="00A33876">
        <w:rPr>
          <w:rFonts w:cstheme="minorHAnsi"/>
        </w:rPr>
        <w:t xml:space="preserve">that </w:t>
      </w:r>
      <w:r w:rsidR="00CE14D0" w:rsidRPr="00A33876">
        <w:rPr>
          <w:rFonts w:cstheme="minorHAnsi"/>
        </w:rPr>
        <w:t>educational programs for students with disabilities</w:t>
      </w:r>
      <w:r w:rsidR="00B461B7" w:rsidRPr="00A33876">
        <w:rPr>
          <w:rFonts w:cstheme="minorHAnsi"/>
        </w:rPr>
        <w:t xml:space="preserve"> </w:t>
      </w:r>
      <w:r w:rsidR="00CB130B" w:rsidRPr="00A33876">
        <w:rPr>
          <w:rFonts w:cstheme="minorHAnsi"/>
        </w:rPr>
        <w:t xml:space="preserve">are under the general supervision of persons responsible </w:t>
      </w:r>
      <w:r w:rsidR="0073747B" w:rsidRPr="00A33876">
        <w:rPr>
          <w:rFonts w:cstheme="minorHAnsi"/>
        </w:rPr>
        <w:t xml:space="preserve">for </w:t>
      </w:r>
      <w:r w:rsidR="00E30F7C" w:rsidRPr="00A33876">
        <w:rPr>
          <w:rFonts w:cstheme="minorHAnsi"/>
        </w:rPr>
        <w:t>educational programs for children with disab</w:t>
      </w:r>
      <w:r w:rsidR="008B08CD" w:rsidRPr="00A33876">
        <w:rPr>
          <w:rFonts w:cstheme="minorHAnsi"/>
        </w:rPr>
        <w:t>ilities</w:t>
      </w:r>
      <w:r w:rsidR="00337F88" w:rsidRPr="00A33876">
        <w:rPr>
          <w:rFonts w:cstheme="minorHAnsi"/>
        </w:rPr>
        <w:t>, and</w:t>
      </w:r>
      <w:r w:rsidR="007E539E" w:rsidRPr="00A33876">
        <w:rPr>
          <w:rFonts w:cstheme="minorHAnsi"/>
        </w:rPr>
        <w:t xml:space="preserve"> that </w:t>
      </w:r>
      <w:r w:rsidR="007E539E">
        <w:rPr>
          <w:rFonts w:cstheme="minorHAnsi"/>
        </w:rPr>
        <w:t>they</w:t>
      </w:r>
      <w:r w:rsidR="00337F88">
        <w:rPr>
          <w:rFonts w:cstheme="minorHAnsi"/>
        </w:rPr>
        <w:t xml:space="preserve"> meet the state’s </w:t>
      </w:r>
      <w:r w:rsidR="003720A6">
        <w:rPr>
          <w:rFonts w:cstheme="minorHAnsi"/>
        </w:rPr>
        <w:t xml:space="preserve">educational standards. </w:t>
      </w:r>
      <w:r w:rsidR="00465361" w:rsidRPr="005F1B21">
        <w:rPr>
          <w:rStyle w:val="normaltextrun"/>
          <w:rFonts w:cstheme="minorHAnsi"/>
          <w:i/>
          <w:iCs/>
          <w:shd w:val="clear" w:color="auto" w:fill="FFFFFF"/>
        </w:rPr>
        <w:t>See</w:t>
      </w:r>
      <w:r w:rsidR="00465361">
        <w:t xml:space="preserve"> </w:t>
      </w:r>
      <w:hyperlink r:id="rId14" w:history="1">
        <w:r w:rsidR="006E3F51">
          <w:rPr>
            <w:rStyle w:val="Hyperlink"/>
            <w:rFonts w:cstheme="minorHAnsi"/>
          </w:rPr>
          <w:t>34 C.F.R. 300.149</w:t>
        </w:r>
      </w:hyperlink>
      <w:r w:rsidR="006E3F51">
        <w:rPr>
          <w:rFonts w:cstheme="minorHAnsi"/>
        </w:rPr>
        <w:t xml:space="preserve">. </w:t>
      </w:r>
      <w:r w:rsidR="007E539E">
        <w:rPr>
          <w:rFonts w:cstheme="minorHAnsi"/>
        </w:rPr>
        <w:t>It also requires that states make sure IDEA’s requirements are carried out</w:t>
      </w:r>
      <w:r w:rsidR="007B3724">
        <w:rPr>
          <w:rFonts w:cstheme="minorHAnsi"/>
        </w:rPr>
        <w:t xml:space="preserve"> consistent with requirements in the McKinney-Vento Homeless Assistance Act. </w:t>
      </w:r>
      <w:r w:rsidR="006E3F51" w:rsidRPr="001D3065">
        <w:rPr>
          <w:rFonts w:cstheme="minorHAnsi"/>
          <w:i/>
          <w:iCs/>
        </w:rPr>
        <w:t>Id</w:t>
      </w:r>
      <w:r w:rsidR="006E3F51">
        <w:rPr>
          <w:rFonts w:cstheme="minorHAnsi"/>
        </w:rPr>
        <w:t xml:space="preserve">. </w:t>
      </w:r>
    </w:p>
    <w:p w14:paraId="390B277E" w14:textId="5E7C77AC" w:rsidR="006E3F51" w:rsidRDefault="00E93526" w:rsidP="03C077EC">
      <w:pPr>
        <w:spacing w:line="254" w:lineRule="auto"/>
        <w:ind w:left="1440"/>
      </w:pPr>
      <w:r w:rsidRPr="03C077EC">
        <w:t xml:space="preserve">One of the ways that the U.S. Department of Education </w:t>
      </w:r>
      <w:r w:rsidR="002769E0" w:rsidRPr="03C077EC">
        <w:t xml:space="preserve">works with states to improve results for children with disabilities is through its </w:t>
      </w:r>
      <w:hyperlink r:id="rId15">
        <w:r w:rsidR="002769E0" w:rsidRPr="03C077EC">
          <w:rPr>
            <w:rStyle w:val="Hyperlink"/>
          </w:rPr>
          <w:t>Results</w:t>
        </w:r>
        <w:r w:rsidR="00620485" w:rsidRPr="03C077EC">
          <w:rPr>
            <w:rStyle w:val="Hyperlink"/>
          </w:rPr>
          <w:t xml:space="preserve"> Driven Accountability (RDA)</w:t>
        </w:r>
      </w:hyperlink>
      <w:r w:rsidR="00620485" w:rsidRPr="03C077EC">
        <w:t xml:space="preserve"> system. </w:t>
      </w:r>
      <w:r w:rsidR="00971521" w:rsidRPr="03C077EC">
        <w:t xml:space="preserve">This system </w:t>
      </w:r>
      <w:r w:rsidR="002F1656" w:rsidRPr="03C077EC">
        <w:t xml:space="preserve">has three components:  </w:t>
      </w:r>
    </w:p>
    <w:p w14:paraId="06B3D7DF" w14:textId="77777777" w:rsidR="001A0C25" w:rsidRPr="001D3065" w:rsidRDefault="001A0C25" w:rsidP="00201ABB">
      <w:pPr>
        <w:pStyle w:val="ListParagraph"/>
        <w:numPr>
          <w:ilvl w:val="0"/>
          <w:numId w:val="11"/>
        </w:numPr>
        <w:spacing w:line="254" w:lineRule="auto"/>
        <w:rPr>
          <w:rFonts w:asciiTheme="minorHAnsi" w:hAnsiTheme="minorHAnsi" w:cstheme="minorHAnsi"/>
          <w:sz w:val="22"/>
          <w:szCs w:val="22"/>
        </w:rPr>
      </w:pPr>
      <w:r w:rsidRPr="001D3065">
        <w:rPr>
          <w:rFonts w:asciiTheme="minorHAnsi" w:hAnsiTheme="minorHAnsi" w:cstheme="minorHAnsi"/>
          <w:sz w:val="22"/>
          <w:szCs w:val="22"/>
        </w:rPr>
        <w:t>State Performance Plan/Annual Performance Reports (SPP/APR), which measures results and compliance. States are currently developing State Systematic Improvement Plans (SSIPs), designed to improve outcomes in targeted areas.</w:t>
      </w:r>
    </w:p>
    <w:p w14:paraId="6B10053D" w14:textId="77777777" w:rsidR="001A0C25" w:rsidRPr="001D3065" w:rsidRDefault="001A0C25" w:rsidP="00201ABB">
      <w:pPr>
        <w:pStyle w:val="ListParagraph"/>
        <w:numPr>
          <w:ilvl w:val="0"/>
          <w:numId w:val="11"/>
        </w:numPr>
        <w:spacing w:line="254" w:lineRule="auto"/>
        <w:rPr>
          <w:rFonts w:asciiTheme="minorHAnsi" w:hAnsiTheme="minorHAnsi" w:cstheme="minorHAnsi"/>
          <w:sz w:val="22"/>
          <w:szCs w:val="22"/>
        </w:rPr>
      </w:pPr>
      <w:r w:rsidRPr="001D3065">
        <w:rPr>
          <w:rFonts w:asciiTheme="minorHAnsi" w:hAnsiTheme="minorHAnsi" w:cstheme="minorHAnsi"/>
          <w:sz w:val="22"/>
          <w:szCs w:val="22"/>
        </w:rPr>
        <w:t>Determinations, which reflect state performance on results, as well as compliance.</w:t>
      </w:r>
    </w:p>
    <w:p w14:paraId="1F646319" w14:textId="5E187366" w:rsidR="001A0C25" w:rsidRDefault="001A0C25" w:rsidP="00201ABB">
      <w:pPr>
        <w:pStyle w:val="ListParagraph"/>
        <w:numPr>
          <w:ilvl w:val="0"/>
          <w:numId w:val="11"/>
        </w:numPr>
        <w:spacing w:line="254" w:lineRule="auto"/>
        <w:rPr>
          <w:rFonts w:asciiTheme="minorHAnsi" w:hAnsiTheme="minorHAnsi" w:cstheme="minorHAnsi"/>
          <w:sz w:val="22"/>
          <w:szCs w:val="22"/>
        </w:rPr>
      </w:pPr>
      <w:r w:rsidRPr="001D3065">
        <w:rPr>
          <w:rFonts w:asciiTheme="minorHAnsi" w:hAnsiTheme="minorHAnsi" w:cstheme="minorHAnsi"/>
          <w:sz w:val="22"/>
          <w:szCs w:val="22"/>
        </w:rPr>
        <w:t>Differentiated monitoring and support for all states, but especially low performing states.</w:t>
      </w:r>
    </w:p>
    <w:p w14:paraId="504046E0" w14:textId="52ACAE55" w:rsidR="00FC3761" w:rsidRPr="006800EC" w:rsidRDefault="00FC3761" w:rsidP="03C077EC">
      <w:pPr>
        <w:spacing w:before="240" w:line="254" w:lineRule="auto"/>
        <w:ind w:left="1440"/>
        <w:rPr>
          <w:b/>
          <w:bCs/>
        </w:rPr>
      </w:pPr>
      <w:r w:rsidRPr="03C077EC">
        <w:t xml:space="preserve">Just as the U.S. Department of Education uses </w:t>
      </w:r>
      <w:hyperlink r:id="rId16">
        <w:r w:rsidRPr="03C077EC">
          <w:rPr>
            <w:rStyle w:val="Hyperlink"/>
          </w:rPr>
          <w:t xml:space="preserve">determinations </w:t>
        </w:r>
        <w:r w:rsidR="007623AF" w:rsidRPr="03C077EC">
          <w:rPr>
            <w:rStyle w:val="Hyperlink"/>
          </w:rPr>
          <w:t>at the state level</w:t>
        </w:r>
      </w:hyperlink>
      <w:r w:rsidR="007623AF" w:rsidRPr="03C077EC">
        <w:t xml:space="preserve"> </w:t>
      </w:r>
      <w:r w:rsidR="00815DEF" w:rsidRPr="03C077EC">
        <w:t xml:space="preserve">to evaluate </w:t>
      </w:r>
      <w:r w:rsidR="007623AF" w:rsidRPr="03C077EC">
        <w:t xml:space="preserve">the provision of special education to students with disabilities, so does the Department use determinations at the district level to </w:t>
      </w:r>
      <w:r w:rsidR="00BC09B9" w:rsidRPr="03C077EC">
        <w:t xml:space="preserve">evaluate </w:t>
      </w:r>
      <w:r w:rsidR="00955403" w:rsidRPr="03C077EC">
        <w:t xml:space="preserve">how IDEA’s requirements are being met at the local level. </w:t>
      </w:r>
      <w:r w:rsidR="00B90098" w:rsidRPr="03C077EC">
        <w:rPr>
          <w:i/>
          <w:iCs/>
        </w:rPr>
        <w:t>See</w:t>
      </w:r>
      <w:r w:rsidR="00B90098" w:rsidRPr="03C077EC">
        <w:t xml:space="preserve"> </w:t>
      </w:r>
      <w:r w:rsidR="003437EF" w:rsidRPr="03C077EC">
        <w:rPr>
          <w:lang w:val="en"/>
        </w:rPr>
        <w:t>Special Education Policy Memo SY202</w:t>
      </w:r>
      <w:r w:rsidR="5F67D07D" w:rsidRPr="03C077EC">
        <w:rPr>
          <w:lang w:val="en"/>
        </w:rPr>
        <w:t>3</w:t>
      </w:r>
      <w:r w:rsidR="003437EF" w:rsidRPr="03C077EC">
        <w:rPr>
          <w:lang w:val="en"/>
        </w:rPr>
        <w:t>-202</w:t>
      </w:r>
      <w:r w:rsidR="43ADFE2D" w:rsidRPr="03C077EC">
        <w:rPr>
          <w:lang w:val="en"/>
        </w:rPr>
        <w:t>4</w:t>
      </w:r>
      <w:r w:rsidR="003437EF" w:rsidRPr="03C077EC">
        <w:rPr>
          <w:lang w:val="en"/>
        </w:rPr>
        <w:t xml:space="preserve"> — 3:</w:t>
      </w:r>
      <w:r w:rsidR="003437EF" w:rsidRPr="03C077EC">
        <w:rPr>
          <w:b/>
          <w:bCs/>
          <w:lang w:val="en"/>
        </w:rPr>
        <w:t xml:space="preserve"> </w:t>
      </w:r>
      <w:r w:rsidR="003437EF" w:rsidRPr="03C077EC">
        <w:t>202</w:t>
      </w:r>
      <w:r w:rsidR="32D0E673" w:rsidRPr="03C077EC">
        <w:t>3</w:t>
      </w:r>
      <w:r w:rsidR="003437EF" w:rsidRPr="03C077EC">
        <w:t>-202</w:t>
      </w:r>
      <w:r w:rsidR="0C70C217" w:rsidRPr="03C077EC">
        <w:t>4</w:t>
      </w:r>
      <w:r w:rsidR="003437EF" w:rsidRPr="03C077EC">
        <w:t xml:space="preserve"> Determinations of Need for Special Education Technical Assistance or Intervention</w:t>
      </w:r>
      <w:r w:rsidR="003437EF" w:rsidRPr="03C077EC">
        <w:rPr>
          <w:b/>
          <w:bCs/>
        </w:rPr>
        <w:t xml:space="preserve"> </w:t>
      </w:r>
    </w:p>
    <w:p w14:paraId="2F2F2340" w14:textId="5BEB8D04" w:rsidR="00387EF5" w:rsidRDefault="1F541F72" w:rsidP="15B026F1">
      <w:pPr>
        <w:spacing w:before="240" w:line="254" w:lineRule="auto"/>
        <w:ind w:left="1440"/>
      </w:pPr>
      <w:r>
        <w:t xml:space="preserve">In July 2023, the </w:t>
      </w:r>
      <w:r w:rsidR="224CC734">
        <w:t xml:space="preserve">U.S. Department of Education’s </w:t>
      </w:r>
      <w:r>
        <w:t xml:space="preserve">Office of Special Education </w:t>
      </w:r>
      <w:r w:rsidR="26BB21D2">
        <w:t>and Rehabilitative Services</w:t>
      </w:r>
      <w:r w:rsidR="5BAC79E2">
        <w:t xml:space="preserve"> released their </w:t>
      </w:r>
      <w:hyperlink r:id="rId17">
        <w:r w:rsidR="5BAC79E2" w:rsidRPr="33F793F4">
          <w:rPr>
            <w:rStyle w:val="Hyperlink"/>
          </w:rPr>
          <w:t>State General Supervision Responsibilities Under Parts B and C of the IDEA</w:t>
        </w:r>
      </w:hyperlink>
      <w:r w:rsidR="5BAC79E2">
        <w:t xml:space="preserve"> (OSEP 23-01). Within</w:t>
      </w:r>
      <w:r w:rsidR="6FC5671C">
        <w:t xml:space="preserve"> the document, </w:t>
      </w:r>
      <w:r w:rsidR="6CEFDBC6">
        <w:t xml:space="preserve">there are </w:t>
      </w:r>
      <w:r w:rsidR="6FC5671C">
        <w:t xml:space="preserve">specific factors a State must consider when making annual determinations of </w:t>
      </w:r>
      <w:r w:rsidR="1ADC7411">
        <w:t>the performance of an LEA or EIS program. Those factors are:</w:t>
      </w:r>
    </w:p>
    <w:p w14:paraId="4A863192" w14:textId="05D8FBC5" w:rsidR="00387EF5" w:rsidRPr="004012BC" w:rsidRDefault="1ADC7411" w:rsidP="15B026F1">
      <w:pPr>
        <w:pStyle w:val="ListParagraph"/>
        <w:numPr>
          <w:ilvl w:val="0"/>
          <w:numId w:val="17"/>
        </w:numPr>
        <w:spacing w:line="254" w:lineRule="auto"/>
        <w:rPr>
          <w:rFonts w:asciiTheme="minorHAnsi" w:hAnsiTheme="minorHAnsi" w:cstheme="minorBidi"/>
          <w:sz w:val="22"/>
          <w:szCs w:val="22"/>
        </w:rPr>
      </w:pPr>
      <w:r w:rsidRPr="15B026F1">
        <w:rPr>
          <w:rFonts w:asciiTheme="minorHAnsi" w:hAnsiTheme="minorHAnsi" w:cstheme="minorBidi"/>
          <w:sz w:val="22"/>
          <w:szCs w:val="22"/>
        </w:rPr>
        <w:t>Performance on Compliance Indicators</w:t>
      </w:r>
    </w:p>
    <w:p w14:paraId="4A8D2AEB" w14:textId="1EF5D1E5" w:rsidR="00387EF5" w:rsidRPr="004012BC" w:rsidRDefault="1ADC7411" w:rsidP="15B026F1">
      <w:pPr>
        <w:pStyle w:val="ListParagraph"/>
        <w:numPr>
          <w:ilvl w:val="0"/>
          <w:numId w:val="17"/>
        </w:numPr>
        <w:spacing w:line="254" w:lineRule="auto"/>
        <w:rPr>
          <w:rFonts w:asciiTheme="minorHAnsi" w:hAnsiTheme="minorHAnsi" w:cstheme="minorBidi"/>
          <w:sz w:val="22"/>
          <w:szCs w:val="22"/>
        </w:rPr>
      </w:pPr>
      <w:r w:rsidRPr="15B026F1">
        <w:rPr>
          <w:rFonts w:asciiTheme="minorHAnsi" w:hAnsiTheme="minorHAnsi" w:cstheme="minorBidi"/>
          <w:sz w:val="22"/>
          <w:szCs w:val="22"/>
        </w:rPr>
        <w:t>Valid and Reliable Data</w:t>
      </w:r>
    </w:p>
    <w:p w14:paraId="25F62AD4" w14:textId="0FD1F1BB" w:rsidR="00D71EBA" w:rsidRPr="004012BC" w:rsidRDefault="30685F2E" w:rsidP="15B026F1">
      <w:pPr>
        <w:pStyle w:val="ListParagraph"/>
        <w:numPr>
          <w:ilvl w:val="0"/>
          <w:numId w:val="17"/>
        </w:numPr>
        <w:spacing w:line="254" w:lineRule="auto"/>
        <w:rPr>
          <w:rFonts w:asciiTheme="minorHAnsi" w:hAnsiTheme="minorHAnsi" w:cstheme="minorBidi"/>
          <w:sz w:val="22"/>
          <w:szCs w:val="22"/>
        </w:rPr>
      </w:pPr>
      <w:r w:rsidRPr="15B026F1">
        <w:rPr>
          <w:rFonts w:asciiTheme="minorHAnsi" w:hAnsiTheme="minorHAnsi" w:cstheme="minorBidi"/>
          <w:sz w:val="22"/>
          <w:szCs w:val="22"/>
        </w:rPr>
        <w:t>Correction of Identified Noncompliance</w:t>
      </w:r>
    </w:p>
    <w:p w14:paraId="40CA3D2B" w14:textId="5D14EE4A" w:rsidR="00D71EBA" w:rsidRDefault="30685F2E" w:rsidP="15B026F1">
      <w:pPr>
        <w:pStyle w:val="ListParagraph"/>
        <w:numPr>
          <w:ilvl w:val="0"/>
          <w:numId w:val="17"/>
        </w:numPr>
        <w:spacing w:line="254" w:lineRule="auto"/>
        <w:rPr>
          <w:rFonts w:asciiTheme="minorHAnsi" w:hAnsiTheme="minorHAnsi" w:cstheme="minorBidi"/>
          <w:sz w:val="22"/>
          <w:szCs w:val="22"/>
        </w:rPr>
      </w:pPr>
      <w:r w:rsidRPr="33F793F4">
        <w:rPr>
          <w:rFonts w:asciiTheme="minorHAnsi" w:hAnsiTheme="minorHAnsi" w:cstheme="minorBidi"/>
          <w:sz w:val="22"/>
          <w:szCs w:val="22"/>
        </w:rPr>
        <w:t xml:space="preserve">Other data available to the State about the LEA’s or EIS program’s compliance with IDEA, which could include any relevant audit findings, </w:t>
      </w:r>
      <w:r w:rsidR="57B3E48A" w:rsidRPr="33F793F4">
        <w:rPr>
          <w:rFonts w:asciiTheme="minorHAnsi" w:hAnsiTheme="minorHAnsi" w:cstheme="minorBidi"/>
          <w:sz w:val="22"/>
          <w:szCs w:val="22"/>
        </w:rPr>
        <w:t xml:space="preserve">or the denial of a Free and Appropriate Public Education, for example. </w:t>
      </w:r>
    </w:p>
    <w:p w14:paraId="51004870" w14:textId="77777777" w:rsidR="004012BC" w:rsidRDefault="004012BC" w:rsidP="00C81FE9">
      <w:pPr>
        <w:ind w:left="720"/>
        <w:rPr>
          <w:b/>
          <w:bCs/>
        </w:rPr>
      </w:pPr>
    </w:p>
    <w:p w14:paraId="6829C45C" w14:textId="134ECC4C" w:rsidR="00006D77" w:rsidRPr="003019B4" w:rsidRDefault="003019B4" w:rsidP="00C81FE9">
      <w:pPr>
        <w:ind w:left="720"/>
        <w:rPr>
          <w:b/>
          <w:bCs/>
        </w:rPr>
      </w:pPr>
      <w:r w:rsidRPr="003019B4">
        <w:rPr>
          <w:b/>
          <w:bCs/>
        </w:rPr>
        <w:t xml:space="preserve">What </w:t>
      </w:r>
      <w:r w:rsidR="003828AF" w:rsidRPr="003019B4">
        <w:rPr>
          <w:b/>
          <w:bCs/>
        </w:rPr>
        <w:t xml:space="preserve">categories do states use for </w:t>
      </w:r>
      <w:r w:rsidR="003970C3">
        <w:rPr>
          <w:b/>
          <w:bCs/>
        </w:rPr>
        <w:t xml:space="preserve">LEA </w:t>
      </w:r>
      <w:r w:rsidR="003828AF">
        <w:rPr>
          <w:b/>
          <w:bCs/>
        </w:rPr>
        <w:t>d</w:t>
      </w:r>
      <w:r w:rsidRPr="003019B4">
        <w:rPr>
          <w:b/>
          <w:bCs/>
        </w:rPr>
        <w:t xml:space="preserve">eterminations? </w:t>
      </w:r>
    </w:p>
    <w:p w14:paraId="69ADD5CB" w14:textId="1D602E54" w:rsidR="00DF22A3" w:rsidRPr="00DF22A3" w:rsidRDefault="00DF22A3" w:rsidP="00D96D4A">
      <w:pPr>
        <w:ind w:left="1440"/>
        <w:rPr>
          <w:rFonts w:cstheme="minorHAnsi"/>
        </w:rPr>
      </w:pPr>
      <w:r w:rsidRPr="00DF22A3">
        <w:rPr>
          <w:rFonts w:cstheme="minorHAnsi"/>
        </w:rPr>
        <w:t xml:space="preserve">The IDEA requires states </w:t>
      </w:r>
      <w:r w:rsidR="00F21ABA">
        <w:rPr>
          <w:rFonts w:cstheme="minorHAnsi"/>
        </w:rPr>
        <w:t xml:space="preserve">to </w:t>
      </w:r>
      <w:r w:rsidR="00AF776D">
        <w:rPr>
          <w:rFonts w:cstheme="minorHAnsi"/>
        </w:rPr>
        <w:t xml:space="preserve">make </w:t>
      </w:r>
      <w:r w:rsidRPr="00DF22A3">
        <w:rPr>
          <w:rFonts w:cstheme="minorHAnsi"/>
        </w:rPr>
        <w:t>determinations annually about the performance of each local educational agency using the</w:t>
      </w:r>
      <w:r w:rsidR="00AF776D">
        <w:rPr>
          <w:rFonts w:cstheme="minorHAnsi"/>
        </w:rPr>
        <w:t>se</w:t>
      </w:r>
      <w:r w:rsidRPr="00DF22A3">
        <w:rPr>
          <w:rFonts w:cstheme="minorHAnsi"/>
        </w:rPr>
        <w:t xml:space="preserve"> categories:</w:t>
      </w:r>
    </w:p>
    <w:p w14:paraId="2409D54F" w14:textId="62F0243A" w:rsidR="00DF22A3" w:rsidRPr="001D3065" w:rsidRDefault="006D6255" w:rsidP="00201ABB">
      <w:pPr>
        <w:pStyle w:val="ListParagraph"/>
        <w:numPr>
          <w:ilvl w:val="0"/>
          <w:numId w:val="12"/>
        </w:numPr>
        <w:rPr>
          <w:rFonts w:ascii="Calibri" w:hAnsi="Calibri" w:cs="Calibri"/>
          <w:sz w:val="22"/>
          <w:szCs w:val="22"/>
        </w:rPr>
      </w:pPr>
      <w:r w:rsidRPr="00086110">
        <w:rPr>
          <w:rFonts w:ascii="Calibri" w:hAnsi="Calibri" w:cs="Calibri"/>
          <w:i/>
          <w:iCs/>
          <w:sz w:val="22"/>
          <w:szCs w:val="22"/>
        </w:rPr>
        <w:t>M</w:t>
      </w:r>
      <w:r w:rsidR="00DF22A3" w:rsidRPr="00086110">
        <w:rPr>
          <w:rFonts w:ascii="Calibri" w:hAnsi="Calibri" w:cs="Calibri"/>
          <w:i/>
          <w:iCs/>
          <w:sz w:val="22"/>
          <w:szCs w:val="22"/>
        </w:rPr>
        <w:t>eets requirements</w:t>
      </w:r>
      <w:r w:rsidR="00DF22A3" w:rsidRPr="001D3065">
        <w:rPr>
          <w:rFonts w:ascii="Calibri" w:hAnsi="Calibri" w:cs="Calibri"/>
          <w:sz w:val="22"/>
          <w:szCs w:val="22"/>
        </w:rPr>
        <w:t xml:space="preserve"> and purposes of Part B</w:t>
      </w:r>
      <w:r w:rsidR="003865C5">
        <w:rPr>
          <w:rFonts w:ascii="Calibri" w:hAnsi="Calibri" w:cs="Calibri"/>
          <w:sz w:val="22"/>
          <w:szCs w:val="22"/>
        </w:rPr>
        <w:t xml:space="preserve"> (MR)</w:t>
      </w:r>
    </w:p>
    <w:p w14:paraId="2848F97D" w14:textId="31AABA1C" w:rsidR="00DF22A3" w:rsidRPr="001D3065" w:rsidRDefault="006D6255" w:rsidP="00201ABB">
      <w:pPr>
        <w:pStyle w:val="ListParagraph"/>
        <w:numPr>
          <w:ilvl w:val="0"/>
          <w:numId w:val="12"/>
        </w:numPr>
        <w:rPr>
          <w:rFonts w:ascii="Calibri" w:hAnsi="Calibri" w:cs="Calibri"/>
          <w:sz w:val="22"/>
          <w:szCs w:val="22"/>
        </w:rPr>
      </w:pPr>
      <w:r w:rsidRPr="00086110">
        <w:rPr>
          <w:rFonts w:ascii="Calibri" w:hAnsi="Calibri" w:cs="Calibri"/>
          <w:i/>
          <w:iCs/>
          <w:sz w:val="22"/>
          <w:szCs w:val="22"/>
        </w:rPr>
        <w:t>N</w:t>
      </w:r>
      <w:r w:rsidR="00DF22A3" w:rsidRPr="00086110">
        <w:rPr>
          <w:rFonts w:ascii="Calibri" w:hAnsi="Calibri" w:cs="Calibri"/>
          <w:i/>
          <w:iCs/>
          <w:sz w:val="22"/>
          <w:szCs w:val="22"/>
        </w:rPr>
        <w:t>eeds assistance</w:t>
      </w:r>
      <w:r w:rsidR="00DF22A3" w:rsidRPr="001D3065">
        <w:rPr>
          <w:rFonts w:ascii="Calibri" w:hAnsi="Calibri" w:cs="Calibri"/>
          <w:sz w:val="22"/>
          <w:szCs w:val="22"/>
        </w:rPr>
        <w:t xml:space="preserve"> in meeting the requirements of Part B</w:t>
      </w:r>
      <w:r w:rsidR="003865C5">
        <w:rPr>
          <w:rFonts w:ascii="Calibri" w:hAnsi="Calibri" w:cs="Calibri"/>
          <w:sz w:val="22"/>
          <w:szCs w:val="22"/>
        </w:rPr>
        <w:t xml:space="preserve"> (NA)</w:t>
      </w:r>
    </w:p>
    <w:p w14:paraId="2554BFD3" w14:textId="7DB2935E" w:rsidR="00DF22A3" w:rsidRPr="001D3065" w:rsidRDefault="006D6255" w:rsidP="00201ABB">
      <w:pPr>
        <w:pStyle w:val="ListParagraph"/>
        <w:numPr>
          <w:ilvl w:val="0"/>
          <w:numId w:val="12"/>
        </w:numPr>
        <w:rPr>
          <w:rFonts w:ascii="Calibri" w:hAnsi="Calibri" w:cs="Calibri"/>
          <w:sz w:val="22"/>
          <w:szCs w:val="22"/>
        </w:rPr>
      </w:pPr>
      <w:r w:rsidRPr="00086110">
        <w:rPr>
          <w:rFonts w:ascii="Calibri" w:hAnsi="Calibri" w:cs="Calibri"/>
          <w:i/>
          <w:iCs/>
          <w:sz w:val="22"/>
          <w:szCs w:val="22"/>
        </w:rPr>
        <w:t>N</w:t>
      </w:r>
      <w:r w:rsidR="00DF22A3" w:rsidRPr="00086110">
        <w:rPr>
          <w:rFonts w:ascii="Calibri" w:hAnsi="Calibri" w:cs="Calibri"/>
          <w:i/>
          <w:iCs/>
          <w:sz w:val="22"/>
          <w:szCs w:val="22"/>
        </w:rPr>
        <w:t>eeds intervention</w:t>
      </w:r>
      <w:r w:rsidR="00DF22A3" w:rsidRPr="001D3065">
        <w:rPr>
          <w:rFonts w:ascii="Calibri" w:hAnsi="Calibri" w:cs="Calibri"/>
          <w:sz w:val="22"/>
          <w:szCs w:val="22"/>
        </w:rPr>
        <w:t xml:space="preserve"> in meeting the requirements of Part B</w:t>
      </w:r>
      <w:r w:rsidR="003865C5">
        <w:rPr>
          <w:rFonts w:ascii="Calibri" w:hAnsi="Calibri" w:cs="Calibri"/>
          <w:sz w:val="22"/>
          <w:szCs w:val="22"/>
        </w:rPr>
        <w:t xml:space="preserve"> (NI)</w:t>
      </w:r>
    </w:p>
    <w:p w14:paraId="6529BCF3" w14:textId="46CC7D20" w:rsidR="00DF22A3" w:rsidRDefault="006D6255" w:rsidP="00201ABB">
      <w:pPr>
        <w:pStyle w:val="ListParagraph"/>
        <w:numPr>
          <w:ilvl w:val="0"/>
          <w:numId w:val="12"/>
        </w:numPr>
        <w:spacing w:after="240"/>
        <w:rPr>
          <w:rFonts w:ascii="Calibri" w:hAnsi="Calibri" w:cs="Calibri"/>
          <w:sz w:val="22"/>
          <w:szCs w:val="22"/>
        </w:rPr>
      </w:pPr>
      <w:r w:rsidRPr="00086110">
        <w:rPr>
          <w:rFonts w:ascii="Calibri" w:hAnsi="Calibri" w:cs="Calibri"/>
          <w:i/>
          <w:iCs/>
          <w:sz w:val="22"/>
          <w:szCs w:val="22"/>
        </w:rPr>
        <w:t>N</w:t>
      </w:r>
      <w:r w:rsidR="00DF22A3" w:rsidRPr="00086110">
        <w:rPr>
          <w:rFonts w:ascii="Calibri" w:hAnsi="Calibri" w:cs="Calibri"/>
          <w:i/>
          <w:iCs/>
          <w:sz w:val="22"/>
          <w:szCs w:val="22"/>
        </w:rPr>
        <w:t>eeds substantial intervention</w:t>
      </w:r>
      <w:r w:rsidR="00DF22A3" w:rsidRPr="001D3065">
        <w:rPr>
          <w:rFonts w:ascii="Calibri" w:hAnsi="Calibri" w:cs="Calibri"/>
          <w:sz w:val="22"/>
          <w:szCs w:val="22"/>
        </w:rPr>
        <w:t xml:space="preserve"> in meeting the requirements of Part B</w:t>
      </w:r>
      <w:r w:rsidR="003865C5">
        <w:rPr>
          <w:rFonts w:ascii="Calibri" w:hAnsi="Calibri" w:cs="Calibri"/>
          <w:sz w:val="22"/>
          <w:szCs w:val="22"/>
        </w:rPr>
        <w:t xml:space="preserve"> (NSI)</w:t>
      </w:r>
    </w:p>
    <w:p w14:paraId="06E7B0A6" w14:textId="082CDE0A" w:rsidR="00F21ABA" w:rsidRPr="001D3065" w:rsidRDefault="00AF776D" w:rsidP="00D96D4A">
      <w:pPr>
        <w:ind w:left="1440"/>
        <w:rPr>
          <w:rFonts w:ascii="Calibri" w:hAnsi="Calibri" w:cs="Calibri"/>
        </w:rPr>
      </w:pPr>
      <w:r w:rsidRPr="001D3065">
        <w:rPr>
          <w:rFonts w:cstheme="minorHAnsi"/>
        </w:rPr>
        <w:lastRenderedPageBreak/>
        <w:t xml:space="preserve">See </w:t>
      </w:r>
      <w:hyperlink r:id="rId18" w:anchor="Monitoring-Enforcement" w:history="1">
        <w:r w:rsidR="00910225" w:rsidRPr="00495409">
          <w:rPr>
            <w:rStyle w:val="Hyperlink"/>
            <w:rFonts w:cstheme="minorHAnsi"/>
          </w:rPr>
          <w:t>Monitoring and Enforcement</w:t>
        </w:r>
      </w:hyperlink>
      <w:r w:rsidR="00910225" w:rsidRPr="001D3065">
        <w:rPr>
          <w:rFonts w:cstheme="minorHAnsi"/>
        </w:rPr>
        <w:t xml:space="preserve"> </w:t>
      </w:r>
    </w:p>
    <w:p w14:paraId="578162D1" w14:textId="10FA039A" w:rsidR="00A872BB" w:rsidRDefault="00A872BB" w:rsidP="00C81FE9">
      <w:pPr>
        <w:ind w:left="720"/>
        <w:rPr>
          <w:b/>
          <w:bCs/>
        </w:rPr>
      </w:pPr>
      <w:r>
        <w:rPr>
          <w:b/>
          <w:bCs/>
        </w:rPr>
        <w:t xml:space="preserve">Where are </w:t>
      </w:r>
      <w:r w:rsidR="00C66A6D">
        <w:rPr>
          <w:b/>
          <w:bCs/>
        </w:rPr>
        <w:t>LEA</w:t>
      </w:r>
      <w:r w:rsidR="004E5ABD">
        <w:rPr>
          <w:b/>
          <w:bCs/>
        </w:rPr>
        <w:t xml:space="preserve"> </w:t>
      </w:r>
      <w:r w:rsidR="004B4390">
        <w:rPr>
          <w:rFonts w:cstheme="minorHAnsi"/>
          <w:b/>
          <w:bCs/>
        </w:rPr>
        <w:t xml:space="preserve">determinations </w:t>
      </w:r>
      <w:r w:rsidR="004E5ABD">
        <w:rPr>
          <w:b/>
          <w:bCs/>
        </w:rPr>
        <w:t>publicly reported?</w:t>
      </w:r>
    </w:p>
    <w:p w14:paraId="40D813DC" w14:textId="40ADC7F0" w:rsidR="004E5ABD" w:rsidRPr="004E5ABD" w:rsidRDefault="004E5ABD" w:rsidP="004E5ABD">
      <w:pPr>
        <w:ind w:left="1440"/>
      </w:pPr>
      <w:r>
        <w:t>The Department publishe</w:t>
      </w:r>
      <w:r w:rsidR="00A34222">
        <w:t>s</w:t>
      </w:r>
      <w:r>
        <w:t xml:space="preserve"> </w:t>
      </w:r>
      <w:r w:rsidR="00990DAB">
        <w:t>a</w:t>
      </w:r>
      <w:r w:rsidR="00780297">
        <w:t>n a</w:t>
      </w:r>
      <w:r w:rsidR="00E908DA">
        <w:t>nnual</w:t>
      </w:r>
      <w:r w:rsidR="00990DAB">
        <w:t xml:space="preserve"> lis</w:t>
      </w:r>
      <w:r w:rsidR="00B86103">
        <w:t xml:space="preserve">t of </w:t>
      </w:r>
      <w:hyperlink r:id="rId19">
        <w:r w:rsidR="00784A1A" w:rsidRPr="03C077EC">
          <w:rPr>
            <w:rStyle w:val="Hyperlink"/>
          </w:rPr>
          <w:t xml:space="preserve">LEA </w:t>
        </w:r>
        <w:r w:rsidRPr="03C077EC">
          <w:rPr>
            <w:rStyle w:val="Hyperlink"/>
          </w:rPr>
          <w:t>determinations</w:t>
        </w:r>
      </w:hyperlink>
      <w:r w:rsidR="00E908DA">
        <w:t xml:space="preserve">. </w:t>
      </w:r>
      <w:r>
        <w:t xml:space="preserve"> </w:t>
      </w:r>
    </w:p>
    <w:p w14:paraId="4F6CB53E" w14:textId="65067DE5" w:rsidR="003019B4" w:rsidRPr="003019B4" w:rsidRDefault="00D82FAA" w:rsidP="00C81FE9">
      <w:pPr>
        <w:ind w:left="720"/>
        <w:rPr>
          <w:b/>
          <w:bCs/>
        </w:rPr>
      </w:pPr>
      <w:r>
        <w:rPr>
          <w:b/>
          <w:bCs/>
        </w:rPr>
        <w:t xml:space="preserve">What happens if the Department determines a district </w:t>
      </w:r>
      <w:r w:rsidR="00810B9E">
        <w:rPr>
          <w:b/>
          <w:bCs/>
        </w:rPr>
        <w:t>needs technical assistance or intervention</w:t>
      </w:r>
      <w:r w:rsidR="00D30900">
        <w:rPr>
          <w:b/>
          <w:bCs/>
        </w:rPr>
        <w:t>?</w:t>
      </w:r>
      <w:r w:rsidR="003019B4" w:rsidRPr="003019B4">
        <w:rPr>
          <w:b/>
          <w:bCs/>
        </w:rPr>
        <w:t xml:space="preserve"> </w:t>
      </w:r>
    </w:p>
    <w:p w14:paraId="2CD4457D" w14:textId="79E7D4F3" w:rsidR="00BA59C7" w:rsidRPr="00FD052D" w:rsidRDefault="00372979" w:rsidP="00201ABB">
      <w:pPr>
        <w:pStyle w:val="ListParagraph"/>
        <w:numPr>
          <w:ilvl w:val="0"/>
          <w:numId w:val="4"/>
        </w:numPr>
        <w:ind w:left="1800"/>
        <w:rPr>
          <w:rFonts w:asciiTheme="minorHAnsi" w:hAnsiTheme="minorHAnsi" w:cstheme="minorHAnsi"/>
          <w:sz w:val="22"/>
          <w:szCs w:val="22"/>
        </w:rPr>
      </w:pPr>
      <w:r w:rsidRPr="00FD052D">
        <w:rPr>
          <w:rFonts w:asciiTheme="minorHAnsi" w:hAnsiTheme="minorHAnsi" w:cstheme="minorHAnsi"/>
          <w:sz w:val="22"/>
          <w:szCs w:val="22"/>
        </w:rPr>
        <w:t xml:space="preserve">If the Department determines that </w:t>
      </w:r>
      <w:r w:rsidR="0051595E" w:rsidRPr="00FD052D">
        <w:rPr>
          <w:rFonts w:asciiTheme="minorHAnsi" w:hAnsiTheme="minorHAnsi" w:cstheme="minorHAnsi"/>
          <w:sz w:val="22"/>
          <w:szCs w:val="22"/>
        </w:rPr>
        <w:t xml:space="preserve">a district is not meeting the requirements of IDEA, including the targets in the State’s Performance Plan, </w:t>
      </w:r>
      <w:r w:rsidR="009E0659" w:rsidRPr="00FD052D">
        <w:rPr>
          <w:rFonts w:asciiTheme="minorHAnsi" w:hAnsiTheme="minorHAnsi" w:cstheme="minorHAnsi"/>
          <w:sz w:val="22"/>
          <w:szCs w:val="22"/>
        </w:rPr>
        <w:t>the Department must prohibit that district from reducing its maintenance of effort</w:t>
      </w:r>
      <w:r w:rsidR="001C4617" w:rsidRPr="00FD052D">
        <w:rPr>
          <w:rFonts w:asciiTheme="minorHAnsi" w:hAnsiTheme="minorHAnsi" w:cstheme="minorHAnsi"/>
          <w:sz w:val="22"/>
          <w:szCs w:val="22"/>
        </w:rPr>
        <w:t xml:space="preserve"> under </w:t>
      </w:r>
      <w:hyperlink r:id="rId20" w:history="1">
        <w:r w:rsidR="001C4617" w:rsidRPr="00FD052D">
          <w:rPr>
            <w:rStyle w:val="Hyperlink"/>
            <w:rFonts w:asciiTheme="minorHAnsi" w:hAnsiTheme="minorHAnsi" w:cstheme="minorHAnsi"/>
            <w:sz w:val="22"/>
            <w:szCs w:val="22"/>
          </w:rPr>
          <w:t>34 C.F.R. § 300.203</w:t>
        </w:r>
      </w:hyperlink>
      <w:r w:rsidR="009E0659" w:rsidRPr="00FD052D">
        <w:rPr>
          <w:rFonts w:asciiTheme="minorHAnsi" w:hAnsiTheme="minorHAnsi" w:cstheme="minorHAnsi"/>
          <w:sz w:val="22"/>
          <w:szCs w:val="22"/>
        </w:rPr>
        <w:t xml:space="preserve"> </w:t>
      </w:r>
      <w:r w:rsidR="00AB4AB2" w:rsidRPr="00FD052D">
        <w:rPr>
          <w:rFonts w:asciiTheme="minorHAnsi" w:hAnsiTheme="minorHAnsi" w:cstheme="minorHAnsi"/>
          <w:sz w:val="22"/>
          <w:szCs w:val="22"/>
        </w:rPr>
        <w:t>for any fiscal year.</w:t>
      </w:r>
      <w:r w:rsidR="001C4617" w:rsidRPr="00FD052D">
        <w:rPr>
          <w:rFonts w:asciiTheme="minorHAnsi" w:hAnsiTheme="minorHAnsi" w:cstheme="minorHAnsi"/>
          <w:sz w:val="22"/>
          <w:szCs w:val="22"/>
        </w:rPr>
        <w:t xml:space="preserve"> </w:t>
      </w:r>
      <w:r w:rsidR="001C4617" w:rsidRPr="009A79C9">
        <w:rPr>
          <w:rFonts w:asciiTheme="minorHAnsi" w:hAnsiTheme="minorHAnsi" w:cstheme="minorHAnsi"/>
          <w:i/>
          <w:iCs/>
          <w:sz w:val="22"/>
          <w:szCs w:val="22"/>
        </w:rPr>
        <w:t>See</w:t>
      </w:r>
      <w:r w:rsidR="001C4617" w:rsidRPr="00FD052D">
        <w:rPr>
          <w:rFonts w:asciiTheme="minorHAnsi" w:hAnsiTheme="minorHAnsi" w:cstheme="minorHAnsi"/>
          <w:sz w:val="22"/>
          <w:szCs w:val="22"/>
        </w:rPr>
        <w:t xml:space="preserve"> </w:t>
      </w:r>
      <w:hyperlink r:id="rId21" w:history="1">
        <w:r w:rsidR="001C4617" w:rsidRPr="00FD052D">
          <w:rPr>
            <w:rStyle w:val="Hyperlink"/>
            <w:rFonts w:asciiTheme="minorHAnsi" w:hAnsiTheme="minorHAnsi" w:cstheme="minorHAnsi"/>
            <w:sz w:val="22"/>
            <w:szCs w:val="22"/>
          </w:rPr>
          <w:t>34 C.F.R. § 300.608</w:t>
        </w:r>
      </w:hyperlink>
      <w:r w:rsidR="001C4617" w:rsidRPr="00FD052D">
        <w:rPr>
          <w:rFonts w:asciiTheme="minorHAnsi" w:hAnsiTheme="minorHAnsi" w:cstheme="minorHAnsi"/>
          <w:sz w:val="22"/>
          <w:szCs w:val="22"/>
        </w:rPr>
        <w:t>.</w:t>
      </w:r>
    </w:p>
    <w:p w14:paraId="0FEAD99D" w14:textId="133B7B69" w:rsidR="003019B4" w:rsidRPr="00FD052D" w:rsidRDefault="003019B4" w:rsidP="00201ABB">
      <w:pPr>
        <w:pStyle w:val="ListParagraph"/>
        <w:numPr>
          <w:ilvl w:val="0"/>
          <w:numId w:val="4"/>
        </w:numPr>
        <w:ind w:left="1800"/>
        <w:rPr>
          <w:rFonts w:asciiTheme="minorHAnsi" w:hAnsiTheme="minorHAnsi" w:cstheme="minorHAnsi"/>
          <w:sz w:val="22"/>
          <w:szCs w:val="22"/>
        </w:rPr>
      </w:pPr>
      <w:r w:rsidRPr="00FD052D">
        <w:rPr>
          <w:rFonts w:asciiTheme="minorHAnsi" w:hAnsiTheme="minorHAnsi" w:cstheme="minorHAnsi"/>
          <w:sz w:val="22"/>
          <w:szCs w:val="22"/>
        </w:rPr>
        <w:t xml:space="preserve">States must mirror most, but not all, of the </w:t>
      </w:r>
      <w:hyperlink r:id="rId22" w:history="1">
        <w:r w:rsidR="002570DF" w:rsidRPr="002570DF">
          <w:rPr>
            <w:rStyle w:val="Hyperlink"/>
            <w:rFonts w:asciiTheme="minorHAnsi" w:hAnsiTheme="minorHAnsi" w:cstheme="minorHAnsi"/>
            <w:sz w:val="22"/>
            <w:szCs w:val="22"/>
          </w:rPr>
          <w:t>enforcement</w:t>
        </w:r>
      </w:hyperlink>
      <w:r w:rsidRPr="00FD052D">
        <w:rPr>
          <w:rFonts w:asciiTheme="minorHAnsi" w:hAnsiTheme="minorHAnsi" w:cstheme="minorHAnsi"/>
          <w:sz w:val="22"/>
          <w:szCs w:val="22"/>
        </w:rPr>
        <w:t xml:space="preserve"> actions outlined in IDEA for OSEP to use with states</w:t>
      </w:r>
      <w:r w:rsidR="00D269AC" w:rsidRPr="00FD052D">
        <w:rPr>
          <w:rFonts w:asciiTheme="minorHAnsi" w:hAnsiTheme="minorHAnsi" w:cstheme="minorHAnsi"/>
          <w:sz w:val="22"/>
          <w:szCs w:val="22"/>
        </w:rPr>
        <w:t>.</w:t>
      </w:r>
      <w:r w:rsidRPr="00FD052D">
        <w:rPr>
          <w:rFonts w:asciiTheme="minorHAnsi" w:hAnsiTheme="minorHAnsi" w:cstheme="minorHAnsi"/>
          <w:sz w:val="22"/>
          <w:szCs w:val="22"/>
        </w:rPr>
        <w:t xml:space="preserve"> </w:t>
      </w:r>
      <w:hyperlink r:id="rId23" w:history="1">
        <w:r w:rsidR="000C1CF0" w:rsidRPr="001119AC">
          <w:rPr>
            <w:rStyle w:val="Hyperlink"/>
            <w:rFonts w:asciiTheme="minorHAnsi" w:hAnsiTheme="minorHAnsi" w:cstheme="minorHAnsi"/>
            <w:i/>
            <w:iCs/>
            <w:sz w:val="22"/>
            <w:szCs w:val="22"/>
          </w:rPr>
          <w:t>See</w:t>
        </w:r>
        <w:r w:rsidR="000C1CF0" w:rsidRPr="001119AC">
          <w:rPr>
            <w:rStyle w:val="Hyperlink"/>
            <w:rFonts w:asciiTheme="minorHAnsi" w:hAnsiTheme="minorHAnsi" w:cstheme="minorHAnsi"/>
            <w:sz w:val="22"/>
            <w:szCs w:val="22"/>
          </w:rPr>
          <w:t xml:space="preserve"> 34 C.F.R. § 300.600</w:t>
        </w:r>
      </w:hyperlink>
      <w:r w:rsidR="000C1CF0" w:rsidRPr="00FD052D">
        <w:rPr>
          <w:rFonts w:asciiTheme="minorHAnsi" w:hAnsiTheme="minorHAnsi" w:cstheme="minorHAnsi"/>
          <w:sz w:val="22"/>
          <w:szCs w:val="22"/>
        </w:rPr>
        <w:t>.</w:t>
      </w:r>
    </w:p>
    <w:p w14:paraId="3EAA2D0B" w14:textId="61A2ABEB" w:rsidR="007F1E0E" w:rsidRPr="00FD052D" w:rsidRDefault="00D269AC" w:rsidP="00201ABB">
      <w:pPr>
        <w:pStyle w:val="ListParagraph"/>
        <w:numPr>
          <w:ilvl w:val="0"/>
          <w:numId w:val="4"/>
        </w:numPr>
        <w:ind w:left="1800"/>
        <w:rPr>
          <w:rFonts w:asciiTheme="minorHAnsi" w:hAnsiTheme="minorHAnsi" w:cstheme="minorHAnsi"/>
          <w:sz w:val="22"/>
          <w:szCs w:val="22"/>
        </w:rPr>
      </w:pPr>
      <w:r w:rsidRPr="00FD052D">
        <w:rPr>
          <w:rFonts w:asciiTheme="minorHAnsi" w:hAnsiTheme="minorHAnsi" w:cstheme="minorHAnsi"/>
          <w:sz w:val="22"/>
          <w:szCs w:val="22"/>
        </w:rPr>
        <w:t xml:space="preserve">States must require </w:t>
      </w:r>
      <w:r w:rsidR="00367DF6" w:rsidRPr="00FD052D">
        <w:rPr>
          <w:rFonts w:asciiTheme="minorHAnsi" w:hAnsiTheme="minorHAnsi" w:cstheme="minorHAnsi"/>
          <w:sz w:val="22"/>
          <w:szCs w:val="22"/>
        </w:rPr>
        <w:t>district</w:t>
      </w:r>
      <w:r w:rsidRPr="00FD052D">
        <w:rPr>
          <w:rFonts w:asciiTheme="minorHAnsi" w:hAnsiTheme="minorHAnsi" w:cstheme="minorHAnsi"/>
          <w:sz w:val="22"/>
          <w:szCs w:val="22"/>
        </w:rPr>
        <w:t xml:space="preserve">s to prepare and implement a </w:t>
      </w:r>
      <w:r w:rsidR="00957E71" w:rsidRPr="00957E71">
        <w:rPr>
          <w:rFonts w:asciiTheme="minorHAnsi" w:hAnsiTheme="minorHAnsi" w:cstheme="minorHAnsi"/>
          <w:sz w:val="22"/>
          <w:szCs w:val="22"/>
        </w:rPr>
        <w:t>corrective action plan or improvement plan</w:t>
      </w:r>
      <w:r w:rsidR="004D6DEF" w:rsidRPr="00FD052D">
        <w:rPr>
          <w:rFonts w:asciiTheme="minorHAnsi" w:hAnsiTheme="minorHAnsi" w:cstheme="minorHAnsi"/>
          <w:sz w:val="22"/>
          <w:szCs w:val="22"/>
        </w:rPr>
        <w:t>.</w:t>
      </w:r>
      <w:r w:rsidRPr="00FD052D">
        <w:rPr>
          <w:rFonts w:asciiTheme="minorHAnsi" w:hAnsiTheme="minorHAnsi" w:cstheme="minorHAnsi"/>
          <w:sz w:val="22"/>
          <w:szCs w:val="22"/>
        </w:rPr>
        <w:t xml:space="preserve"> </w:t>
      </w:r>
      <w:hyperlink r:id="rId24" w:history="1">
        <w:r w:rsidR="00957E71" w:rsidRPr="001119AC">
          <w:rPr>
            <w:rStyle w:val="Hyperlink"/>
            <w:rFonts w:asciiTheme="minorHAnsi" w:hAnsiTheme="minorHAnsi" w:cstheme="minorHAnsi"/>
            <w:i/>
            <w:iCs/>
            <w:sz w:val="22"/>
            <w:szCs w:val="22"/>
          </w:rPr>
          <w:t>See</w:t>
        </w:r>
        <w:r w:rsidR="00957E71" w:rsidRPr="001119AC">
          <w:rPr>
            <w:rStyle w:val="Hyperlink"/>
            <w:rFonts w:asciiTheme="minorHAnsi" w:hAnsiTheme="minorHAnsi" w:cstheme="minorHAnsi"/>
            <w:sz w:val="22"/>
            <w:szCs w:val="22"/>
          </w:rPr>
          <w:t xml:space="preserve"> 34 C.F.R. § 300.600</w:t>
        </w:r>
      </w:hyperlink>
      <w:r w:rsidR="00957E71" w:rsidRPr="00FD052D">
        <w:rPr>
          <w:rFonts w:asciiTheme="minorHAnsi" w:hAnsiTheme="minorHAnsi" w:cstheme="minorHAnsi"/>
          <w:sz w:val="22"/>
          <w:szCs w:val="22"/>
        </w:rPr>
        <w:t>.</w:t>
      </w:r>
    </w:p>
    <w:p w14:paraId="545B3DC9" w14:textId="0277D563" w:rsidR="00A83ABA" w:rsidRPr="00A83ABA" w:rsidRDefault="003019B4" w:rsidP="00796A32">
      <w:pPr>
        <w:pStyle w:val="ListParagraph"/>
        <w:numPr>
          <w:ilvl w:val="0"/>
          <w:numId w:val="4"/>
        </w:numPr>
        <w:ind w:left="1800"/>
        <w:rPr>
          <w:rStyle w:val="eop"/>
          <w:rFonts w:asciiTheme="minorHAnsi" w:hAnsiTheme="minorHAnsi" w:cstheme="minorHAnsi"/>
          <w:sz w:val="22"/>
          <w:szCs w:val="22"/>
        </w:rPr>
      </w:pPr>
      <w:r w:rsidRPr="006D4156">
        <w:rPr>
          <w:rFonts w:asciiTheme="minorHAnsi" w:hAnsiTheme="minorHAnsi" w:cstheme="minorHAnsi"/>
          <w:sz w:val="22"/>
          <w:szCs w:val="22"/>
        </w:rPr>
        <w:t xml:space="preserve">States are not restricted from using any other authority available to </w:t>
      </w:r>
      <w:r w:rsidR="00E41150" w:rsidRPr="00A143F6">
        <w:rPr>
          <w:rFonts w:asciiTheme="minorHAnsi" w:hAnsiTheme="minorHAnsi" w:cstheme="minorHAnsi"/>
          <w:sz w:val="22"/>
          <w:szCs w:val="22"/>
        </w:rPr>
        <w:t>monitor and enforce the requirements of IDEA</w:t>
      </w:r>
      <w:r w:rsidR="00D269AC" w:rsidRPr="006D4156">
        <w:rPr>
          <w:rFonts w:asciiTheme="minorHAnsi" w:hAnsiTheme="minorHAnsi" w:cstheme="minorHAnsi"/>
          <w:sz w:val="22"/>
          <w:szCs w:val="22"/>
        </w:rPr>
        <w:t>.</w:t>
      </w:r>
      <w:r w:rsidR="002D4E05" w:rsidRPr="006D4156">
        <w:rPr>
          <w:rFonts w:asciiTheme="minorHAnsi" w:hAnsiTheme="minorHAnsi" w:cstheme="minorHAnsi"/>
          <w:sz w:val="22"/>
          <w:szCs w:val="22"/>
        </w:rPr>
        <w:t xml:space="preserve"> </w:t>
      </w:r>
      <w:r w:rsidR="004E5D64" w:rsidRPr="006D4156">
        <w:rPr>
          <w:rFonts w:asciiTheme="minorHAnsi" w:hAnsiTheme="minorHAnsi" w:cstheme="minorHAnsi"/>
          <w:i/>
          <w:iCs/>
          <w:sz w:val="22"/>
          <w:szCs w:val="22"/>
        </w:rPr>
        <w:t>S</w:t>
      </w:r>
      <w:r w:rsidR="008620AC" w:rsidRPr="006D4156">
        <w:rPr>
          <w:rFonts w:asciiTheme="minorHAnsi" w:hAnsiTheme="minorHAnsi" w:cstheme="minorHAnsi"/>
          <w:i/>
          <w:iCs/>
          <w:sz w:val="22"/>
          <w:szCs w:val="22"/>
        </w:rPr>
        <w:t>ee</w:t>
      </w:r>
      <w:r w:rsidR="002D4E05" w:rsidRPr="006D4156">
        <w:rPr>
          <w:rFonts w:asciiTheme="minorHAnsi" w:hAnsiTheme="minorHAnsi" w:cstheme="minorHAnsi"/>
          <w:i/>
          <w:iCs/>
          <w:sz w:val="22"/>
          <w:szCs w:val="22"/>
        </w:rPr>
        <w:t xml:space="preserve"> </w:t>
      </w:r>
      <w:hyperlink r:id="rId25" w:history="1">
        <w:r w:rsidR="002D4E05" w:rsidRPr="006D4156">
          <w:rPr>
            <w:rStyle w:val="Hyperlink"/>
            <w:rFonts w:asciiTheme="minorHAnsi" w:hAnsiTheme="minorHAnsi" w:cstheme="minorHAnsi"/>
            <w:sz w:val="22"/>
            <w:szCs w:val="22"/>
          </w:rPr>
          <w:t xml:space="preserve">34 C.F.R. </w:t>
        </w:r>
        <w:r w:rsidR="00826151" w:rsidRPr="006D4156">
          <w:rPr>
            <w:rStyle w:val="Hyperlink"/>
            <w:rFonts w:asciiTheme="minorHAnsi" w:hAnsiTheme="minorHAnsi" w:cstheme="minorHAnsi"/>
            <w:sz w:val="22"/>
            <w:szCs w:val="22"/>
          </w:rPr>
          <w:t>§ 300.608</w:t>
        </w:r>
      </w:hyperlink>
      <w:r w:rsidR="00826151" w:rsidRPr="006D4156">
        <w:rPr>
          <w:rFonts w:asciiTheme="minorHAnsi" w:hAnsiTheme="minorHAnsi" w:cstheme="minorHAnsi"/>
          <w:sz w:val="22"/>
          <w:szCs w:val="22"/>
        </w:rPr>
        <w:t>.</w:t>
      </w:r>
      <w:bookmarkStart w:id="4" w:name="_Rubric"/>
      <w:bookmarkStart w:id="5" w:name="_LEA_Determination_Rubric"/>
      <w:bookmarkEnd w:id="4"/>
      <w:bookmarkEnd w:id="5"/>
    </w:p>
    <w:p w14:paraId="709D7FAE" w14:textId="77777777" w:rsidR="007B4EC9" w:rsidRDefault="007B4EC9" w:rsidP="00796A32">
      <w:pPr>
        <w:pStyle w:val="Heading2"/>
        <w:rPr>
          <w:rStyle w:val="eop"/>
          <w:b/>
          <w:bCs/>
        </w:rPr>
      </w:pPr>
    </w:p>
    <w:p w14:paraId="0DC3B1EC" w14:textId="3D152E49" w:rsidR="00796A32" w:rsidRPr="00F47A5E" w:rsidRDefault="001F3165" w:rsidP="00796A32">
      <w:pPr>
        <w:pStyle w:val="Heading2"/>
        <w:rPr>
          <w:rStyle w:val="eop"/>
          <w:b/>
          <w:bCs/>
        </w:rPr>
      </w:pPr>
      <w:r>
        <w:rPr>
          <w:rStyle w:val="eop"/>
          <w:b/>
          <w:bCs/>
        </w:rPr>
        <w:t>LEA De</w:t>
      </w:r>
      <w:r w:rsidR="00980DC7">
        <w:rPr>
          <w:rStyle w:val="eop"/>
          <w:b/>
          <w:bCs/>
        </w:rPr>
        <w:t xml:space="preserve">termination </w:t>
      </w:r>
      <w:r w:rsidR="00796A32" w:rsidRPr="00F47A5E">
        <w:rPr>
          <w:rStyle w:val="eop"/>
          <w:b/>
          <w:bCs/>
        </w:rPr>
        <w:t>Rubric</w:t>
      </w:r>
    </w:p>
    <w:p w14:paraId="25E11A6E" w14:textId="4FAD694F" w:rsidR="003828AF" w:rsidRDefault="003828AF" w:rsidP="00C81FE9">
      <w:pPr>
        <w:ind w:left="720"/>
        <w:rPr>
          <w:rFonts w:cstheme="minorHAnsi"/>
          <w:b/>
          <w:bCs/>
        </w:rPr>
      </w:pPr>
      <w:r>
        <w:rPr>
          <w:rFonts w:cstheme="minorHAnsi"/>
          <w:b/>
          <w:bCs/>
        </w:rPr>
        <w:t xml:space="preserve">How are </w:t>
      </w:r>
      <w:r w:rsidR="00743809">
        <w:rPr>
          <w:rFonts w:cstheme="minorHAnsi"/>
          <w:b/>
          <w:bCs/>
        </w:rPr>
        <w:t xml:space="preserve">LEA </w:t>
      </w:r>
      <w:r w:rsidR="004B4390">
        <w:rPr>
          <w:rFonts w:cstheme="minorHAnsi"/>
          <w:b/>
          <w:bCs/>
        </w:rPr>
        <w:t>determinations</w:t>
      </w:r>
      <w:r>
        <w:rPr>
          <w:rFonts w:cstheme="minorHAnsi"/>
          <w:b/>
          <w:bCs/>
        </w:rPr>
        <w:t xml:space="preserve"> made in Massachusetts?</w:t>
      </w:r>
    </w:p>
    <w:p w14:paraId="394872BF" w14:textId="17C229FD" w:rsidR="001055F8" w:rsidRPr="003828AF" w:rsidRDefault="003828AF" w:rsidP="00C81FE9">
      <w:pPr>
        <w:ind w:left="1440"/>
        <w:rPr>
          <w:rFonts w:cstheme="minorHAnsi"/>
        </w:rPr>
      </w:pPr>
      <w:r w:rsidRPr="03C077EC">
        <w:t xml:space="preserve">In Massachusetts, </w:t>
      </w:r>
      <w:r w:rsidR="00F07BF3" w:rsidRPr="03C077EC">
        <w:t xml:space="preserve">LEA </w:t>
      </w:r>
      <w:r w:rsidR="004B4390" w:rsidRPr="03C077EC">
        <w:t xml:space="preserve">determinations </w:t>
      </w:r>
      <w:r w:rsidRPr="03C077EC">
        <w:t xml:space="preserve">reflect both performance and compliance in special education. </w:t>
      </w:r>
      <w:r w:rsidR="001055F8" w:rsidRPr="03C077EC">
        <w:t xml:space="preserve">This year, the 5-Year Cohort Graduation rate and </w:t>
      </w:r>
      <w:r w:rsidR="00EA665D" w:rsidRPr="03C077EC">
        <w:t>Lea</w:t>
      </w:r>
      <w:r w:rsidR="001055F8" w:rsidRPr="03C077EC">
        <w:t>st Restrictive Environment (Indicators 5 and 6) are prioritized by the Department, and thus are weighted accordingly.</w:t>
      </w:r>
    </w:p>
    <w:p w14:paraId="64095ED0" w14:textId="0802B254" w:rsidR="2B45AB4F" w:rsidRDefault="2B45AB4F" w:rsidP="03C077EC">
      <w:pPr>
        <w:ind w:left="1440"/>
        <w:rPr>
          <w:rFonts w:ascii="Calibri" w:eastAsia="Calibri" w:hAnsi="Calibri" w:cs="Calibri"/>
          <w:color w:val="000000" w:themeColor="text1"/>
        </w:rPr>
      </w:pPr>
      <w:r w:rsidRPr="03C077EC">
        <w:rPr>
          <w:rFonts w:ascii="Calibri" w:eastAsia="Calibri" w:hAnsi="Calibri" w:cs="Calibri"/>
          <w:color w:val="000000" w:themeColor="text1"/>
        </w:rPr>
        <w:t>In continuing to improve the identification process, the rubric has been adjusted for 2023. The rubric has been separated into Performance Criteria and Compliance Criteria to best reflect our State’s General Supervision Process.</w:t>
      </w:r>
      <w:r w:rsidR="00C75F11">
        <w:rPr>
          <w:rFonts w:ascii="Calibri" w:eastAsia="Calibri" w:hAnsi="Calibri" w:cs="Calibri"/>
          <w:color w:val="000000" w:themeColor="text1"/>
        </w:rPr>
        <w:t xml:space="preserve"> Criteria have been added or adjusted to meet requirements</w:t>
      </w:r>
      <w:r w:rsidR="00802C45">
        <w:rPr>
          <w:rFonts w:ascii="Calibri" w:eastAsia="Calibri" w:hAnsi="Calibri" w:cs="Calibri"/>
          <w:color w:val="000000" w:themeColor="text1"/>
        </w:rPr>
        <w:t xml:space="preserve"> set forth by OSEP.</w:t>
      </w:r>
    </w:p>
    <w:p w14:paraId="4B6B2947" w14:textId="0094728D" w:rsidR="15A9EC6B" w:rsidRDefault="15A9EC6B" w:rsidP="03C077EC">
      <w:pPr>
        <w:ind w:firstLine="720"/>
        <w:rPr>
          <w:rFonts w:ascii="Calibri" w:eastAsia="Calibri" w:hAnsi="Calibri" w:cs="Calibri"/>
          <w:color w:val="000000" w:themeColor="text1"/>
        </w:rPr>
      </w:pPr>
      <w:r w:rsidRPr="03C077EC">
        <w:rPr>
          <w:rFonts w:ascii="Calibri" w:eastAsia="Calibri" w:hAnsi="Calibri" w:cs="Calibri"/>
          <w:color w:val="000000" w:themeColor="text1"/>
        </w:rPr>
        <w:t>The performance section of the rubric specifically considers the following:</w:t>
      </w:r>
    </w:p>
    <w:p w14:paraId="117ED647" w14:textId="4265CABA" w:rsidR="15A9EC6B" w:rsidRDefault="15A9EC6B" w:rsidP="00201ABB">
      <w:pPr>
        <w:pStyle w:val="ListParagraph"/>
        <w:widowControl w:val="0"/>
        <w:numPr>
          <w:ilvl w:val="0"/>
          <w:numId w:val="2"/>
        </w:numPr>
        <w:rPr>
          <w:rFonts w:ascii="Calibri" w:eastAsia="Calibri" w:hAnsi="Calibri" w:cs="Calibri"/>
          <w:color w:val="000000" w:themeColor="text1"/>
          <w:sz w:val="22"/>
          <w:szCs w:val="22"/>
        </w:rPr>
      </w:pPr>
      <w:r w:rsidRPr="03C077EC">
        <w:rPr>
          <w:rFonts w:ascii="Calibri" w:eastAsia="Calibri" w:hAnsi="Calibri" w:cs="Calibri"/>
          <w:color w:val="000000" w:themeColor="text1"/>
          <w:sz w:val="22"/>
          <w:szCs w:val="22"/>
        </w:rPr>
        <w:t>Annual Dropout rate for students with disabilities (2022</w:t>
      </w:r>
      <w:proofErr w:type="gramStart"/>
      <w:r w:rsidRPr="03C077EC">
        <w:rPr>
          <w:rFonts w:ascii="Calibri" w:eastAsia="Calibri" w:hAnsi="Calibri" w:cs="Calibri"/>
          <w:color w:val="000000" w:themeColor="text1"/>
          <w:sz w:val="22"/>
          <w:szCs w:val="22"/>
        </w:rPr>
        <w:t>);</w:t>
      </w:r>
      <w:proofErr w:type="gramEnd"/>
      <w:r w:rsidRPr="03C077EC">
        <w:rPr>
          <w:rFonts w:ascii="Calibri" w:eastAsia="Calibri" w:hAnsi="Calibri" w:cs="Calibri"/>
          <w:color w:val="000000" w:themeColor="text1"/>
          <w:sz w:val="22"/>
          <w:szCs w:val="22"/>
        </w:rPr>
        <w:t xml:space="preserve"> </w:t>
      </w:r>
    </w:p>
    <w:p w14:paraId="42D30641" w14:textId="0F716F1E" w:rsidR="15A9EC6B" w:rsidRDefault="15A9EC6B" w:rsidP="00201ABB">
      <w:pPr>
        <w:pStyle w:val="ListParagraph"/>
        <w:widowControl w:val="0"/>
        <w:numPr>
          <w:ilvl w:val="0"/>
          <w:numId w:val="2"/>
        </w:numPr>
        <w:rPr>
          <w:rFonts w:ascii="Calibri" w:eastAsia="Calibri" w:hAnsi="Calibri" w:cs="Calibri"/>
          <w:color w:val="000000" w:themeColor="text1"/>
          <w:sz w:val="22"/>
          <w:szCs w:val="22"/>
        </w:rPr>
      </w:pPr>
      <w:r w:rsidRPr="03C077EC">
        <w:rPr>
          <w:rFonts w:ascii="Calibri" w:eastAsia="Calibri" w:hAnsi="Calibri" w:cs="Calibri"/>
          <w:color w:val="000000" w:themeColor="text1"/>
          <w:sz w:val="22"/>
          <w:szCs w:val="22"/>
        </w:rPr>
        <w:t>5-Year Cohort Graduation rates for students with disabilities (2021</w:t>
      </w:r>
      <w:proofErr w:type="gramStart"/>
      <w:r w:rsidRPr="03C077EC">
        <w:rPr>
          <w:rFonts w:ascii="Calibri" w:eastAsia="Calibri" w:hAnsi="Calibri" w:cs="Calibri"/>
          <w:color w:val="000000" w:themeColor="text1"/>
          <w:sz w:val="22"/>
          <w:szCs w:val="22"/>
        </w:rPr>
        <w:t>);</w:t>
      </w:r>
      <w:proofErr w:type="gramEnd"/>
      <w:r w:rsidRPr="03C077EC">
        <w:rPr>
          <w:rFonts w:ascii="Calibri" w:eastAsia="Calibri" w:hAnsi="Calibri" w:cs="Calibri"/>
          <w:color w:val="000000" w:themeColor="text1"/>
          <w:sz w:val="22"/>
          <w:szCs w:val="22"/>
        </w:rPr>
        <w:t xml:space="preserve"> </w:t>
      </w:r>
    </w:p>
    <w:p w14:paraId="54998C6C" w14:textId="5031281E" w:rsidR="15A9EC6B" w:rsidRDefault="15A9EC6B" w:rsidP="00201ABB">
      <w:pPr>
        <w:pStyle w:val="ListParagraph"/>
        <w:widowControl w:val="0"/>
        <w:numPr>
          <w:ilvl w:val="0"/>
          <w:numId w:val="2"/>
        </w:numPr>
        <w:spacing w:line="259" w:lineRule="auto"/>
        <w:rPr>
          <w:rFonts w:ascii="Calibri" w:eastAsia="Calibri" w:hAnsi="Calibri" w:cs="Calibri"/>
          <w:color w:val="000000" w:themeColor="text1"/>
          <w:sz w:val="22"/>
          <w:szCs w:val="22"/>
        </w:rPr>
      </w:pPr>
      <w:r w:rsidRPr="03C077EC">
        <w:rPr>
          <w:rFonts w:ascii="Calibri" w:eastAsia="Calibri" w:hAnsi="Calibri" w:cs="Calibri"/>
          <w:color w:val="000000" w:themeColor="text1"/>
          <w:sz w:val="22"/>
          <w:szCs w:val="22"/>
        </w:rPr>
        <w:t>Performance on Special Education State Performance Annual Plan/Annual Performance Report (SPP/APR) Indicator 3 (2023); and</w:t>
      </w:r>
    </w:p>
    <w:p w14:paraId="059FE16A" w14:textId="3509F7F9" w:rsidR="15A9EC6B" w:rsidRDefault="15A9EC6B" w:rsidP="00201ABB">
      <w:pPr>
        <w:pStyle w:val="ListParagraph"/>
        <w:widowControl w:val="0"/>
        <w:numPr>
          <w:ilvl w:val="0"/>
          <w:numId w:val="2"/>
        </w:numPr>
        <w:rPr>
          <w:rFonts w:ascii="Calibri" w:eastAsia="Calibri" w:hAnsi="Calibri" w:cs="Calibri"/>
          <w:color w:val="000000" w:themeColor="text1"/>
          <w:sz w:val="22"/>
          <w:szCs w:val="22"/>
        </w:rPr>
      </w:pPr>
      <w:r w:rsidRPr="03C077EC">
        <w:rPr>
          <w:rFonts w:ascii="Calibri" w:eastAsia="Calibri" w:hAnsi="Calibri" w:cs="Calibri"/>
          <w:color w:val="000000" w:themeColor="text1"/>
          <w:sz w:val="22"/>
          <w:szCs w:val="22"/>
        </w:rPr>
        <w:t>Performance on Special Education State Performance Annual Plan/Annual Performance Report (SPP/APR) Indicators 5 &amp; 6 (SY 2022-2023).</w:t>
      </w:r>
    </w:p>
    <w:p w14:paraId="7FEB927F" w14:textId="67D808D1" w:rsidR="03C077EC" w:rsidRDefault="03C077EC" w:rsidP="03C077EC">
      <w:pPr>
        <w:widowControl w:val="0"/>
        <w:ind w:left="720"/>
        <w:rPr>
          <w:rFonts w:ascii="Calibri" w:eastAsia="Calibri" w:hAnsi="Calibri" w:cs="Calibri"/>
          <w:color w:val="000000" w:themeColor="text1"/>
        </w:rPr>
      </w:pPr>
    </w:p>
    <w:p w14:paraId="7BD08A0B" w14:textId="652C1DA3" w:rsidR="15A9EC6B" w:rsidRDefault="15A9EC6B" w:rsidP="03C077EC">
      <w:pPr>
        <w:widowControl w:val="0"/>
        <w:ind w:firstLine="720"/>
        <w:rPr>
          <w:rFonts w:ascii="Calibri" w:eastAsia="Calibri" w:hAnsi="Calibri" w:cs="Calibri"/>
          <w:color w:val="000000" w:themeColor="text1"/>
        </w:rPr>
      </w:pPr>
      <w:r w:rsidRPr="03C077EC">
        <w:rPr>
          <w:rFonts w:ascii="Calibri" w:eastAsia="Calibri" w:hAnsi="Calibri" w:cs="Calibri"/>
          <w:color w:val="000000" w:themeColor="text1"/>
        </w:rPr>
        <w:t>The compliance section of the rubric specifically considers the following:</w:t>
      </w:r>
    </w:p>
    <w:p w14:paraId="429781F2" w14:textId="218069FC" w:rsidR="15A9EC6B" w:rsidRDefault="15A9EC6B" w:rsidP="00201ABB">
      <w:pPr>
        <w:pStyle w:val="ListParagraph"/>
        <w:numPr>
          <w:ilvl w:val="0"/>
          <w:numId w:val="1"/>
        </w:numPr>
        <w:rPr>
          <w:rFonts w:ascii="Calibri" w:eastAsia="Calibri" w:hAnsi="Calibri" w:cs="Calibri"/>
          <w:color w:val="000000" w:themeColor="text1"/>
          <w:sz w:val="22"/>
          <w:szCs w:val="22"/>
        </w:rPr>
      </w:pPr>
      <w:r w:rsidRPr="03C077EC">
        <w:rPr>
          <w:rFonts w:ascii="Calibri" w:eastAsia="Calibri" w:hAnsi="Calibri" w:cs="Calibri"/>
          <w:color w:val="000000" w:themeColor="text1"/>
          <w:sz w:val="22"/>
          <w:szCs w:val="22"/>
        </w:rPr>
        <w:t>Special Education State Performance Annual Plan/Annual Performance Report (SPP/APR) Indicators 4B, 9, &amp; 10 (SY 2021-2022</w:t>
      </w:r>
      <w:proofErr w:type="gramStart"/>
      <w:r w:rsidRPr="03C077EC">
        <w:rPr>
          <w:rFonts w:ascii="Calibri" w:eastAsia="Calibri" w:hAnsi="Calibri" w:cs="Calibri"/>
          <w:color w:val="000000" w:themeColor="text1"/>
          <w:sz w:val="22"/>
          <w:szCs w:val="22"/>
        </w:rPr>
        <w:t>);</w:t>
      </w:r>
      <w:proofErr w:type="gramEnd"/>
      <w:r w:rsidRPr="03C077EC">
        <w:rPr>
          <w:rFonts w:ascii="Calibri" w:eastAsia="Calibri" w:hAnsi="Calibri" w:cs="Calibri"/>
          <w:color w:val="000000" w:themeColor="text1"/>
          <w:sz w:val="22"/>
          <w:szCs w:val="22"/>
        </w:rPr>
        <w:t xml:space="preserve"> </w:t>
      </w:r>
    </w:p>
    <w:p w14:paraId="45671756" w14:textId="1274B2EF" w:rsidR="15A9EC6B" w:rsidRDefault="15A9EC6B" w:rsidP="00201ABB">
      <w:pPr>
        <w:pStyle w:val="ListParagraph"/>
        <w:numPr>
          <w:ilvl w:val="0"/>
          <w:numId w:val="1"/>
        </w:numPr>
        <w:rPr>
          <w:rFonts w:ascii="Calibri" w:eastAsia="Calibri" w:hAnsi="Calibri" w:cs="Calibri"/>
          <w:color w:val="000000" w:themeColor="text1"/>
          <w:sz w:val="22"/>
          <w:szCs w:val="22"/>
        </w:rPr>
      </w:pPr>
      <w:r w:rsidRPr="03C077EC">
        <w:rPr>
          <w:rFonts w:ascii="Calibri" w:eastAsia="Calibri" w:hAnsi="Calibri" w:cs="Calibri"/>
          <w:color w:val="000000" w:themeColor="text1"/>
          <w:sz w:val="22"/>
          <w:szCs w:val="22"/>
        </w:rPr>
        <w:t>Special Education State Performance Annual Plan/Annual Performance Report (SPP/APR) Indicators 11, 12, &amp; 13 (SY 2022-2023</w:t>
      </w:r>
      <w:proofErr w:type="gramStart"/>
      <w:r w:rsidRPr="03C077EC">
        <w:rPr>
          <w:rFonts w:ascii="Calibri" w:eastAsia="Calibri" w:hAnsi="Calibri" w:cs="Calibri"/>
          <w:color w:val="000000" w:themeColor="text1"/>
          <w:sz w:val="22"/>
          <w:szCs w:val="22"/>
        </w:rPr>
        <w:t>);</w:t>
      </w:r>
      <w:proofErr w:type="gramEnd"/>
      <w:r w:rsidRPr="03C077EC">
        <w:rPr>
          <w:rFonts w:ascii="Calibri" w:eastAsia="Calibri" w:hAnsi="Calibri" w:cs="Calibri"/>
          <w:color w:val="000000" w:themeColor="text1"/>
          <w:sz w:val="22"/>
          <w:szCs w:val="22"/>
        </w:rPr>
        <w:t xml:space="preserve"> </w:t>
      </w:r>
    </w:p>
    <w:p w14:paraId="0A01993D" w14:textId="72B34DA2" w:rsidR="15A9EC6B" w:rsidRDefault="15A9EC6B" w:rsidP="00201ABB">
      <w:pPr>
        <w:pStyle w:val="ListParagraph"/>
        <w:numPr>
          <w:ilvl w:val="0"/>
          <w:numId w:val="1"/>
        </w:numPr>
        <w:rPr>
          <w:rFonts w:ascii="Calibri" w:eastAsia="Calibri" w:hAnsi="Calibri" w:cs="Calibri"/>
          <w:color w:val="000000" w:themeColor="text1"/>
          <w:sz w:val="22"/>
          <w:szCs w:val="22"/>
        </w:rPr>
      </w:pPr>
      <w:r w:rsidRPr="03C077EC">
        <w:rPr>
          <w:rFonts w:ascii="Calibri" w:eastAsia="Calibri" w:hAnsi="Calibri" w:cs="Calibri"/>
          <w:color w:val="000000" w:themeColor="text1"/>
          <w:sz w:val="22"/>
          <w:szCs w:val="22"/>
        </w:rPr>
        <w:lastRenderedPageBreak/>
        <w:t>Identification of Non-Compliance # of Findings (Public School Monitoring (PSM)/Problem Resolution Systems (PRS) (SY 2022-2023); and</w:t>
      </w:r>
    </w:p>
    <w:p w14:paraId="5B757324" w14:textId="7F94D86E" w:rsidR="15A9EC6B" w:rsidRDefault="15A9EC6B" w:rsidP="00201ABB">
      <w:pPr>
        <w:pStyle w:val="ListParagraph"/>
        <w:numPr>
          <w:ilvl w:val="0"/>
          <w:numId w:val="1"/>
        </w:numPr>
        <w:rPr>
          <w:rFonts w:ascii="Calibri" w:eastAsia="Calibri" w:hAnsi="Calibri" w:cs="Calibri"/>
          <w:color w:val="000000" w:themeColor="text1"/>
          <w:sz w:val="22"/>
          <w:szCs w:val="22"/>
        </w:rPr>
      </w:pPr>
      <w:r w:rsidRPr="03C077EC">
        <w:rPr>
          <w:rFonts w:ascii="Calibri" w:eastAsia="Calibri" w:hAnsi="Calibri" w:cs="Calibri"/>
          <w:color w:val="000000" w:themeColor="text1"/>
          <w:sz w:val="22"/>
          <w:szCs w:val="22"/>
        </w:rPr>
        <w:t>Timely Submission/Verified Correction of Non-Compliance (SY 2022-2023).</w:t>
      </w:r>
    </w:p>
    <w:p w14:paraId="5191853F" w14:textId="475CDDBB" w:rsidR="03C077EC" w:rsidRDefault="03C077EC" w:rsidP="03C077EC"/>
    <w:p w14:paraId="5482707F" w14:textId="3B748189" w:rsidR="005D4101" w:rsidRPr="005D4101" w:rsidRDefault="74FC5F03" w:rsidP="00E91AED">
      <w:pPr>
        <w:spacing w:after="240"/>
        <w:ind w:left="720"/>
      </w:pPr>
      <w:r w:rsidRPr="03C077EC">
        <w:t xml:space="preserve">This system is one way for the Department to measure </w:t>
      </w:r>
      <w:r w:rsidR="00D10B05" w:rsidRPr="03C077EC">
        <w:t>district</w:t>
      </w:r>
      <w:r w:rsidRPr="03C077EC">
        <w:t xml:space="preserve"> performance in key areas of special education performance and compliance. It is intended to start </w:t>
      </w:r>
      <w:r w:rsidR="004D6DEF" w:rsidRPr="03C077EC">
        <w:t xml:space="preserve">and/or continue </w:t>
      </w:r>
      <w:r w:rsidRPr="03C077EC">
        <w:t xml:space="preserve">a conversation with </w:t>
      </w:r>
      <w:r w:rsidR="00D10B05" w:rsidRPr="03C077EC">
        <w:t>district</w:t>
      </w:r>
      <w:r w:rsidRPr="03C077EC">
        <w:t>s about how the Department can help support improvement.</w:t>
      </w:r>
    </w:p>
    <w:p w14:paraId="2106941C" w14:textId="4F7AA869" w:rsidR="00CF31E5" w:rsidRDefault="00CF31E5" w:rsidP="00C81FE9">
      <w:pPr>
        <w:ind w:left="720"/>
        <w:rPr>
          <w:rFonts w:cstheme="minorHAnsi"/>
          <w:b/>
          <w:bCs/>
        </w:rPr>
      </w:pPr>
      <w:r>
        <w:rPr>
          <w:rFonts w:cstheme="minorHAnsi"/>
          <w:b/>
          <w:bCs/>
        </w:rPr>
        <w:t>Are any categories in the rubric weighted?</w:t>
      </w:r>
    </w:p>
    <w:p w14:paraId="1D190FD9" w14:textId="0CDA3A5A" w:rsidR="001055F8" w:rsidRPr="003828AF" w:rsidRDefault="001055F8" w:rsidP="00C81FE9">
      <w:pPr>
        <w:ind w:left="1440"/>
        <w:rPr>
          <w:rFonts w:cstheme="minorHAnsi"/>
        </w:rPr>
      </w:pPr>
      <w:r w:rsidRPr="003828AF">
        <w:rPr>
          <w:rFonts w:cstheme="minorHAnsi"/>
        </w:rPr>
        <w:t xml:space="preserve">This year, the 5-Year Cohort Graduation rate </w:t>
      </w:r>
      <w:r>
        <w:rPr>
          <w:rFonts w:cstheme="minorHAnsi"/>
        </w:rPr>
        <w:t xml:space="preserve">is weighted x1.5 </w:t>
      </w:r>
      <w:r w:rsidRPr="003828AF">
        <w:rPr>
          <w:rFonts w:cstheme="minorHAnsi"/>
        </w:rPr>
        <w:t xml:space="preserve">and </w:t>
      </w:r>
      <w:r>
        <w:rPr>
          <w:rFonts w:cstheme="minorHAnsi"/>
        </w:rPr>
        <w:t xml:space="preserve">the </w:t>
      </w:r>
      <w:r w:rsidR="00A74550" w:rsidRPr="001055F8">
        <w:rPr>
          <w:rFonts w:cstheme="minorHAnsi"/>
        </w:rPr>
        <w:t xml:space="preserve">SPP/APR Performance Indicators </w:t>
      </w:r>
      <w:r w:rsidRPr="003828AF">
        <w:rPr>
          <w:rFonts w:cstheme="minorHAnsi"/>
        </w:rPr>
        <w:t xml:space="preserve">(Indicators 5 and 6) </w:t>
      </w:r>
      <w:r w:rsidR="00A74550">
        <w:rPr>
          <w:rFonts w:cstheme="minorHAnsi"/>
        </w:rPr>
        <w:t xml:space="preserve">rate </w:t>
      </w:r>
      <w:r>
        <w:rPr>
          <w:rFonts w:cstheme="minorHAnsi"/>
        </w:rPr>
        <w:t>is weighted x2.</w:t>
      </w:r>
    </w:p>
    <w:p w14:paraId="31811E86" w14:textId="2704561E" w:rsidR="001F1C54" w:rsidRDefault="001B568F" w:rsidP="00C81FE9">
      <w:pPr>
        <w:ind w:left="720"/>
        <w:rPr>
          <w:rFonts w:cstheme="minorHAnsi"/>
          <w:b/>
          <w:bCs/>
        </w:rPr>
      </w:pPr>
      <w:r w:rsidRPr="00E579D7">
        <w:rPr>
          <w:rFonts w:cstheme="minorHAnsi"/>
          <w:b/>
          <w:bCs/>
        </w:rPr>
        <w:t xml:space="preserve">What are the total number of points that a </w:t>
      </w:r>
      <w:r w:rsidR="00D10B05">
        <w:rPr>
          <w:rFonts w:cstheme="minorHAnsi"/>
          <w:b/>
          <w:bCs/>
        </w:rPr>
        <w:t>district</w:t>
      </w:r>
      <w:r w:rsidRPr="00E579D7">
        <w:rPr>
          <w:rFonts w:cstheme="minorHAnsi"/>
          <w:b/>
          <w:bCs/>
        </w:rPr>
        <w:t xml:space="preserve"> could earn </w:t>
      </w:r>
      <w:r>
        <w:rPr>
          <w:rFonts w:cstheme="minorHAnsi"/>
          <w:b/>
          <w:bCs/>
        </w:rPr>
        <w:t>using the</w:t>
      </w:r>
      <w:r w:rsidRPr="00E579D7">
        <w:rPr>
          <w:rFonts w:cstheme="minorHAnsi"/>
          <w:b/>
          <w:bCs/>
        </w:rPr>
        <w:t xml:space="preserve"> rubric</w:t>
      </w:r>
      <w:r>
        <w:rPr>
          <w:rFonts w:cstheme="minorHAnsi"/>
          <w:b/>
          <w:bCs/>
        </w:rPr>
        <w:t>?</w:t>
      </w:r>
    </w:p>
    <w:p w14:paraId="2BCC075C" w14:textId="2AFB8A92" w:rsidR="00D23CAD" w:rsidRDefault="001B568F" w:rsidP="00C81FE9">
      <w:pPr>
        <w:ind w:left="1440"/>
      </w:pPr>
      <w:r>
        <w:t>It depends. The full rubric has a possible point scale of 3</w:t>
      </w:r>
      <w:r w:rsidR="00C8615B">
        <w:t>8</w:t>
      </w:r>
      <w:r>
        <w:t xml:space="preserve">; however, </w:t>
      </w:r>
      <w:r w:rsidR="00D23CAD">
        <w:t xml:space="preserve">not all </w:t>
      </w:r>
      <w:r w:rsidR="002B75B7">
        <w:t>district</w:t>
      </w:r>
      <w:r w:rsidR="00D23CAD">
        <w:t xml:space="preserve">s will earn points for every column in the rubric. </w:t>
      </w:r>
      <w:r w:rsidR="0044508E">
        <w:t>T</w:t>
      </w:r>
      <w:r w:rsidR="00D23CAD">
        <w:t xml:space="preserve">he lack of points in one or more of the rubric’s columns </w:t>
      </w:r>
      <w:r w:rsidR="3783F2A5">
        <w:t xml:space="preserve">does not have a negative </w:t>
      </w:r>
      <w:r w:rsidR="00927011">
        <w:t>effect</w:t>
      </w:r>
      <w:r w:rsidR="3783F2A5">
        <w:t xml:space="preserve"> on the</w:t>
      </w:r>
      <w:r w:rsidR="00D23CAD">
        <w:t xml:space="preserve"> </w:t>
      </w:r>
      <w:r w:rsidR="004E28FB">
        <w:t>district</w:t>
      </w:r>
      <w:r w:rsidR="00D23CAD">
        <w:t xml:space="preserve">’s calculation. </w:t>
      </w:r>
    </w:p>
    <w:p w14:paraId="76ACE2CA" w14:textId="50724A19" w:rsidR="00D23CAD" w:rsidRDefault="00BA4532" w:rsidP="03C077EC">
      <w:pPr>
        <w:ind w:left="1440"/>
      </w:pPr>
      <w:r w:rsidRPr="03C077EC">
        <w:t>For example</w:t>
      </w:r>
      <w:r w:rsidR="00D23CAD" w:rsidRPr="03C077EC">
        <w:t>,</w:t>
      </w:r>
      <w:r w:rsidRPr="03C077EC">
        <w:t xml:space="preserve"> </w:t>
      </w:r>
      <w:r w:rsidR="00D23CAD" w:rsidRPr="03C077EC">
        <w:t xml:space="preserve">if your </w:t>
      </w:r>
      <w:r w:rsidR="005823B7" w:rsidRPr="03C077EC">
        <w:t>district</w:t>
      </w:r>
      <w:r w:rsidR="00D23CAD" w:rsidRPr="03C077EC">
        <w:t xml:space="preserve"> did not </w:t>
      </w:r>
      <w:r w:rsidR="00522E1A">
        <w:t xml:space="preserve">collect and report data for Indicators 11 (Child Find), Indicator 12 (Part C to Part B Transition), or Indicator 13 (Secondary Transition) </w:t>
      </w:r>
      <w:r w:rsidR="00D23CAD" w:rsidRPr="03C077EC">
        <w:t xml:space="preserve">during the determination cycle, the total possible points for your </w:t>
      </w:r>
      <w:r w:rsidR="005823B7" w:rsidRPr="03C077EC">
        <w:t>district</w:t>
      </w:r>
      <w:r w:rsidR="00D23CAD" w:rsidRPr="03C077EC">
        <w:t xml:space="preserve"> are reduced by four, to 3</w:t>
      </w:r>
      <w:r w:rsidR="00F170BD">
        <w:t>4</w:t>
      </w:r>
      <w:r w:rsidR="00522E1A">
        <w:t>.</w:t>
      </w:r>
      <w:r w:rsidR="00D23CAD" w:rsidRPr="03C077EC">
        <w:t xml:space="preserve"> </w:t>
      </w:r>
    </w:p>
    <w:p w14:paraId="748F498E" w14:textId="66BBB6A7" w:rsidR="00DE06C2" w:rsidRDefault="005F53DE" w:rsidP="03C077EC">
      <w:pPr>
        <w:ind w:left="1440"/>
        <w:rPr>
          <w:rStyle w:val="Hyperlink"/>
        </w:rPr>
        <w:sectPr w:rsidR="00DE06C2" w:rsidSect="000C7C96">
          <w:headerReference w:type="default" r:id="rId26"/>
          <w:footerReference w:type="default" r:id="rId27"/>
          <w:pgSz w:w="12240" w:h="15840"/>
          <w:pgMar w:top="1440" w:right="1440" w:bottom="1170" w:left="1440" w:header="720" w:footer="720" w:gutter="0"/>
          <w:cols w:space="720"/>
          <w:docGrid w:linePitch="360"/>
        </w:sectPr>
      </w:pPr>
      <w:r w:rsidRPr="03C077EC">
        <w:t>For more information s</w:t>
      </w:r>
      <w:r w:rsidR="001B568F" w:rsidRPr="03C077EC">
        <w:t>ee</w:t>
      </w:r>
      <w:r w:rsidR="00103A2E" w:rsidRPr="03C077EC">
        <w:t xml:space="preserve"> </w:t>
      </w:r>
      <w:r w:rsidR="00233AAD" w:rsidRPr="03C077EC">
        <w:rPr>
          <w:lang w:val="en"/>
        </w:rPr>
        <w:t>Special Education Policy Memo SY202</w:t>
      </w:r>
      <w:r w:rsidR="1F282FC7" w:rsidRPr="03C077EC">
        <w:rPr>
          <w:lang w:val="en"/>
        </w:rPr>
        <w:t>3</w:t>
      </w:r>
      <w:r w:rsidR="00233AAD" w:rsidRPr="03C077EC">
        <w:rPr>
          <w:lang w:val="en"/>
        </w:rPr>
        <w:t>-202</w:t>
      </w:r>
      <w:r w:rsidR="7A4272F6" w:rsidRPr="03C077EC">
        <w:rPr>
          <w:lang w:val="en"/>
        </w:rPr>
        <w:t>4</w:t>
      </w:r>
      <w:r w:rsidR="00233AAD" w:rsidRPr="03C077EC">
        <w:rPr>
          <w:lang w:val="en"/>
        </w:rPr>
        <w:t xml:space="preserve"> — 3:</w:t>
      </w:r>
      <w:r w:rsidR="00233AAD" w:rsidRPr="03C077EC">
        <w:rPr>
          <w:b/>
          <w:bCs/>
          <w:lang w:val="en"/>
        </w:rPr>
        <w:t xml:space="preserve"> </w:t>
      </w:r>
      <w:r w:rsidR="00233AAD" w:rsidRPr="03C077EC">
        <w:t>202</w:t>
      </w:r>
      <w:r w:rsidR="571A74FF" w:rsidRPr="03C077EC">
        <w:t>3</w:t>
      </w:r>
      <w:r w:rsidR="00233AAD" w:rsidRPr="03C077EC">
        <w:t>-202</w:t>
      </w:r>
      <w:r w:rsidR="5FADA2CF" w:rsidRPr="03C077EC">
        <w:t>4</w:t>
      </w:r>
      <w:r w:rsidR="00233AAD" w:rsidRPr="03C077EC">
        <w:t xml:space="preserve"> Determinations of Need for Special Education Technical Assistance or </w:t>
      </w:r>
      <w:proofErr w:type="gramStart"/>
      <w:r w:rsidR="00233AAD" w:rsidRPr="03C077EC">
        <w:t>Intervention</w:t>
      </w:r>
      <w:r w:rsidR="00233AAD" w:rsidRPr="03C077EC">
        <w:rPr>
          <w:b/>
          <w:bCs/>
        </w:rPr>
        <w:t xml:space="preserve"> </w:t>
      </w:r>
      <w:r w:rsidR="00103A2E" w:rsidRPr="03C077EC">
        <w:t>.</w:t>
      </w:r>
      <w:proofErr w:type="gramEnd"/>
      <w:r w:rsidR="001B568F" w:rsidRPr="03C077EC">
        <w:rPr>
          <w:highlight w:val="yellow"/>
        </w:rPr>
        <w:t xml:space="preserve"> </w:t>
      </w:r>
    </w:p>
    <w:p w14:paraId="5A506590" w14:textId="2E0131E3" w:rsidR="007A5386" w:rsidRDefault="007A5386" w:rsidP="00C81FE9">
      <w:pPr>
        <w:ind w:left="720"/>
        <w:rPr>
          <w:b/>
        </w:rPr>
      </w:pPr>
      <w:r w:rsidRPr="03C077EC">
        <w:rPr>
          <w:b/>
          <w:bCs/>
        </w:rPr>
        <w:lastRenderedPageBreak/>
        <w:t xml:space="preserve">How are </w:t>
      </w:r>
      <w:r w:rsidR="000D64CF" w:rsidRPr="03C077EC">
        <w:rPr>
          <w:b/>
          <w:bCs/>
        </w:rPr>
        <w:t xml:space="preserve">rubric </w:t>
      </w:r>
      <w:r w:rsidRPr="03C077EC">
        <w:rPr>
          <w:b/>
          <w:bCs/>
        </w:rPr>
        <w:t>point</w:t>
      </w:r>
      <w:r w:rsidR="00865651" w:rsidRPr="03C077EC">
        <w:rPr>
          <w:b/>
          <w:bCs/>
        </w:rPr>
        <w:t xml:space="preserve">s assigned </w:t>
      </w:r>
      <w:r w:rsidR="005804B4" w:rsidRPr="03C077EC">
        <w:rPr>
          <w:b/>
          <w:bCs/>
        </w:rPr>
        <w:t xml:space="preserve">for </w:t>
      </w:r>
      <w:r w:rsidR="008B59D5" w:rsidRPr="03C077EC">
        <w:rPr>
          <w:b/>
          <w:bCs/>
        </w:rPr>
        <w:t>the</w:t>
      </w:r>
      <w:r w:rsidR="002A52CE" w:rsidRPr="03C077EC">
        <w:rPr>
          <w:b/>
          <w:bCs/>
        </w:rPr>
        <w:t xml:space="preserve"> </w:t>
      </w:r>
      <w:r w:rsidR="00BD7D97" w:rsidRPr="03C077EC">
        <w:rPr>
          <w:b/>
          <w:bCs/>
        </w:rPr>
        <w:t xml:space="preserve">LEA </w:t>
      </w:r>
      <w:r w:rsidR="008E2D05" w:rsidRPr="03C077EC">
        <w:rPr>
          <w:b/>
          <w:bCs/>
        </w:rPr>
        <w:t>determination</w:t>
      </w:r>
      <w:r w:rsidRPr="03C077EC">
        <w:rPr>
          <w:b/>
          <w:bCs/>
        </w:rPr>
        <w:t>?</w:t>
      </w:r>
    </w:p>
    <w:tbl>
      <w:tblPr>
        <w:tblW w:w="13222"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795"/>
        <w:gridCol w:w="1357"/>
        <w:gridCol w:w="1260"/>
        <w:gridCol w:w="1440"/>
        <w:gridCol w:w="1710"/>
        <w:gridCol w:w="1620"/>
        <w:gridCol w:w="1620"/>
        <w:gridCol w:w="1800"/>
        <w:gridCol w:w="1620"/>
      </w:tblGrid>
      <w:tr w:rsidR="03C077EC" w14:paraId="6087D6AD" w14:textId="77777777" w:rsidTr="00C46369">
        <w:trPr>
          <w:trHeight w:val="45"/>
        </w:trPr>
        <w:tc>
          <w:tcPr>
            <w:tcW w:w="795" w:type="dxa"/>
            <w:tcBorders>
              <w:top w:val="single" w:sz="6" w:space="0" w:color="auto"/>
              <w:left w:val="single" w:sz="6" w:space="0" w:color="auto"/>
              <w:bottom w:val="nil"/>
              <w:right w:val="single" w:sz="6" w:space="0" w:color="auto"/>
            </w:tcBorders>
            <w:shd w:val="clear" w:color="auto" w:fill="B4C6E7" w:themeFill="accent1" w:themeFillTint="66"/>
            <w:tcMar>
              <w:left w:w="90" w:type="dxa"/>
              <w:right w:w="90" w:type="dxa"/>
            </w:tcMar>
            <w:vAlign w:val="center"/>
          </w:tcPr>
          <w:p w14:paraId="26F0EFB9" w14:textId="1DA84496" w:rsidR="03C077EC" w:rsidRDefault="03C077EC" w:rsidP="03C077EC">
            <w:pPr>
              <w:widowControl w:val="0"/>
              <w:spacing w:after="0" w:line="240" w:lineRule="auto"/>
              <w:jc w:val="center"/>
              <w:rPr>
                <w:rFonts w:eastAsiaTheme="minorEastAsia"/>
                <w:color w:val="000000" w:themeColor="text1"/>
              </w:rPr>
            </w:pPr>
          </w:p>
        </w:tc>
        <w:tc>
          <w:tcPr>
            <w:tcW w:w="5767" w:type="dxa"/>
            <w:gridSpan w:val="4"/>
            <w:tcBorders>
              <w:top w:val="single" w:sz="6" w:space="0" w:color="auto"/>
              <w:left w:val="single" w:sz="6" w:space="0" w:color="auto"/>
              <w:bottom w:val="nil"/>
              <w:right w:val="single" w:sz="6" w:space="0" w:color="auto"/>
            </w:tcBorders>
            <w:shd w:val="clear" w:color="auto" w:fill="B4C6E7" w:themeFill="accent1" w:themeFillTint="66"/>
            <w:tcMar>
              <w:left w:w="90" w:type="dxa"/>
              <w:right w:w="90" w:type="dxa"/>
            </w:tcMar>
            <w:vAlign w:val="center"/>
          </w:tcPr>
          <w:p w14:paraId="10066E77" w14:textId="3F1DA57F" w:rsidR="03C077EC" w:rsidRDefault="03C077EC" w:rsidP="03C077EC">
            <w:pPr>
              <w:widowControl w:val="0"/>
              <w:spacing w:after="0" w:line="240" w:lineRule="auto"/>
              <w:jc w:val="center"/>
              <w:rPr>
                <w:rFonts w:eastAsiaTheme="minorEastAsia"/>
                <w:color w:val="000000" w:themeColor="text1"/>
              </w:rPr>
            </w:pPr>
            <w:r w:rsidRPr="03C077EC">
              <w:rPr>
                <w:rFonts w:eastAsiaTheme="minorEastAsia"/>
                <w:b/>
                <w:bCs/>
                <w:color w:val="000000" w:themeColor="text1"/>
              </w:rPr>
              <w:t>Performance</w:t>
            </w:r>
          </w:p>
        </w:tc>
        <w:tc>
          <w:tcPr>
            <w:tcW w:w="6660" w:type="dxa"/>
            <w:gridSpan w:val="4"/>
            <w:tcBorders>
              <w:top w:val="single" w:sz="6" w:space="0" w:color="auto"/>
              <w:left w:val="single" w:sz="6" w:space="0" w:color="auto"/>
              <w:bottom w:val="nil"/>
              <w:right w:val="single" w:sz="6" w:space="0" w:color="auto"/>
            </w:tcBorders>
            <w:shd w:val="clear" w:color="auto" w:fill="B4C6E7" w:themeFill="accent1" w:themeFillTint="66"/>
            <w:tcMar>
              <w:left w:w="90" w:type="dxa"/>
              <w:right w:w="90" w:type="dxa"/>
            </w:tcMar>
          </w:tcPr>
          <w:p w14:paraId="2C3476CA" w14:textId="1B313C8B" w:rsidR="03C077EC" w:rsidRDefault="03C077EC" w:rsidP="03C077EC">
            <w:pPr>
              <w:widowControl w:val="0"/>
              <w:spacing w:after="0" w:line="240" w:lineRule="auto"/>
              <w:jc w:val="center"/>
              <w:rPr>
                <w:rFonts w:eastAsiaTheme="minorEastAsia"/>
                <w:color w:val="000000" w:themeColor="text1"/>
              </w:rPr>
            </w:pPr>
            <w:r w:rsidRPr="03C077EC">
              <w:rPr>
                <w:rFonts w:eastAsiaTheme="minorEastAsia"/>
                <w:b/>
                <w:bCs/>
                <w:color w:val="000000" w:themeColor="text1"/>
              </w:rPr>
              <w:t>Compliance</w:t>
            </w:r>
          </w:p>
        </w:tc>
      </w:tr>
      <w:tr w:rsidR="03C077EC" w14:paraId="2DF35DC7" w14:textId="77777777" w:rsidTr="00C46369">
        <w:trPr>
          <w:trHeight w:val="810"/>
        </w:trPr>
        <w:tc>
          <w:tcPr>
            <w:tcW w:w="795" w:type="dxa"/>
            <w:tcBorders>
              <w:top w:val="single" w:sz="6" w:space="0" w:color="auto"/>
              <w:left w:val="single" w:sz="6" w:space="0" w:color="auto"/>
              <w:bottom w:val="nil"/>
              <w:right w:val="single" w:sz="6" w:space="0" w:color="auto"/>
            </w:tcBorders>
            <w:shd w:val="clear" w:color="auto" w:fill="B4C6E7" w:themeFill="accent1" w:themeFillTint="66"/>
            <w:tcMar>
              <w:left w:w="90" w:type="dxa"/>
              <w:right w:w="90" w:type="dxa"/>
            </w:tcMar>
            <w:vAlign w:val="center"/>
          </w:tcPr>
          <w:p w14:paraId="5F20118F" w14:textId="1ECD9C65" w:rsidR="03C077EC" w:rsidRDefault="03C077EC" w:rsidP="03C077EC">
            <w:pPr>
              <w:widowControl w:val="0"/>
              <w:spacing w:after="0" w:line="240" w:lineRule="auto"/>
              <w:jc w:val="center"/>
              <w:rPr>
                <w:rFonts w:eastAsiaTheme="minorEastAsia"/>
                <w:color w:val="000000" w:themeColor="text1"/>
              </w:rPr>
            </w:pPr>
            <w:r w:rsidRPr="03C077EC">
              <w:rPr>
                <w:rFonts w:eastAsiaTheme="minorEastAsia"/>
                <w:b/>
                <w:bCs/>
                <w:color w:val="000000" w:themeColor="text1"/>
              </w:rPr>
              <w:t>Points</w:t>
            </w:r>
          </w:p>
        </w:tc>
        <w:tc>
          <w:tcPr>
            <w:tcW w:w="1357" w:type="dxa"/>
            <w:tcBorders>
              <w:top w:val="single" w:sz="6" w:space="0" w:color="auto"/>
              <w:left w:val="single" w:sz="6" w:space="0" w:color="auto"/>
              <w:bottom w:val="nil"/>
              <w:right w:val="single" w:sz="6" w:space="0" w:color="auto"/>
            </w:tcBorders>
            <w:shd w:val="clear" w:color="auto" w:fill="B4C6E7" w:themeFill="accent1" w:themeFillTint="66"/>
            <w:tcMar>
              <w:left w:w="90" w:type="dxa"/>
              <w:right w:w="90" w:type="dxa"/>
            </w:tcMar>
            <w:vAlign w:val="center"/>
          </w:tcPr>
          <w:p w14:paraId="72A918FA" w14:textId="41186D76" w:rsidR="03C077EC" w:rsidRDefault="03C077EC" w:rsidP="03C077EC">
            <w:pPr>
              <w:widowControl w:val="0"/>
              <w:spacing w:after="0" w:line="240" w:lineRule="auto"/>
              <w:jc w:val="center"/>
              <w:rPr>
                <w:rFonts w:eastAsiaTheme="minorEastAsia"/>
                <w:color w:val="000000" w:themeColor="text1"/>
              </w:rPr>
            </w:pPr>
            <w:r w:rsidRPr="03C077EC">
              <w:rPr>
                <w:rFonts w:eastAsiaTheme="minorEastAsia"/>
                <w:b/>
                <w:bCs/>
                <w:color w:val="000000" w:themeColor="text1"/>
              </w:rPr>
              <w:t>Annual Dropout Rate</w:t>
            </w:r>
          </w:p>
          <w:p w14:paraId="47B5D30F" w14:textId="244875B6" w:rsidR="03C077EC" w:rsidRDefault="03C077EC" w:rsidP="03C077EC">
            <w:pPr>
              <w:widowControl w:val="0"/>
              <w:spacing w:after="0" w:line="240" w:lineRule="auto"/>
              <w:jc w:val="center"/>
              <w:rPr>
                <w:rFonts w:eastAsiaTheme="minorEastAsia"/>
                <w:color w:val="000000" w:themeColor="text1"/>
              </w:rPr>
            </w:pPr>
            <w:r w:rsidRPr="03C077EC">
              <w:rPr>
                <w:rFonts w:eastAsiaTheme="minorEastAsia"/>
                <w:color w:val="000000" w:themeColor="text1"/>
              </w:rPr>
              <w:t>(2022)</w:t>
            </w:r>
          </w:p>
        </w:tc>
        <w:tc>
          <w:tcPr>
            <w:tcW w:w="1260" w:type="dxa"/>
            <w:tcBorders>
              <w:top w:val="single" w:sz="6" w:space="0" w:color="auto"/>
              <w:left w:val="single" w:sz="6" w:space="0" w:color="auto"/>
              <w:bottom w:val="nil"/>
              <w:right w:val="single" w:sz="6" w:space="0" w:color="auto"/>
            </w:tcBorders>
            <w:shd w:val="clear" w:color="auto" w:fill="B4C6E7" w:themeFill="accent1" w:themeFillTint="66"/>
            <w:tcMar>
              <w:left w:w="90" w:type="dxa"/>
              <w:right w:w="90" w:type="dxa"/>
            </w:tcMar>
            <w:vAlign w:val="center"/>
          </w:tcPr>
          <w:p w14:paraId="6524740B" w14:textId="03510695" w:rsidR="03C077EC" w:rsidRDefault="03C077EC" w:rsidP="03C077EC">
            <w:pPr>
              <w:widowControl w:val="0"/>
              <w:spacing w:after="0" w:line="240" w:lineRule="auto"/>
              <w:jc w:val="center"/>
              <w:rPr>
                <w:rFonts w:eastAsiaTheme="minorEastAsia"/>
                <w:color w:val="000000" w:themeColor="text1"/>
              </w:rPr>
            </w:pPr>
          </w:p>
          <w:p w14:paraId="79F02CF2" w14:textId="14D9BC08" w:rsidR="03C077EC" w:rsidRDefault="03C077EC" w:rsidP="03C077EC">
            <w:pPr>
              <w:widowControl w:val="0"/>
              <w:spacing w:after="0" w:line="240" w:lineRule="auto"/>
              <w:jc w:val="center"/>
              <w:rPr>
                <w:rFonts w:eastAsiaTheme="minorEastAsia"/>
                <w:color w:val="000000" w:themeColor="text1"/>
              </w:rPr>
            </w:pPr>
            <w:r w:rsidRPr="03C077EC">
              <w:rPr>
                <w:rFonts w:eastAsiaTheme="minorEastAsia"/>
                <w:b/>
                <w:bCs/>
                <w:color w:val="000000" w:themeColor="text1"/>
              </w:rPr>
              <w:t>5-Year Cohort Graduation Rate</w:t>
            </w:r>
          </w:p>
          <w:p w14:paraId="18F5737D" w14:textId="1B40A6A1" w:rsidR="03C077EC" w:rsidRDefault="03C077EC" w:rsidP="03C077EC">
            <w:pPr>
              <w:widowControl w:val="0"/>
              <w:spacing w:after="0" w:line="240" w:lineRule="auto"/>
              <w:jc w:val="center"/>
              <w:rPr>
                <w:rFonts w:eastAsiaTheme="minorEastAsia"/>
                <w:color w:val="000000" w:themeColor="text1"/>
              </w:rPr>
            </w:pPr>
            <w:r w:rsidRPr="03C077EC">
              <w:rPr>
                <w:rFonts w:eastAsiaTheme="minorEastAsia"/>
                <w:color w:val="000000" w:themeColor="text1"/>
              </w:rPr>
              <w:t>(2021)</w:t>
            </w:r>
          </w:p>
          <w:p w14:paraId="3196F09E" w14:textId="7B0DF24F" w:rsidR="03C077EC" w:rsidRDefault="03C077EC" w:rsidP="03C077EC">
            <w:pPr>
              <w:widowControl w:val="0"/>
              <w:spacing w:after="0" w:line="240" w:lineRule="auto"/>
              <w:jc w:val="center"/>
              <w:rPr>
                <w:rFonts w:eastAsiaTheme="minorEastAsia"/>
                <w:color w:val="000000" w:themeColor="text1"/>
              </w:rPr>
            </w:pPr>
            <w:r w:rsidRPr="03C077EC">
              <w:rPr>
                <w:rFonts w:eastAsiaTheme="minorEastAsia"/>
                <w:i/>
                <w:iCs/>
                <w:color w:val="000000" w:themeColor="text1"/>
              </w:rPr>
              <w:t>Points x1.5</w:t>
            </w:r>
          </w:p>
          <w:p w14:paraId="36C1D6A2" w14:textId="53F32F15" w:rsidR="03C077EC" w:rsidRDefault="03C077EC" w:rsidP="03C077EC">
            <w:pPr>
              <w:widowControl w:val="0"/>
              <w:spacing w:after="0" w:line="240" w:lineRule="auto"/>
              <w:jc w:val="center"/>
              <w:rPr>
                <w:rFonts w:eastAsiaTheme="minorEastAsia"/>
                <w:color w:val="000000" w:themeColor="text1"/>
              </w:rPr>
            </w:pPr>
          </w:p>
        </w:tc>
        <w:tc>
          <w:tcPr>
            <w:tcW w:w="1440" w:type="dxa"/>
            <w:tcBorders>
              <w:top w:val="single" w:sz="6" w:space="0" w:color="auto"/>
              <w:left w:val="single" w:sz="6" w:space="0" w:color="auto"/>
              <w:bottom w:val="nil"/>
              <w:right w:val="single" w:sz="6" w:space="0" w:color="auto"/>
            </w:tcBorders>
            <w:shd w:val="clear" w:color="auto" w:fill="B4C6E7" w:themeFill="accent1" w:themeFillTint="66"/>
            <w:tcMar>
              <w:left w:w="90" w:type="dxa"/>
              <w:right w:w="90" w:type="dxa"/>
            </w:tcMar>
            <w:vAlign w:val="center"/>
          </w:tcPr>
          <w:p w14:paraId="65CD50B2" w14:textId="728E0342" w:rsidR="03C077EC" w:rsidRDefault="03C077EC" w:rsidP="03C077EC">
            <w:pPr>
              <w:widowControl w:val="0"/>
              <w:spacing w:after="0" w:line="240" w:lineRule="auto"/>
              <w:jc w:val="center"/>
              <w:rPr>
                <w:rFonts w:eastAsiaTheme="minorEastAsia"/>
                <w:color w:val="000000" w:themeColor="text1"/>
              </w:rPr>
            </w:pPr>
            <w:r w:rsidRPr="03C077EC">
              <w:rPr>
                <w:rFonts w:eastAsiaTheme="minorEastAsia"/>
                <w:b/>
                <w:bCs/>
                <w:color w:val="000000" w:themeColor="text1"/>
              </w:rPr>
              <w:t>Special Education State Performance Plan/Annual Performance Report (SPP/APR) Indicator 3</w:t>
            </w:r>
          </w:p>
          <w:p w14:paraId="6B088A04" w14:textId="2164ACC1" w:rsidR="03C077EC" w:rsidRDefault="03C077EC" w:rsidP="03C077EC">
            <w:pPr>
              <w:widowControl w:val="0"/>
              <w:spacing w:after="0" w:line="240" w:lineRule="auto"/>
              <w:jc w:val="center"/>
              <w:rPr>
                <w:rFonts w:eastAsiaTheme="minorEastAsia"/>
                <w:color w:val="000000" w:themeColor="text1"/>
              </w:rPr>
            </w:pPr>
            <w:r w:rsidRPr="03C077EC">
              <w:rPr>
                <w:rFonts w:eastAsiaTheme="minorEastAsia"/>
                <w:color w:val="000000" w:themeColor="text1"/>
              </w:rPr>
              <w:t>(2023)</w:t>
            </w:r>
          </w:p>
        </w:tc>
        <w:tc>
          <w:tcPr>
            <w:tcW w:w="1710" w:type="dxa"/>
            <w:tcBorders>
              <w:top w:val="single" w:sz="6" w:space="0" w:color="auto"/>
              <w:left w:val="single" w:sz="6" w:space="0" w:color="auto"/>
              <w:bottom w:val="nil"/>
              <w:right w:val="single" w:sz="6" w:space="0" w:color="auto"/>
            </w:tcBorders>
            <w:shd w:val="clear" w:color="auto" w:fill="B4C6E7" w:themeFill="accent1" w:themeFillTint="66"/>
            <w:tcMar>
              <w:left w:w="90" w:type="dxa"/>
              <w:right w:w="90" w:type="dxa"/>
            </w:tcMar>
            <w:vAlign w:val="center"/>
          </w:tcPr>
          <w:p w14:paraId="31308BF4" w14:textId="64670C74" w:rsidR="03C077EC" w:rsidRDefault="03C077EC" w:rsidP="03C077EC">
            <w:pPr>
              <w:widowControl w:val="0"/>
              <w:spacing w:after="0" w:line="240" w:lineRule="auto"/>
              <w:jc w:val="center"/>
              <w:rPr>
                <w:rFonts w:eastAsiaTheme="minorEastAsia"/>
                <w:color w:val="000000" w:themeColor="text1"/>
              </w:rPr>
            </w:pPr>
            <w:r w:rsidRPr="03C077EC">
              <w:rPr>
                <w:rFonts w:eastAsiaTheme="minorEastAsia"/>
                <w:b/>
                <w:bCs/>
                <w:color w:val="000000" w:themeColor="text1"/>
              </w:rPr>
              <w:t>Special Education State Performance Plan/Annual Performance Report (SPP/APR)</w:t>
            </w:r>
          </w:p>
          <w:p w14:paraId="6A3F2FC3" w14:textId="4037E67C" w:rsidR="03C077EC" w:rsidRDefault="03C077EC" w:rsidP="03C077EC">
            <w:pPr>
              <w:widowControl w:val="0"/>
              <w:spacing w:after="0" w:line="240" w:lineRule="auto"/>
              <w:jc w:val="center"/>
              <w:rPr>
                <w:rFonts w:eastAsiaTheme="minorEastAsia"/>
                <w:color w:val="000000" w:themeColor="text1"/>
              </w:rPr>
            </w:pPr>
            <w:r w:rsidRPr="03C077EC">
              <w:rPr>
                <w:rFonts w:eastAsiaTheme="minorEastAsia"/>
                <w:b/>
                <w:bCs/>
                <w:color w:val="000000" w:themeColor="text1"/>
              </w:rPr>
              <w:t>Indicators 5 &amp; 6</w:t>
            </w:r>
          </w:p>
          <w:p w14:paraId="2E456096" w14:textId="0A7CD614" w:rsidR="03C077EC" w:rsidRDefault="03C077EC" w:rsidP="03C077EC">
            <w:pPr>
              <w:widowControl w:val="0"/>
              <w:spacing w:after="0" w:line="240" w:lineRule="auto"/>
              <w:jc w:val="center"/>
              <w:rPr>
                <w:rFonts w:eastAsiaTheme="minorEastAsia"/>
                <w:color w:val="000000" w:themeColor="text1"/>
              </w:rPr>
            </w:pPr>
            <w:r w:rsidRPr="03C077EC">
              <w:rPr>
                <w:rFonts w:eastAsiaTheme="minorEastAsia"/>
                <w:color w:val="000000" w:themeColor="text1"/>
              </w:rPr>
              <w:t>(SY2022-2023)</w:t>
            </w:r>
          </w:p>
          <w:p w14:paraId="28CBDBF7" w14:textId="794B4F6A" w:rsidR="03C077EC" w:rsidRDefault="03C077EC" w:rsidP="03C077EC">
            <w:pPr>
              <w:widowControl w:val="0"/>
              <w:spacing w:after="0" w:line="240" w:lineRule="auto"/>
              <w:jc w:val="center"/>
              <w:rPr>
                <w:rFonts w:eastAsiaTheme="minorEastAsia"/>
                <w:color w:val="000000" w:themeColor="text1"/>
              </w:rPr>
            </w:pPr>
            <w:r w:rsidRPr="03C077EC">
              <w:rPr>
                <w:rFonts w:eastAsiaTheme="minorEastAsia"/>
                <w:i/>
                <w:iCs/>
                <w:color w:val="000000" w:themeColor="text1"/>
              </w:rPr>
              <w:t>Points x2</w:t>
            </w:r>
          </w:p>
        </w:tc>
        <w:tc>
          <w:tcPr>
            <w:tcW w:w="1620" w:type="dxa"/>
            <w:tcBorders>
              <w:top w:val="single" w:sz="6" w:space="0" w:color="auto"/>
              <w:left w:val="single" w:sz="6" w:space="0" w:color="auto"/>
              <w:bottom w:val="nil"/>
              <w:right w:val="single" w:sz="6" w:space="0" w:color="auto"/>
            </w:tcBorders>
            <w:shd w:val="clear" w:color="auto" w:fill="B4C6E7" w:themeFill="accent1" w:themeFillTint="66"/>
            <w:tcMar>
              <w:left w:w="90" w:type="dxa"/>
              <w:right w:w="90" w:type="dxa"/>
            </w:tcMar>
            <w:vAlign w:val="center"/>
          </w:tcPr>
          <w:p w14:paraId="2A375336" w14:textId="52392AC5" w:rsidR="03C077EC" w:rsidRDefault="03C077EC" w:rsidP="03C077EC">
            <w:pPr>
              <w:widowControl w:val="0"/>
              <w:spacing w:after="0" w:line="240" w:lineRule="auto"/>
              <w:jc w:val="center"/>
              <w:rPr>
                <w:rFonts w:eastAsiaTheme="minorEastAsia"/>
                <w:color w:val="000000" w:themeColor="text1"/>
              </w:rPr>
            </w:pPr>
            <w:r w:rsidRPr="03C077EC">
              <w:rPr>
                <w:rFonts w:eastAsiaTheme="minorEastAsia"/>
                <w:b/>
                <w:bCs/>
                <w:color w:val="000000" w:themeColor="text1"/>
              </w:rPr>
              <w:t>Special Education State Performance Plan/Annual Performance Report (SPP/APR) Indicators</w:t>
            </w:r>
          </w:p>
          <w:p w14:paraId="75F8A01B" w14:textId="66FFD970" w:rsidR="03C077EC" w:rsidRDefault="03C077EC" w:rsidP="03C077EC">
            <w:pPr>
              <w:widowControl w:val="0"/>
              <w:spacing w:after="0" w:line="240" w:lineRule="auto"/>
              <w:jc w:val="center"/>
              <w:rPr>
                <w:rFonts w:eastAsiaTheme="minorEastAsia"/>
                <w:color w:val="000000" w:themeColor="text1"/>
              </w:rPr>
            </w:pPr>
            <w:r w:rsidRPr="03C077EC">
              <w:rPr>
                <w:rFonts w:eastAsiaTheme="minorEastAsia"/>
                <w:b/>
                <w:bCs/>
                <w:color w:val="000000" w:themeColor="text1"/>
              </w:rPr>
              <w:t>4B, 9, &amp; 10</w:t>
            </w:r>
          </w:p>
          <w:p w14:paraId="49AC6416" w14:textId="64FDC50F" w:rsidR="03C077EC" w:rsidRDefault="03C077EC" w:rsidP="03C077EC">
            <w:pPr>
              <w:widowControl w:val="0"/>
              <w:spacing w:after="0" w:line="240" w:lineRule="auto"/>
              <w:jc w:val="center"/>
              <w:rPr>
                <w:rFonts w:eastAsiaTheme="minorEastAsia"/>
                <w:color w:val="000000" w:themeColor="text1"/>
              </w:rPr>
            </w:pPr>
            <w:r w:rsidRPr="03C077EC">
              <w:rPr>
                <w:rFonts w:eastAsiaTheme="minorEastAsia"/>
                <w:color w:val="000000" w:themeColor="text1"/>
              </w:rPr>
              <w:t>(SY2021-2022)</w:t>
            </w:r>
          </w:p>
        </w:tc>
        <w:tc>
          <w:tcPr>
            <w:tcW w:w="1620" w:type="dxa"/>
            <w:tcBorders>
              <w:top w:val="single" w:sz="6" w:space="0" w:color="auto"/>
              <w:left w:val="single" w:sz="6" w:space="0" w:color="auto"/>
              <w:bottom w:val="nil"/>
              <w:right w:val="single" w:sz="6" w:space="0" w:color="auto"/>
            </w:tcBorders>
            <w:shd w:val="clear" w:color="auto" w:fill="B4C6E7" w:themeFill="accent1" w:themeFillTint="66"/>
            <w:tcMar>
              <w:left w:w="90" w:type="dxa"/>
              <w:right w:w="90" w:type="dxa"/>
            </w:tcMar>
            <w:vAlign w:val="center"/>
          </w:tcPr>
          <w:p w14:paraId="6C4B41DF" w14:textId="0396310D" w:rsidR="03C077EC" w:rsidRDefault="03C077EC" w:rsidP="03C077EC">
            <w:pPr>
              <w:widowControl w:val="0"/>
              <w:spacing w:after="0" w:line="240" w:lineRule="auto"/>
              <w:jc w:val="center"/>
              <w:rPr>
                <w:rFonts w:eastAsiaTheme="minorEastAsia"/>
                <w:color w:val="000000" w:themeColor="text1"/>
              </w:rPr>
            </w:pPr>
            <w:r w:rsidRPr="03C077EC">
              <w:rPr>
                <w:rFonts w:eastAsiaTheme="minorEastAsia"/>
                <w:b/>
                <w:bCs/>
                <w:color w:val="000000" w:themeColor="text1"/>
              </w:rPr>
              <w:t>Special Education State Performance Plan/Annual Performance Report (SPP/APR) Indicators</w:t>
            </w:r>
          </w:p>
          <w:p w14:paraId="4309B32D" w14:textId="5E7B265A" w:rsidR="03C077EC" w:rsidRDefault="03C077EC" w:rsidP="03C077EC">
            <w:pPr>
              <w:widowControl w:val="0"/>
              <w:spacing w:after="0" w:line="240" w:lineRule="auto"/>
              <w:jc w:val="center"/>
              <w:rPr>
                <w:rFonts w:eastAsiaTheme="minorEastAsia"/>
                <w:color w:val="000000" w:themeColor="text1"/>
              </w:rPr>
            </w:pPr>
            <w:r w:rsidRPr="03C077EC">
              <w:rPr>
                <w:rFonts w:eastAsiaTheme="minorEastAsia"/>
                <w:b/>
                <w:bCs/>
                <w:color w:val="000000" w:themeColor="text1"/>
              </w:rPr>
              <w:t>11, 12, &amp; 13</w:t>
            </w:r>
          </w:p>
          <w:p w14:paraId="44424324" w14:textId="76DFF5F1" w:rsidR="03C077EC" w:rsidRDefault="03C077EC" w:rsidP="03C077EC">
            <w:pPr>
              <w:widowControl w:val="0"/>
              <w:spacing w:after="0" w:line="240" w:lineRule="auto"/>
              <w:jc w:val="center"/>
              <w:rPr>
                <w:rFonts w:eastAsiaTheme="minorEastAsia"/>
                <w:color w:val="000000" w:themeColor="text1"/>
              </w:rPr>
            </w:pPr>
            <w:r w:rsidRPr="03C077EC">
              <w:rPr>
                <w:rFonts w:eastAsiaTheme="minorEastAsia"/>
                <w:color w:val="000000" w:themeColor="text1"/>
              </w:rPr>
              <w:t>(SY2022-2023)</w:t>
            </w:r>
          </w:p>
        </w:tc>
        <w:tc>
          <w:tcPr>
            <w:tcW w:w="1800" w:type="dxa"/>
            <w:tcBorders>
              <w:top w:val="single" w:sz="6" w:space="0" w:color="auto"/>
              <w:left w:val="single" w:sz="6" w:space="0" w:color="auto"/>
              <w:bottom w:val="nil"/>
              <w:right w:val="single" w:sz="6" w:space="0" w:color="auto"/>
            </w:tcBorders>
            <w:shd w:val="clear" w:color="auto" w:fill="B4C6E7" w:themeFill="accent1" w:themeFillTint="66"/>
            <w:tcMar>
              <w:left w:w="90" w:type="dxa"/>
              <w:right w:w="90" w:type="dxa"/>
            </w:tcMar>
            <w:vAlign w:val="center"/>
          </w:tcPr>
          <w:p w14:paraId="57C2C421" w14:textId="41AD679B" w:rsidR="03C077EC" w:rsidRDefault="03C077EC" w:rsidP="03C077EC">
            <w:pPr>
              <w:widowControl w:val="0"/>
              <w:spacing w:after="0" w:line="240" w:lineRule="auto"/>
              <w:jc w:val="center"/>
              <w:rPr>
                <w:rFonts w:eastAsiaTheme="minorEastAsia"/>
                <w:color w:val="000000" w:themeColor="text1"/>
              </w:rPr>
            </w:pPr>
            <w:r w:rsidRPr="03C077EC">
              <w:rPr>
                <w:rFonts w:eastAsiaTheme="minorEastAsia"/>
                <w:b/>
                <w:bCs/>
                <w:color w:val="000000" w:themeColor="text1"/>
              </w:rPr>
              <w:t>Identification of Noncompliance</w:t>
            </w:r>
          </w:p>
          <w:p w14:paraId="5240AF79" w14:textId="6C9966BD" w:rsidR="03C077EC" w:rsidRDefault="03C077EC" w:rsidP="03C077EC">
            <w:pPr>
              <w:widowControl w:val="0"/>
              <w:spacing w:after="0" w:line="240" w:lineRule="auto"/>
              <w:jc w:val="center"/>
              <w:rPr>
                <w:rFonts w:eastAsiaTheme="minorEastAsia"/>
                <w:color w:val="000000" w:themeColor="text1"/>
              </w:rPr>
            </w:pPr>
            <w:r w:rsidRPr="03C077EC">
              <w:rPr>
                <w:rFonts w:eastAsiaTheme="minorEastAsia"/>
                <w:b/>
                <w:bCs/>
                <w:color w:val="000000" w:themeColor="text1"/>
              </w:rPr>
              <w:t># of Findings (PSM/PRS)</w:t>
            </w:r>
          </w:p>
          <w:p w14:paraId="09D49D31" w14:textId="4B19C0F2" w:rsidR="03C077EC" w:rsidRDefault="03C077EC" w:rsidP="03C077EC">
            <w:pPr>
              <w:widowControl w:val="0"/>
              <w:spacing w:after="0" w:line="240" w:lineRule="auto"/>
              <w:jc w:val="center"/>
              <w:rPr>
                <w:rFonts w:eastAsiaTheme="minorEastAsia"/>
                <w:color w:val="000000" w:themeColor="text1"/>
              </w:rPr>
            </w:pPr>
            <w:r w:rsidRPr="03C077EC">
              <w:rPr>
                <w:rFonts w:eastAsiaTheme="minorEastAsia"/>
                <w:color w:val="000000" w:themeColor="text1"/>
              </w:rPr>
              <w:t>(SY2022-2023)</w:t>
            </w:r>
          </w:p>
        </w:tc>
        <w:tc>
          <w:tcPr>
            <w:tcW w:w="1620" w:type="dxa"/>
            <w:tcBorders>
              <w:top w:val="single" w:sz="6" w:space="0" w:color="auto"/>
              <w:left w:val="single" w:sz="6" w:space="0" w:color="auto"/>
              <w:bottom w:val="nil"/>
              <w:right w:val="single" w:sz="6" w:space="0" w:color="auto"/>
            </w:tcBorders>
            <w:shd w:val="clear" w:color="auto" w:fill="B4C6E7" w:themeFill="accent1" w:themeFillTint="66"/>
            <w:tcMar>
              <w:left w:w="90" w:type="dxa"/>
              <w:right w:w="90" w:type="dxa"/>
            </w:tcMar>
            <w:vAlign w:val="center"/>
          </w:tcPr>
          <w:p w14:paraId="77BEB223" w14:textId="67EECB3D" w:rsidR="03C077EC" w:rsidRDefault="03C077EC" w:rsidP="03C077EC">
            <w:pPr>
              <w:widowControl w:val="0"/>
              <w:spacing w:after="0" w:line="240" w:lineRule="auto"/>
              <w:jc w:val="center"/>
              <w:rPr>
                <w:rFonts w:eastAsiaTheme="minorEastAsia"/>
                <w:color w:val="000000" w:themeColor="text1"/>
              </w:rPr>
            </w:pPr>
            <w:r w:rsidRPr="03C077EC">
              <w:rPr>
                <w:rFonts w:eastAsiaTheme="minorEastAsia"/>
                <w:b/>
                <w:bCs/>
                <w:color w:val="000000" w:themeColor="text1"/>
              </w:rPr>
              <w:t xml:space="preserve">Timely Submission/ Verified Correction of Noncompliance </w:t>
            </w:r>
          </w:p>
          <w:p w14:paraId="4CF63597" w14:textId="558A377A" w:rsidR="03C077EC" w:rsidRDefault="03C077EC" w:rsidP="03C077EC">
            <w:pPr>
              <w:widowControl w:val="0"/>
              <w:spacing w:after="0" w:line="240" w:lineRule="auto"/>
              <w:jc w:val="center"/>
              <w:rPr>
                <w:rFonts w:eastAsiaTheme="minorEastAsia"/>
                <w:color w:val="000000" w:themeColor="text1"/>
              </w:rPr>
            </w:pPr>
            <w:r w:rsidRPr="03C077EC">
              <w:rPr>
                <w:rFonts w:eastAsiaTheme="minorEastAsia"/>
                <w:color w:val="000000" w:themeColor="text1"/>
              </w:rPr>
              <w:t>(SY2022-2023)</w:t>
            </w:r>
          </w:p>
        </w:tc>
      </w:tr>
      <w:tr w:rsidR="03C077EC" w14:paraId="2BD9E8CE" w14:textId="77777777" w:rsidTr="00C46369">
        <w:trPr>
          <w:trHeight w:val="720"/>
        </w:trPr>
        <w:tc>
          <w:tcPr>
            <w:tcW w:w="795" w:type="dxa"/>
            <w:tcBorders>
              <w:top w:val="single" w:sz="6" w:space="0" w:color="auto"/>
              <w:left w:val="single" w:sz="6" w:space="0" w:color="auto"/>
              <w:bottom w:val="single" w:sz="6" w:space="0" w:color="auto"/>
              <w:right w:val="single" w:sz="6" w:space="0" w:color="auto"/>
            </w:tcBorders>
            <w:tcMar>
              <w:left w:w="90" w:type="dxa"/>
              <w:right w:w="90" w:type="dxa"/>
            </w:tcMar>
          </w:tcPr>
          <w:p w14:paraId="367D2E23" w14:textId="4136553D" w:rsidR="03C077EC" w:rsidRDefault="03C077EC" w:rsidP="03C077EC">
            <w:pPr>
              <w:widowControl w:val="0"/>
              <w:spacing w:after="0" w:line="240" w:lineRule="auto"/>
              <w:jc w:val="center"/>
              <w:rPr>
                <w:rFonts w:eastAsiaTheme="minorEastAsia"/>
                <w:color w:val="000000" w:themeColor="text1"/>
              </w:rPr>
            </w:pPr>
            <w:r w:rsidRPr="03C077EC">
              <w:rPr>
                <w:rFonts w:eastAsiaTheme="minorEastAsia"/>
                <w:color w:val="000000" w:themeColor="text1"/>
              </w:rPr>
              <w:t>4</w:t>
            </w:r>
          </w:p>
        </w:tc>
        <w:tc>
          <w:tcPr>
            <w:tcW w:w="1357" w:type="dxa"/>
            <w:tcBorders>
              <w:top w:val="single" w:sz="6" w:space="0" w:color="auto"/>
              <w:left w:val="single" w:sz="6" w:space="0" w:color="auto"/>
              <w:bottom w:val="single" w:sz="6" w:space="0" w:color="auto"/>
              <w:right w:val="single" w:sz="6" w:space="0" w:color="auto"/>
            </w:tcBorders>
            <w:tcMar>
              <w:left w:w="90" w:type="dxa"/>
              <w:right w:w="90" w:type="dxa"/>
            </w:tcMar>
          </w:tcPr>
          <w:p w14:paraId="41904070" w14:textId="2F2474C0" w:rsidR="03C077EC" w:rsidRPr="00522E1A" w:rsidRDefault="03C077EC" w:rsidP="03C077EC">
            <w:pPr>
              <w:widowControl w:val="0"/>
              <w:spacing w:after="0" w:line="240" w:lineRule="auto"/>
              <w:rPr>
                <w:rFonts w:eastAsiaTheme="minorEastAsia"/>
                <w:color w:val="000000" w:themeColor="text1"/>
              </w:rPr>
            </w:pPr>
            <w:r w:rsidRPr="00522E1A">
              <w:rPr>
                <w:rFonts w:eastAsiaTheme="minorEastAsia"/>
                <w:color w:val="000000" w:themeColor="text1"/>
              </w:rPr>
              <w:t>Annual dropout rate for students with disabilities at or below the state’s all students rate (2.1%)</w:t>
            </w:r>
          </w:p>
        </w:tc>
        <w:tc>
          <w:tcPr>
            <w:tcW w:w="1260" w:type="dxa"/>
            <w:tcBorders>
              <w:top w:val="single" w:sz="6" w:space="0" w:color="auto"/>
              <w:left w:val="single" w:sz="6" w:space="0" w:color="auto"/>
              <w:bottom w:val="single" w:sz="6" w:space="0" w:color="auto"/>
              <w:right w:val="single" w:sz="6" w:space="0" w:color="auto"/>
            </w:tcBorders>
            <w:tcMar>
              <w:left w:w="90" w:type="dxa"/>
              <w:right w:w="90" w:type="dxa"/>
            </w:tcMar>
          </w:tcPr>
          <w:p w14:paraId="3E5457A6" w14:textId="5AEA1F21" w:rsidR="03C077EC" w:rsidRPr="00522E1A" w:rsidRDefault="03C077EC" w:rsidP="03C077EC">
            <w:pPr>
              <w:widowControl w:val="0"/>
              <w:spacing w:after="0" w:line="240" w:lineRule="auto"/>
              <w:rPr>
                <w:rFonts w:eastAsiaTheme="minorEastAsia"/>
                <w:color w:val="000000" w:themeColor="text1"/>
              </w:rPr>
            </w:pPr>
            <w:r w:rsidRPr="00522E1A">
              <w:rPr>
                <w:rFonts w:eastAsiaTheme="minorEastAsia"/>
                <w:color w:val="000000" w:themeColor="text1"/>
              </w:rPr>
              <w:t>5-year cohort graduation rate for students with disabilities at or above the state’s all students rate (91.8%)</w:t>
            </w:r>
          </w:p>
        </w:tc>
        <w:tc>
          <w:tcPr>
            <w:tcW w:w="1440" w:type="dxa"/>
            <w:tcBorders>
              <w:top w:val="single" w:sz="6" w:space="0" w:color="auto"/>
              <w:left w:val="single" w:sz="6" w:space="0" w:color="auto"/>
              <w:bottom w:val="single" w:sz="6" w:space="0" w:color="auto"/>
              <w:right w:val="single" w:sz="6" w:space="0" w:color="auto"/>
            </w:tcBorders>
            <w:tcMar>
              <w:left w:w="90" w:type="dxa"/>
              <w:right w:w="90" w:type="dxa"/>
            </w:tcMar>
          </w:tcPr>
          <w:p w14:paraId="4C20DFC4" w14:textId="2D50A8A1" w:rsidR="03C077EC" w:rsidRDefault="03C077EC" w:rsidP="03C077EC">
            <w:pPr>
              <w:widowControl w:val="0"/>
              <w:spacing w:after="0" w:line="240" w:lineRule="auto"/>
              <w:rPr>
                <w:rFonts w:eastAsiaTheme="minorEastAsia"/>
                <w:color w:val="000000" w:themeColor="text1"/>
              </w:rPr>
            </w:pPr>
            <w:r w:rsidRPr="03C077EC">
              <w:rPr>
                <w:rFonts w:eastAsiaTheme="minorEastAsia"/>
                <w:color w:val="000000" w:themeColor="text1"/>
              </w:rPr>
              <w:t>Gap equal to or below state goal (29 percentage points)</w:t>
            </w:r>
          </w:p>
        </w:tc>
        <w:tc>
          <w:tcPr>
            <w:tcW w:w="1710" w:type="dxa"/>
            <w:tcBorders>
              <w:top w:val="single" w:sz="6" w:space="0" w:color="auto"/>
              <w:left w:val="single" w:sz="6" w:space="0" w:color="auto"/>
              <w:bottom w:val="single" w:sz="6" w:space="0" w:color="auto"/>
              <w:right w:val="single" w:sz="6" w:space="0" w:color="auto"/>
            </w:tcBorders>
            <w:tcMar>
              <w:left w:w="90" w:type="dxa"/>
              <w:right w:w="90" w:type="dxa"/>
            </w:tcMar>
          </w:tcPr>
          <w:p w14:paraId="4E77CD31" w14:textId="4ED14136" w:rsidR="03C077EC" w:rsidRDefault="03C077EC" w:rsidP="03C077EC">
            <w:pPr>
              <w:widowControl w:val="0"/>
              <w:spacing w:after="0" w:line="240" w:lineRule="auto"/>
              <w:ind w:left="1"/>
              <w:rPr>
                <w:rFonts w:eastAsiaTheme="minorEastAsia"/>
                <w:color w:val="000000" w:themeColor="text1"/>
              </w:rPr>
            </w:pPr>
            <w:r w:rsidRPr="03C077EC">
              <w:rPr>
                <w:rFonts w:eastAsiaTheme="minorEastAsia"/>
                <w:color w:val="000000" w:themeColor="text1"/>
              </w:rPr>
              <w:t>Combined full inclusion rate of 75.0% or higher for students ages 3-21</w:t>
            </w:r>
          </w:p>
        </w:tc>
        <w:tc>
          <w:tcPr>
            <w:tcW w:w="1620" w:type="dxa"/>
            <w:tcBorders>
              <w:top w:val="single" w:sz="6" w:space="0" w:color="auto"/>
              <w:left w:val="single" w:sz="6" w:space="0" w:color="auto"/>
              <w:bottom w:val="single" w:sz="6" w:space="0" w:color="auto"/>
              <w:right w:val="single" w:sz="6" w:space="0" w:color="auto"/>
            </w:tcBorders>
            <w:tcMar>
              <w:left w:w="90" w:type="dxa"/>
              <w:right w:w="90" w:type="dxa"/>
            </w:tcMar>
          </w:tcPr>
          <w:p w14:paraId="32FC0C8B" w14:textId="252DD94C" w:rsidR="03C077EC" w:rsidRDefault="03C077EC" w:rsidP="03C077EC">
            <w:pPr>
              <w:widowControl w:val="0"/>
              <w:spacing w:after="0" w:line="240" w:lineRule="auto"/>
              <w:ind w:left="1"/>
              <w:rPr>
                <w:rFonts w:eastAsiaTheme="minorEastAsia"/>
                <w:color w:val="000000" w:themeColor="text1"/>
              </w:rPr>
            </w:pPr>
            <w:r w:rsidRPr="03C077EC">
              <w:rPr>
                <w:rFonts w:eastAsiaTheme="minorEastAsia"/>
                <w:color w:val="000000" w:themeColor="text1"/>
              </w:rPr>
              <w:t>No compliance findings</w:t>
            </w:r>
          </w:p>
        </w:tc>
        <w:tc>
          <w:tcPr>
            <w:tcW w:w="1620" w:type="dxa"/>
            <w:tcBorders>
              <w:top w:val="single" w:sz="6" w:space="0" w:color="auto"/>
              <w:left w:val="single" w:sz="6" w:space="0" w:color="auto"/>
              <w:bottom w:val="single" w:sz="6" w:space="0" w:color="auto"/>
              <w:right w:val="single" w:sz="6" w:space="0" w:color="auto"/>
            </w:tcBorders>
            <w:tcMar>
              <w:left w:w="90" w:type="dxa"/>
              <w:right w:w="90" w:type="dxa"/>
            </w:tcMar>
          </w:tcPr>
          <w:p w14:paraId="0B5D7F40" w14:textId="4503B846" w:rsidR="03C077EC" w:rsidRDefault="03C077EC" w:rsidP="03C077EC">
            <w:pPr>
              <w:widowControl w:val="0"/>
              <w:spacing w:after="0" w:line="240" w:lineRule="auto"/>
              <w:ind w:left="1"/>
              <w:rPr>
                <w:rFonts w:eastAsiaTheme="minorEastAsia"/>
                <w:color w:val="000000" w:themeColor="text1"/>
              </w:rPr>
            </w:pPr>
            <w:r w:rsidRPr="03C077EC">
              <w:rPr>
                <w:rStyle w:val="normaltextrun"/>
                <w:rFonts w:eastAsiaTheme="minorEastAsia"/>
                <w:color w:val="000000" w:themeColor="text1"/>
              </w:rPr>
              <w:t>All Indicators compliance percentages at or above 95.0% </w:t>
            </w:r>
          </w:p>
          <w:p w14:paraId="03A1BABE" w14:textId="044441EE" w:rsidR="03C077EC" w:rsidRDefault="03C077EC" w:rsidP="03C077EC">
            <w:pPr>
              <w:widowControl w:val="0"/>
              <w:spacing w:after="0" w:line="240" w:lineRule="auto"/>
              <w:ind w:left="1"/>
              <w:rPr>
                <w:rFonts w:eastAsiaTheme="minorEastAsia"/>
                <w:color w:val="000000" w:themeColor="text1"/>
              </w:rPr>
            </w:pPr>
          </w:p>
        </w:tc>
        <w:tc>
          <w:tcPr>
            <w:tcW w:w="1800" w:type="dxa"/>
            <w:tcBorders>
              <w:top w:val="single" w:sz="6" w:space="0" w:color="auto"/>
              <w:left w:val="single" w:sz="6" w:space="0" w:color="auto"/>
              <w:bottom w:val="single" w:sz="6" w:space="0" w:color="auto"/>
              <w:right w:val="single" w:sz="6" w:space="0" w:color="auto"/>
            </w:tcBorders>
            <w:tcMar>
              <w:left w:w="90" w:type="dxa"/>
              <w:right w:w="90" w:type="dxa"/>
            </w:tcMar>
          </w:tcPr>
          <w:p w14:paraId="418AE383" w14:textId="19B34F12" w:rsidR="03C077EC" w:rsidRDefault="03C077EC" w:rsidP="03C077EC">
            <w:pPr>
              <w:widowControl w:val="0"/>
              <w:spacing w:after="0" w:line="240" w:lineRule="auto"/>
              <w:ind w:left="1"/>
              <w:rPr>
                <w:rFonts w:eastAsiaTheme="minorEastAsia"/>
                <w:color w:val="000000" w:themeColor="text1"/>
              </w:rPr>
            </w:pPr>
            <w:r w:rsidRPr="03C077EC">
              <w:rPr>
                <w:rStyle w:val="normaltextrun"/>
                <w:rFonts w:eastAsiaTheme="minorEastAsia"/>
                <w:color w:val="000000" w:themeColor="text1"/>
              </w:rPr>
              <w:t>Less than 1.0 findings of special education noncompliance (per 1000 SWD)</w:t>
            </w:r>
          </w:p>
        </w:tc>
        <w:tc>
          <w:tcPr>
            <w:tcW w:w="1620" w:type="dxa"/>
            <w:tcBorders>
              <w:top w:val="single" w:sz="6" w:space="0" w:color="auto"/>
              <w:left w:val="single" w:sz="6" w:space="0" w:color="auto"/>
              <w:bottom w:val="single" w:sz="6" w:space="0" w:color="auto"/>
              <w:right w:val="single" w:sz="6" w:space="0" w:color="auto"/>
            </w:tcBorders>
            <w:tcMar>
              <w:left w:w="90" w:type="dxa"/>
              <w:right w:w="90" w:type="dxa"/>
            </w:tcMar>
          </w:tcPr>
          <w:p w14:paraId="35FB99D9" w14:textId="5BAB4CBD" w:rsidR="03C077EC" w:rsidRDefault="03C077EC" w:rsidP="03C077EC">
            <w:pPr>
              <w:widowControl w:val="0"/>
              <w:spacing w:after="0" w:line="240" w:lineRule="auto"/>
              <w:ind w:left="1"/>
              <w:rPr>
                <w:rFonts w:eastAsiaTheme="minorEastAsia"/>
                <w:color w:val="000000" w:themeColor="text1"/>
              </w:rPr>
            </w:pPr>
            <w:r w:rsidRPr="03C077EC">
              <w:rPr>
                <w:rStyle w:val="normaltextrun"/>
                <w:rFonts w:eastAsiaTheme="minorEastAsia"/>
                <w:color w:val="000000" w:themeColor="text1"/>
              </w:rPr>
              <w:t>All findings of noncompliance have been corrected or submitted in a timely manner (per 1000 SWD)</w:t>
            </w:r>
          </w:p>
        </w:tc>
      </w:tr>
      <w:tr w:rsidR="03C077EC" w14:paraId="20962F4E" w14:textId="77777777" w:rsidTr="00C46369">
        <w:trPr>
          <w:trHeight w:val="570"/>
        </w:trPr>
        <w:tc>
          <w:tcPr>
            <w:tcW w:w="795" w:type="dxa"/>
            <w:tcBorders>
              <w:top w:val="single" w:sz="6" w:space="0" w:color="auto"/>
              <w:left w:val="single" w:sz="6" w:space="0" w:color="auto"/>
              <w:bottom w:val="single" w:sz="6" w:space="0" w:color="auto"/>
              <w:right w:val="single" w:sz="6" w:space="0" w:color="auto"/>
            </w:tcBorders>
            <w:tcMar>
              <w:left w:w="90" w:type="dxa"/>
              <w:right w:w="90" w:type="dxa"/>
            </w:tcMar>
          </w:tcPr>
          <w:p w14:paraId="61B5EEFF" w14:textId="7B654677" w:rsidR="03C077EC" w:rsidRDefault="03C077EC" w:rsidP="03C077EC">
            <w:pPr>
              <w:widowControl w:val="0"/>
              <w:spacing w:after="0" w:line="240" w:lineRule="auto"/>
              <w:jc w:val="center"/>
              <w:rPr>
                <w:rFonts w:eastAsiaTheme="minorEastAsia"/>
                <w:color w:val="000000" w:themeColor="text1"/>
              </w:rPr>
            </w:pPr>
            <w:r w:rsidRPr="03C077EC">
              <w:rPr>
                <w:rFonts w:eastAsiaTheme="minorEastAsia"/>
                <w:color w:val="000000" w:themeColor="text1"/>
              </w:rPr>
              <w:t>3</w:t>
            </w:r>
          </w:p>
        </w:tc>
        <w:tc>
          <w:tcPr>
            <w:tcW w:w="1357" w:type="dxa"/>
            <w:tcBorders>
              <w:top w:val="single" w:sz="6" w:space="0" w:color="auto"/>
              <w:left w:val="single" w:sz="6" w:space="0" w:color="auto"/>
              <w:bottom w:val="single" w:sz="6" w:space="0" w:color="auto"/>
              <w:right w:val="single" w:sz="6" w:space="0" w:color="auto"/>
            </w:tcBorders>
            <w:tcMar>
              <w:left w:w="90" w:type="dxa"/>
              <w:right w:w="90" w:type="dxa"/>
            </w:tcMar>
          </w:tcPr>
          <w:p w14:paraId="34E2F137" w14:textId="69F7D93B" w:rsidR="03C077EC" w:rsidRPr="00522E1A" w:rsidRDefault="03C077EC" w:rsidP="03C077EC">
            <w:pPr>
              <w:widowControl w:val="0"/>
              <w:spacing w:after="0" w:line="240" w:lineRule="auto"/>
              <w:rPr>
                <w:rFonts w:eastAsiaTheme="minorEastAsia"/>
                <w:color w:val="000000" w:themeColor="text1"/>
              </w:rPr>
            </w:pPr>
            <w:r w:rsidRPr="00522E1A">
              <w:rPr>
                <w:rFonts w:eastAsiaTheme="minorEastAsia"/>
                <w:color w:val="000000" w:themeColor="text1"/>
              </w:rPr>
              <w:t xml:space="preserve">Annual dropout rate for students with disabilities at or below the state’s students with disabilities rate (3.4%), </w:t>
            </w:r>
            <w:r w:rsidRPr="00522E1A">
              <w:rPr>
                <w:rFonts w:eastAsiaTheme="minorEastAsia"/>
                <w:color w:val="000000" w:themeColor="text1"/>
              </w:rPr>
              <w:lastRenderedPageBreak/>
              <w:t>but above the state’s all students rate (2.1%)</w:t>
            </w:r>
          </w:p>
          <w:p w14:paraId="13225ECB" w14:textId="1FD87C56" w:rsidR="03C077EC" w:rsidRPr="00522E1A" w:rsidRDefault="03C077EC" w:rsidP="03C077EC">
            <w:pPr>
              <w:widowControl w:val="0"/>
              <w:spacing w:after="0" w:line="240" w:lineRule="auto"/>
              <w:rPr>
                <w:rFonts w:eastAsiaTheme="minorEastAsia"/>
                <w:color w:val="000000" w:themeColor="text1"/>
              </w:rPr>
            </w:pPr>
          </w:p>
        </w:tc>
        <w:tc>
          <w:tcPr>
            <w:tcW w:w="1260" w:type="dxa"/>
            <w:tcBorders>
              <w:top w:val="single" w:sz="6" w:space="0" w:color="auto"/>
              <w:left w:val="single" w:sz="6" w:space="0" w:color="auto"/>
              <w:bottom w:val="single" w:sz="6" w:space="0" w:color="auto"/>
              <w:right w:val="single" w:sz="6" w:space="0" w:color="auto"/>
            </w:tcBorders>
            <w:tcMar>
              <w:left w:w="90" w:type="dxa"/>
              <w:right w:w="90" w:type="dxa"/>
            </w:tcMar>
          </w:tcPr>
          <w:p w14:paraId="45E3C961" w14:textId="6B5A2736" w:rsidR="03C077EC" w:rsidRPr="00522E1A" w:rsidRDefault="03C077EC" w:rsidP="03C077EC">
            <w:pPr>
              <w:widowControl w:val="0"/>
              <w:spacing w:after="0" w:line="240" w:lineRule="auto"/>
              <w:rPr>
                <w:rFonts w:eastAsiaTheme="minorEastAsia"/>
                <w:color w:val="000000" w:themeColor="text1"/>
              </w:rPr>
            </w:pPr>
            <w:r w:rsidRPr="00522E1A">
              <w:rPr>
                <w:rFonts w:eastAsiaTheme="minorEastAsia"/>
                <w:color w:val="000000" w:themeColor="text1"/>
              </w:rPr>
              <w:lastRenderedPageBreak/>
              <w:t xml:space="preserve">5-year cohort graduation rate for students with disabilities at or above the state’s students with </w:t>
            </w:r>
            <w:r w:rsidRPr="00522E1A">
              <w:rPr>
                <w:rFonts w:eastAsiaTheme="minorEastAsia"/>
                <w:color w:val="000000" w:themeColor="text1"/>
              </w:rPr>
              <w:lastRenderedPageBreak/>
              <w:t>disabilities rate (80.6%), but below the state’s all students rate (91.8%)</w:t>
            </w:r>
          </w:p>
        </w:tc>
        <w:tc>
          <w:tcPr>
            <w:tcW w:w="1440" w:type="dxa"/>
            <w:tcBorders>
              <w:top w:val="single" w:sz="6" w:space="0" w:color="auto"/>
              <w:left w:val="single" w:sz="6" w:space="0" w:color="auto"/>
              <w:bottom w:val="single" w:sz="6" w:space="0" w:color="auto"/>
              <w:right w:val="single" w:sz="6" w:space="0" w:color="auto"/>
            </w:tcBorders>
            <w:tcMar>
              <w:left w:w="90" w:type="dxa"/>
              <w:right w:w="90" w:type="dxa"/>
            </w:tcMar>
          </w:tcPr>
          <w:p w14:paraId="5F29BD75" w14:textId="2C916757" w:rsidR="03C077EC" w:rsidRDefault="03C077EC" w:rsidP="03C077EC">
            <w:pPr>
              <w:widowControl w:val="0"/>
              <w:spacing w:after="0" w:line="240" w:lineRule="auto"/>
              <w:rPr>
                <w:rFonts w:eastAsiaTheme="minorEastAsia"/>
                <w:color w:val="000000" w:themeColor="text1"/>
              </w:rPr>
            </w:pPr>
            <w:r w:rsidRPr="03C077EC">
              <w:rPr>
                <w:rFonts w:eastAsiaTheme="minorEastAsia"/>
                <w:color w:val="000000" w:themeColor="text1"/>
              </w:rPr>
              <w:lastRenderedPageBreak/>
              <w:t>Gap above state goal (29 percentage points), but below 50</w:t>
            </w:r>
            <w:r w:rsidRPr="03C077EC">
              <w:rPr>
                <w:rFonts w:eastAsiaTheme="minorEastAsia"/>
                <w:color w:val="000000" w:themeColor="text1"/>
                <w:vertAlign w:val="superscript"/>
              </w:rPr>
              <w:t>th</w:t>
            </w:r>
            <w:r w:rsidRPr="03C077EC">
              <w:rPr>
                <w:rFonts w:eastAsiaTheme="minorEastAsia"/>
                <w:color w:val="000000" w:themeColor="text1"/>
              </w:rPr>
              <w:t xml:space="preserve"> percentile (32 percentage points)</w:t>
            </w:r>
          </w:p>
          <w:p w14:paraId="3E20C69D" w14:textId="7AFBAB4D" w:rsidR="03C077EC" w:rsidRDefault="03C077EC" w:rsidP="03C077EC">
            <w:pPr>
              <w:widowControl w:val="0"/>
              <w:spacing w:after="0" w:line="240" w:lineRule="auto"/>
              <w:rPr>
                <w:rFonts w:eastAsiaTheme="minorEastAsia"/>
                <w:color w:val="000000" w:themeColor="text1"/>
              </w:rPr>
            </w:pPr>
          </w:p>
        </w:tc>
        <w:tc>
          <w:tcPr>
            <w:tcW w:w="1710" w:type="dxa"/>
            <w:tcBorders>
              <w:top w:val="single" w:sz="6" w:space="0" w:color="auto"/>
              <w:left w:val="single" w:sz="6" w:space="0" w:color="auto"/>
              <w:bottom w:val="single" w:sz="6" w:space="0" w:color="auto"/>
              <w:right w:val="single" w:sz="6" w:space="0" w:color="auto"/>
            </w:tcBorders>
            <w:tcMar>
              <w:left w:w="90" w:type="dxa"/>
              <w:right w:w="90" w:type="dxa"/>
            </w:tcMar>
          </w:tcPr>
          <w:p w14:paraId="310A195D" w14:textId="6A46E972" w:rsidR="03C077EC" w:rsidRDefault="03C077EC" w:rsidP="03C077EC">
            <w:pPr>
              <w:widowControl w:val="0"/>
              <w:spacing w:after="0" w:line="240" w:lineRule="auto"/>
              <w:ind w:right="-59"/>
              <w:rPr>
                <w:rFonts w:eastAsiaTheme="minorEastAsia"/>
                <w:color w:val="000000" w:themeColor="text1"/>
              </w:rPr>
            </w:pPr>
            <w:r w:rsidRPr="03C077EC">
              <w:rPr>
                <w:rFonts w:eastAsiaTheme="minorEastAsia"/>
                <w:color w:val="000000" w:themeColor="text1"/>
              </w:rPr>
              <w:t>Combined full inclusion rate from 50.0% to 74.9% for students ages 3-21</w:t>
            </w:r>
          </w:p>
        </w:tc>
        <w:tc>
          <w:tcPr>
            <w:tcW w:w="1620" w:type="dxa"/>
            <w:tcBorders>
              <w:top w:val="single" w:sz="6" w:space="0" w:color="auto"/>
              <w:left w:val="single" w:sz="6" w:space="0" w:color="auto"/>
              <w:bottom w:val="single" w:sz="6" w:space="0" w:color="auto"/>
              <w:right w:val="single" w:sz="6" w:space="0" w:color="auto"/>
            </w:tcBorders>
            <w:tcMar>
              <w:left w:w="90" w:type="dxa"/>
              <w:right w:w="90" w:type="dxa"/>
            </w:tcMar>
          </w:tcPr>
          <w:p w14:paraId="0AAA1569" w14:textId="6C9371F1" w:rsidR="03C077EC" w:rsidRDefault="03C077EC" w:rsidP="03C077EC">
            <w:pPr>
              <w:widowControl w:val="0"/>
              <w:spacing w:after="0" w:line="240" w:lineRule="auto"/>
              <w:ind w:right="-59"/>
              <w:rPr>
                <w:rFonts w:eastAsiaTheme="minorEastAsia"/>
                <w:color w:val="000000" w:themeColor="text1"/>
              </w:rPr>
            </w:pPr>
            <w:r w:rsidRPr="03C077EC">
              <w:rPr>
                <w:rFonts w:eastAsiaTheme="minorEastAsia"/>
                <w:i/>
                <w:iCs/>
                <w:color w:val="000000" w:themeColor="text1"/>
              </w:rPr>
              <w:t>At Risk</w:t>
            </w:r>
            <w:r w:rsidRPr="03C077EC">
              <w:rPr>
                <w:rFonts w:eastAsiaTheme="minorEastAsia"/>
                <w:color w:val="000000" w:themeColor="text1"/>
              </w:rPr>
              <w:t xml:space="preserve"> for any 1 indicator (4b, 9, 10). All others must be labelled </w:t>
            </w:r>
            <w:r w:rsidRPr="03C077EC">
              <w:rPr>
                <w:rFonts w:eastAsiaTheme="minorEastAsia"/>
                <w:i/>
                <w:iCs/>
                <w:color w:val="000000" w:themeColor="text1"/>
              </w:rPr>
              <w:t>No</w:t>
            </w:r>
            <w:r w:rsidRPr="03C077EC">
              <w:rPr>
                <w:rFonts w:eastAsiaTheme="minorEastAsia"/>
                <w:color w:val="000000" w:themeColor="text1"/>
              </w:rPr>
              <w:t xml:space="preserve"> </w:t>
            </w:r>
            <w:r w:rsidRPr="03C077EC">
              <w:rPr>
                <w:rFonts w:eastAsiaTheme="minorEastAsia"/>
                <w:i/>
                <w:iCs/>
                <w:color w:val="000000" w:themeColor="text1"/>
              </w:rPr>
              <w:t>Status</w:t>
            </w:r>
          </w:p>
        </w:tc>
        <w:tc>
          <w:tcPr>
            <w:tcW w:w="1620" w:type="dxa"/>
            <w:tcBorders>
              <w:top w:val="single" w:sz="6" w:space="0" w:color="auto"/>
              <w:left w:val="single" w:sz="6" w:space="0" w:color="auto"/>
              <w:bottom w:val="single" w:sz="6" w:space="0" w:color="auto"/>
              <w:right w:val="single" w:sz="6" w:space="0" w:color="auto"/>
            </w:tcBorders>
            <w:tcMar>
              <w:left w:w="90" w:type="dxa"/>
              <w:right w:w="90" w:type="dxa"/>
            </w:tcMar>
          </w:tcPr>
          <w:p w14:paraId="3D1AB878" w14:textId="66DBEF1C" w:rsidR="03C077EC" w:rsidRDefault="03C077EC" w:rsidP="03C077EC">
            <w:pPr>
              <w:widowControl w:val="0"/>
              <w:spacing w:after="0" w:line="240" w:lineRule="auto"/>
              <w:ind w:right="-59"/>
              <w:rPr>
                <w:rFonts w:eastAsiaTheme="minorEastAsia"/>
                <w:color w:val="000000" w:themeColor="text1"/>
              </w:rPr>
            </w:pPr>
            <w:r w:rsidRPr="03C077EC">
              <w:rPr>
                <w:rFonts w:eastAsiaTheme="minorEastAsia"/>
                <w:color w:val="000000" w:themeColor="text1"/>
              </w:rPr>
              <w:t>Any one Indicator compliance percentage from 75.0% to 94.9%</w:t>
            </w:r>
          </w:p>
        </w:tc>
        <w:tc>
          <w:tcPr>
            <w:tcW w:w="1800" w:type="dxa"/>
            <w:tcBorders>
              <w:top w:val="single" w:sz="6" w:space="0" w:color="auto"/>
              <w:left w:val="single" w:sz="6" w:space="0" w:color="auto"/>
              <w:bottom w:val="single" w:sz="6" w:space="0" w:color="auto"/>
              <w:right w:val="single" w:sz="6" w:space="0" w:color="auto"/>
            </w:tcBorders>
            <w:tcMar>
              <w:left w:w="90" w:type="dxa"/>
              <w:right w:w="90" w:type="dxa"/>
            </w:tcMar>
          </w:tcPr>
          <w:p w14:paraId="451BD790" w14:textId="382269D0" w:rsidR="03C077EC" w:rsidRDefault="03C077EC" w:rsidP="03C077EC">
            <w:pPr>
              <w:widowControl w:val="0"/>
              <w:spacing w:after="0" w:line="240" w:lineRule="auto"/>
              <w:ind w:right="-59"/>
              <w:rPr>
                <w:rFonts w:eastAsiaTheme="minorEastAsia"/>
                <w:color w:val="000000" w:themeColor="text1"/>
              </w:rPr>
            </w:pPr>
            <w:r w:rsidRPr="03C077EC">
              <w:rPr>
                <w:rStyle w:val="normaltextrun"/>
                <w:rFonts w:eastAsiaTheme="minorEastAsia"/>
                <w:color w:val="000000" w:themeColor="text1"/>
              </w:rPr>
              <w:t>1.0-2.9 findings of special education noncompliance (per 1000 SWD) </w:t>
            </w:r>
          </w:p>
        </w:tc>
        <w:tc>
          <w:tcPr>
            <w:tcW w:w="1620" w:type="dxa"/>
            <w:tcBorders>
              <w:top w:val="single" w:sz="6" w:space="0" w:color="auto"/>
              <w:left w:val="single" w:sz="6" w:space="0" w:color="auto"/>
              <w:bottom w:val="single" w:sz="6" w:space="0" w:color="auto"/>
              <w:right w:val="single" w:sz="6" w:space="0" w:color="auto"/>
            </w:tcBorders>
            <w:tcMar>
              <w:left w:w="90" w:type="dxa"/>
              <w:right w:w="90" w:type="dxa"/>
            </w:tcMar>
          </w:tcPr>
          <w:p w14:paraId="31421C5B" w14:textId="0ACB6825" w:rsidR="03C077EC" w:rsidRDefault="03C077EC" w:rsidP="03C077EC">
            <w:pPr>
              <w:widowControl w:val="0"/>
              <w:spacing w:after="0" w:line="240" w:lineRule="auto"/>
              <w:ind w:right="-59"/>
              <w:rPr>
                <w:rFonts w:eastAsiaTheme="minorEastAsia"/>
                <w:color w:val="000000" w:themeColor="text1"/>
              </w:rPr>
            </w:pPr>
            <w:r w:rsidRPr="03C077EC">
              <w:rPr>
                <w:rFonts w:eastAsiaTheme="minorEastAsia"/>
                <w:color w:val="000000" w:themeColor="text1"/>
              </w:rPr>
              <w:t>0.1 to 1.0 findings of noncompliance not resolved within 1 year or not submitted in a timely manner (per 1000 SWD)</w:t>
            </w:r>
          </w:p>
        </w:tc>
      </w:tr>
      <w:tr w:rsidR="03C077EC" w14:paraId="33A5B072" w14:textId="77777777" w:rsidTr="00C46369">
        <w:trPr>
          <w:trHeight w:val="570"/>
        </w:trPr>
        <w:tc>
          <w:tcPr>
            <w:tcW w:w="795" w:type="dxa"/>
            <w:tcBorders>
              <w:top w:val="single" w:sz="6" w:space="0" w:color="auto"/>
              <w:left w:val="single" w:sz="6" w:space="0" w:color="auto"/>
              <w:bottom w:val="single" w:sz="6" w:space="0" w:color="auto"/>
              <w:right w:val="single" w:sz="6" w:space="0" w:color="auto"/>
            </w:tcBorders>
            <w:tcMar>
              <w:left w:w="90" w:type="dxa"/>
              <w:right w:w="90" w:type="dxa"/>
            </w:tcMar>
          </w:tcPr>
          <w:p w14:paraId="59EA857B" w14:textId="3AC82512" w:rsidR="03C077EC" w:rsidRDefault="03C077EC" w:rsidP="03C077EC">
            <w:pPr>
              <w:widowControl w:val="0"/>
              <w:spacing w:after="0" w:line="240" w:lineRule="auto"/>
              <w:jc w:val="center"/>
              <w:rPr>
                <w:rFonts w:eastAsiaTheme="minorEastAsia"/>
                <w:color w:val="000000" w:themeColor="text1"/>
              </w:rPr>
            </w:pPr>
            <w:r w:rsidRPr="03C077EC">
              <w:rPr>
                <w:rFonts w:eastAsiaTheme="minorEastAsia"/>
                <w:color w:val="000000" w:themeColor="text1"/>
              </w:rPr>
              <w:t>2</w:t>
            </w:r>
          </w:p>
        </w:tc>
        <w:tc>
          <w:tcPr>
            <w:tcW w:w="1357" w:type="dxa"/>
            <w:tcBorders>
              <w:top w:val="single" w:sz="6" w:space="0" w:color="auto"/>
              <w:left w:val="single" w:sz="6" w:space="0" w:color="auto"/>
              <w:bottom w:val="single" w:sz="6" w:space="0" w:color="auto"/>
              <w:right w:val="single" w:sz="6" w:space="0" w:color="auto"/>
            </w:tcBorders>
            <w:tcMar>
              <w:left w:w="90" w:type="dxa"/>
              <w:right w:w="90" w:type="dxa"/>
            </w:tcMar>
          </w:tcPr>
          <w:p w14:paraId="45A4D099" w14:textId="74AEAA85" w:rsidR="03C077EC" w:rsidRPr="00522E1A" w:rsidRDefault="03C077EC" w:rsidP="03C077EC">
            <w:pPr>
              <w:widowControl w:val="0"/>
              <w:spacing w:after="0" w:line="240" w:lineRule="auto"/>
              <w:rPr>
                <w:rFonts w:eastAsiaTheme="minorEastAsia"/>
                <w:color w:val="000000" w:themeColor="text1"/>
              </w:rPr>
            </w:pPr>
            <w:r w:rsidRPr="00522E1A">
              <w:rPr>
                <w:rFonts w:eastAsiaTheme="minorEastAsia"/>
                <w:color w:val="000000" w:themeColor="text1"/>
              </w:rPr>
              <w:t xml:space="preserve">Annual dropout rate for students with disabilities from 3.5% to 5.9% </w:t>
            </w:r>
          </w:p>
        </w:tc>
        <w:tc>
          <w:tcPr>
            <w:tcW w:w="1260" w:type="dxa"/>
            <w:tcBorders>
              <w:top w:val="single" w:sz="6" w:space="0" w:color="auto"/>
              <w:left w:val="single" w:sz="6" w:space="0" w:color="auto"/>
              <w:bottom w:val="single" w:sz="6" w:space="0" w:color="auto"/>
              <w:right w:val="single" w:sz="6" w:space="0" w:color="auto"/>
            </w:tcBorders>
            <w:tcMar>
              <w:left w:w="90" w:type="dxa"/>
              <w:right w:w="90" w:type="dxa"/>
            </w:tcMar>
          </w:tcPr>
          <w:p w14:paraId="27B88B6B" w14:textId="746BFBC8" w:rsidR="03C077EC" w:rsidRPr="00522E1A" w:rsidRDefault="03C077EC" w:rsidP="03C077EC">
            <w:pPr>
              <w:widowControl w:val="0"/>
              <w:spacing w:after="0" w:line="240" w:lineRule="auto"/>
              <w:rPr>
                <w:rFonts w:eastAsiaTheme="minorEastAsia"/>
                <w:color w:val="000000" w:themeColor="text1"/>
              </w:rPr>
            </w:pPr>
            <w:r w:rsidRPr="00522E1A">
              <w:rPr>
                <w:rFonts w:eastAsiaTheme="minorEastAsia"/>
                <w:color w:val="000000" w:themeColor="text1"/>
              </w:rPr>
              <w:t xml:space="preserve">5-year cohort graduation rate for students with disabilities from 66.7% to 80.5% </w:t>
            </w:r>
          </w:p>
        </w:tc>
        <w:tc>
          <w:tcPr>
            <w:tcW w:w="1440" w:type="dxa"/>
            <w:tcBorders>
              <w:top w:val="single" w:sz="6" w:space="0" w:color="auto"/>
              <w:left w:val="single" w:sz="6" w:space="0" w:color="auto"/>
              <w:bottom w:val="single" w:sz="6" w:space="0" w:color="auto"/>
              <w:right w:val="single" w:sz="6" w:space="0" w:color="auto"/>
            </w:tcBorders>
            <w:tcMar>
              <w:left w:w="90" w:type="dxa"/>
              <w:right w:w="90" w:type="dxa"/>
            </w:tcMar>
          </w:tcPr>
          <w:p w14:paraId="31FCABA4" w14:textId="205D747C" w:rsidR="03C077EC" w:rsidRDefault="03C077EC" w:rsidP="03C077EC">
            <w:pPr>
              <w:widowControl w:val="0"/>
              <w:spacing w:after="0" w:line="240" w:lineRule="auto"/>
              <w:rPr>
                <w:rFonts w:eastAsiaTheme="minorEastAsia"/>
                <w:color w:val="000000" w:themeColor="text1"/>
              </w:rPr>
            </w:pPr>
            <w:r w:rsidRPr="03C077EC">
              <w:rPr>
                <w:rFonts w:eastAsiaTheme="minorEastAsia"/>
                <w:color w:val="000000" w:themeColor="text1"/>
              </w:rPr>
              <w:t>Gap equal to or above 50</w:t>
            </w:r>
            <w:r w:rsidRPr="03C077EC">
              <w:rPr>
                <w:rFonts w:eastAsiaTheme="minorEastAsia"/>
                <w:color w:val="000000" w:themeColor="text1"/>
                <w:vertAlign w:val="superscript"/>
              </w:rPr>
              <w:t>th</w:t>
            </w:r>
            <w:r w:rsidRPr="03C077EC">
              <w:rPr>
                <w:rFonts w:eastAsiaTheme="minorEastAsia"/>
                <w:color w:val="000000" w:themeColor="text1"/>
              </w:rPr>
              <w:t xml:space="preserve"> percentile (32 percentage points) but below 75</w:t>
            </w:r>
            <w:r w:rsidRPr="03C077EC">
              <w:rPr>
                <w:rFonts w:eastAsiaTheme="minorEastAsia"/>
                <w:color w:val="000000" w:themeColor="text1"/>
                <w:vertAlign w:val="superscript"/>
              </w:rPr>
              <w:t>th</w:t>
            </w:r>
            <w:r w:rsidRPr="03C077EC">
              <w:rPr>
                <w:rFonts w:eastAsiaTheme="minorEastAsia"/>
                <w:color w:val="000000" w:themeColor="text1"/>
              </w:rPr>
              <w:t xml:space="preserve"> percentile (40 percentage points)</w:t>
            </w:r>
          </w:p>
        </w:tc>
        <w:tc>
          <w:tcPr>
            <w:tcW w:w="1710" w:type="dxa"/>
            <w:tcBorders>
              <w:top w:val="single" w:sz="6" w:space="0" w:color="auto"/>
              <w:left w:val="single" w:sz="6" w:space="0" w:color="auto"/>
              <w:bottom w:val="single" w:sz="6" w:space="0" w:color="auto"/>
              <w:right w:val="single" w:sz="6" w:space="0" w:color="auto"/>
            </w:tcBorders>
            <w:tcMar>
              <w:left w:w="90" w:type="dxa"/>
              <w:right w:w="90" w:type="dxa"/>
            </w:tcMar>
          </w:tcPr>
          <w:p w14:paraId="56D4DCCA" w14:textId="2EA8AD7A" w:rsidR="03C077EC" w:rsidRDefault="03C077EC" w:rsidP="03C077EC">
            <w:pPr>
              <w:widowControl w:val="0"/>
              <w:spacing w:after="0" w:line="240" w:lineRule="auto"/>
              <w:ind w:right="-59"/>
              <w:rPr>
                <w:rFonts w:eastAsiaTheme="minorEastAsia"/>
                <w:color w:val="000000" w:themeColor="text1"/>
              </w:rPr>
            </w:pPr>
            <w:r w:rsidRPr="03C077EC">
              <w:rPr>
                <w:rFonts w:eastAsiaTheme="minorEastAsia"/>
                <w:color w:val="000000" w:themeColor="text1"/>
              </w:rPr>
              <w:t>Combined full inclusion rate from 35.0% to 49.9% for students ages 3-21</w:t>
            </w:r>
          </w:p>
        </w:tc>
        <w:tc>
          <w:tcPr>
            <w:tcW w:w="1620" w:type="dxa"/>
            <w:tcBorders>
              <w:top w:val="single" w:sz="6" w:space="0" w:color="auto"/>
              <w:left w:val="single" w:sz="6" w:space="0" w:color="auto"/>
              <w:bottom w:val="single" w:sz="6" w:space="0" w:color="auto"/>
              <w:right w:val="single" w:sz="6" w:space="0" w:color="auto"/>
            </w:tcBorders>
            <w:tcMar>
              <w:left w:w="90" w:type="dxa"/>
              <w:right w:w="90" w:type="dxa"/>
            </w:tcMar>
          </w:tcPr>
          <w:p w14:paraId="312974D6" w14:textId="5615A15A" w:rsidR="03C077EC" w:rsidRDefault="03C077EC" w:rsidP="03C077EC">
            <w:pPr>
              <w:widowControl w:val="0"/>
              <w:spacing w:after="0" w:line="240" w:lineRule="auto"/>
              <w:ind w:right="-59"/>
              <w:rPr>
                <w:rFonts w:eastAsiaTheme="minorEastAsia"/>
                <w:color w:val="000000" w:themeColor="text1"/>
              </w:rPr>
            </w:pPr>
            <w:r w:rsidRPr="03C077EC">
              <w:rPr>
                <w:rFonts w:eastAsiaTheme="minorEastAsia"/>
                <w:i/>
                <w:iCs/>
                <w:color w:val="000000" w:themeColor="text1"/>
              </w:rPr>
              <w:t>Identified</w:t>
            </w:r>
            <w:r w:rsidRPr="03C077EC">
              <w:rPr>
                <w:rFonts w:eastAsiaTheme="minorEastAsia"/>
                <w:color w:val="000000" w:themeColor="text1"/>
              </w:rPr>
              <w:t xml:space="preserve"> for any 1 indicator </w:t>
            </w:r>
          </w:p>
        </w:tc>
        <w:tc>
          <w:tcPr>
            <w:tcW w:w="1620" w:type="dxa"/>
            <w:tcBorders>
              <w:top w:val="single" w:sz="6" w:space="0" w:color="auto"/>
              <w:left w:val="single" w:sz="6" w:space="0" w:color="auto"/>
              <w:bottom w:val="single" w:sz="6" w:space="0" w:color="auto"/>
              <w:right w:val="single" w:sz="6" w:space="0" w:color="auto"/>
            </w:tcBorders>
            <w:tcMar>
              <w:left w:w="90" w:type="dxa"/>
              <w:right w:w="90" w:type="dxa"/>
            </w:tcMar>
          </w:tcPr>
          <w:p w14:paraId="0B7A8000" w14:textId="31EDBB45" w:rsidR="03C077EC" w:rsidRDefault="03C077EC" w:rsidP="03C077EC">
            <w:pPr>
              <w:widowControl w:val="0"/>
              <w:spacing w:after="0" w:line="240" w:lineRule="auto"/>
              <w:ind w:right="-59"/>
              <w:rPr>
                <w:rFonts w:eastAsiaTheme="minorEastAsia"/>
                <w:color w:val="000000" w:themeColor="text1"/>
              </w:rPr>
            </w:pPr>
            <w:r w:rsidRPr="03C077EC">
              <w:rPr>
                <w:rStyle w:val="eop"/>
                <w:rFonts w:eastAsiaTheme="minorEastAsia"/>
                <w:color w:val="000000" w:themeColor="text1"/>
              </w:rPr>
              <w:t>Any one Indicator compliance percentage from 55.0% to 74.9%</w:t>
            </w:r>
          </w:p>
        </w:tc>
        <w:tc>
          <w:tcPr>
            <w:tcW w:w="1800" w:type="dxa"/>
            <w:tcBorders>
              <w:top w:val="single" w:sz="6" w:space="0" w:color="auto"/>
              <w:left w:val="single" w:sz="6" w:space="0" w:color="auto"/>
              <w:bottom w:val="single" w:sz="6" w:space="0" w:color="auto"/>
              <w:right w:val="single" w:sz="6" w:space="0" w:color="auto"/>
            </w:tcBorders>
            <w:tcMar>
              <w:left w:w="90" w:type="dxa"/>
              <w:right w:w="90" w:type="dxa"/>
            </w:tcMar>
          </w:tcPr>
          <w:p w14:paraId="273B3A06" w14:textId="27A5AD04" w:rsidR="03C077EC" w:rsidRDefault="03C077EC" w:rsidP="03C077EC">
            <w:pPr>
              <w:widowControl w:val="0"/>
              <w:spacing w:after="0" w:line="240" w:lineRule="auto"/>
              <w:ind w:right="-59"/>
              <w:rPr>
                <w:rFonts w:eastAsiaTheme="minorEastAsia"/>
                <w:color w:val="000000" w:themeColor="text1"/>
              </w:rPr>
            </w:pPr>
            <w:r w:rsidRPr="03C077EC">
              <w:rPr>
                <w:rStyle w:val="normaltextrun"/>
                <w:rFonts w:eastAsiaTheme="minorEastAsia"/>
                <w:color w:val="000000" w:themeColor="text1"/>
              </w:rPr>
              <w:t>3.0-3.9 findings of special education noncompliance (per 1000 SWD) </w:t>
            </w:r>
          </w:p>
        </w:tc>
        <w:tc>
          <w:tcPr>
            <w:tcW w:w="1620" w:type="dxa"/>
            <w:tcBorders>
              <w:top w:val="single" w:sz="6" w:space="0" w:color="auto"/>
              <w:left w:val="single" w:sz="6" w:space="0" w:color="auto"/>
              <w:bottom w:val="single" w:sz="6" w:space="0" w:color="auto"/>
              <w:right w:val="single" w:sz="6" w:space="0" w:color="auto"/>
            </w:tcBorders>
            <w:tcMar>
              <w:left w:w="90" w:type="dxa"/>
              <w:right w:w="90" w:type="dxa"/>
            </w:tcMar>
          </w:tcPr>
          <w:p w14:paraId="0199C7CE" w14:textId="77E86672" w:rsidR="03C077EC" w:rsidRDefault="03C077EC" w:rsidP="03C077EC">
            <w:pPr>
              <w:widowControl w:val="0"/>
              <w:spacing w:after="0" w:line="240" w:lineRule="auto"/>
              <w:ind w:right="-59"/>
              <w:rPr>
                <w:rFonts w:eastAsiaTheme="minorEastAsia"/>
                <w:color w:val="000000" w:themeColor="text1"/>
              </w:rPr>
            </w:pPr>
            <w:r w:rsidRPr="03C077EC">
              <w:rPr>
                <w:rFonts w:eastAsiaTheme="minorEastAsia"/>
                <w:color w:val="000000" w:themeColor="text1"/>
              </w:rPr>
              <w:t>1.1 to 2.0 findings of noncompliance not resolved within 1 year or not submitted in a timely manner (per 1000 SWD)</w:t>
            </w:r>
          </w:p>
        </w:tc>
      </w:tr>
      <w:tr w:rsidR="03C077EC" w14:paraId="2A72F46B" w14:textId="77777777" w:rsidTr="00C46369">
        <w:trPr>
          <w:trHeight w:val="630"/>
        </w:trPr>
        <w:tc>
          <w:tcPr>
            <w:tcW w:w="795" w:type="dxa"/>
            <w:tcBorders>
              <w:top w:val="single" w:sz="6" w:space="0" w:color="auto"/>
              <w:left w:val="single" w:sz="6" w:space="0" w:color="auto"/>
              <w:bottom w:val="single" w:sz="6" w:space="0" w:color="auto"/>
              <w:right w:val="single" w:sz="6" w:space="0" w:color="auto"/>
            </w:tcBorders>
            <w:tcMar>
              <w:left w:w="90" w:type="dxa"/>
              <w:right w:w="90" w:type="dxa"/>
            </w:tcMar>
          </w:tcPr>
          <w:p w14:paraId="05067620" w14:textId="705D9104" w:rsidR="03C077EC" w:rsidRDefault="03C077EC" w:rsidP="03C077EC">
            <w:pPr>
              <w:widowControl w:val="0"/>
              <w:spacing w:after="0" w:line="240" w:lineRule="auto"/>
              <w:jc w:val="center"/>
              <w:rPr>
                <w:rFonts w:eastAsiaTheme="minorEastAsia"/>
                <w:color w:val="000000" w:themeColor="text1"/>
              </w:rPr>
            </w:pPr>
            <w:r w:rsidRPr="03C077EC">
              <w:rPr>
                <w:rFonts w:eastAsiaTheme="minorEastAsia"/>
                <w:color w:val="000000" w:themeColor="text1"/>
              </w:rPr>
              <w:t>1</w:t>
            </w:r>
          </w:p>
        </w:tc>
        <w:tc>
          <w:tcPr>
            <w:tcW w:w="1357" w:type="dxa"/>
            <w:tcBorders>
              <w:top w:val="single" w:sz="6" w:space="0" w:color="auto"/>
              <w:left w:val="single" w:sz="6" w:space="0" w:color="auto"/>
              <w:bottom w:val="single" w:sz="6" w:space="0" w:color="auto"/>
              <w:right w:val="single" w:sz="6" w:space="0" w:color="auto"/>
            </w:tcBorders>
            <w:tcMar>
              <w:left w:w="90" w:type="dxa"/>
              <w:right w:w="90" w:type="dxa"/>
            </w:tcMar>
          </w:tcPr>
          <w:p w14:paraId="16B0A95F" w14:textId="1ED05052" w:rsidR="03C077EC" w:rsidRPr="00522E1A" w:rsidRDefault="03C077EC" w:rsidP="03C077EC">
            <w:pPr>
              <w:widowControl w:val="0"/>
              <w:spacing w:after="0" w:line="240" w:lineRule="auto"/>
              <w:rPr>
                <w:rFonts w:eastAsiaTheme="minorEastAsia"/>
                <w:color w:val="000000" w:themeColor="text1"/>
              </w:rPr>
            </w:pPr>
            <w:r w:rsidRPr="00522E1A">
              <w:rPr>
                <w:rFonts w:eastAsiaTheme="minorEastAsia"/>
                <w:color w:val="000000" w:themeColor="text1"/>
              </w:rPr>
              <w:t xml:space="preserve">Annual dropout rate for students with disabilities of 6.0% or higher </w:t>
            </w:r>
          </w:p>
          <w:p w14:paraId="453E00FD" w14:textId="36911D75" w:rsidR="03C077EC" w:rsidRPr="00522E1A" w:rsidRDefault="03C077EC" w:rsidP="03C077EC">
            <w:pPr>
              <w:widowControl w:val="0"/>
              <w:spacing w:after="0" w:line="240" w:lineRule="auto"/>
              <w:rPr>
                <w:rFonts w:eastAsiaTheme="minorEastAsia"/>
                <w:color w:val="000000" w:themeColor="text1"/>
              </w:rPr>
            </w:pPr>
          </w:p>
        </w:tc>
        <w:tc>
          <w:tcPr>
            <w:tcW w:w="1260" w:type="dxa"/>
            <w:tcBorders>
              <w:top w:val="single" w:sz="6" w:space="0" w:color="auto"/>
              <w:left w:val="single" w:sz="6" w:space="0" w:color="auto"/>
              <w:bottom w:val="single" w:sz="6" w:space="0" w:color="auto"/>
              <w:right w:val="single" w:sz="6" w:space="0" w:color="auto"/>
            </w:tcBorders>
            <w:tcMar>
              <w:left w:w="90" w:type="dxa"/>
              <w:right w:w="90" w:type="dxa"/>
            </w:tcMar>
          </w:tcPr>
          <w:p w14:paraId="052B8AB0" w14:textId="0B0EBEF2" w:rsidR="03C077EC" w:rsidRPr="00522E1A" w:rsidRDefault="03C077EC" w:rsidP="03C077EC">
            <w:pPr>
              <w:widowControl w:val="0"/>
              <w:spacing w:after="0" w:line="240" w:lineRule="auto"/>
              <w:rPr>
                <w:rFonts w:eastAsiaTheme="minorEastAsia"/>
                <w:color w:val="000000" w:themeColor="text1"/>
              </w:rPr>
            </w:pPr>
            <w:r w:rsidRPr="00522E1A">
              <w:rPr>
                <w:rFonts w:eastAsiaTheme="minorEastAsia"/>
                <w:color w:val="000000" w:themeColor="text1"/>
              </w:rPr>
              <w:t xml:space="preserve">5-year cohort graduation rate for students with disabilities below 66.7%  </w:t>
            </w:r>
          </w:p>
        </w:tc>
        <w:tc>
          <w:tcPr>
            <w:tcW w:w="1440" w:type="dxa"/>
            <w:tcBorders>
              <w:top w:val="single" w:sz="6" w:space="0" w:color="auto"/>
              <w:left w:val="single" w:sz="6" w:space="0" w:color="auto"/>
              <w:bottom w:val="single" w:sz="6" w:space="0" w:color="auto"/>
              <w:right w:val="single" w:sz="6" w:space="0" w:color="auto"/>
            </w:tcBorders>
            <w:tcMar>
              <w:left w:w="90" w:type="dxa"/>
              <w:right w:w="90" w:type="dxa"/>
            </w:tcMar>
          </w:tcPr>
          <w:p w14:paraId="73DD776F" w14:textId="3A1B0C3A" w:rsidR="03C077EC" w:rsidRDefault="03C077EC" w:rsidP="03C077EC">
            <w:pPr>
              <w:widowControl w:val="0"/>
              <w:spacing w:after="0" w:line="240" w:lineRule="auto"/>
              <w:rPr>
                <w:rFonts w:eastAsiaTheme="minorEastAsia"/>
                <w:color w:val="000000" w:themeColor="text1"/>
              </w:rPr>
            </w:pPr>
            <w:r w:rsidRPr="03C077EC">
              <w:rPr>
                <w:rFonts w:eastAsiaTheme="minorEastAsia"/>
                <w:color w:val="000000" w:themeColor="text1"/>
              </w:rPr>
              <w:t>Gap equal to or above 75</w:t>
            </w:r>
            <w:r w:rsidRPr="03C077EC">
              <w:rPr>
                <w:rFonts w:eastAsiaTheme="minorEastAsia"/>
                <w:color w:val="000000" w:themeColor="text1"/>
                <w:vertAlign w:val="superscript"/>
              </w:rPr>
              <w:t>th</w:t>
            </w:r>
            <w:r w:rsidRPr="03C077EC">
              <w:rPr>
                <w:rFonts w:eastAsiaTheme="minorEastAsia"/>
                <w:color w:val="000000" w:themeColor="text1"/>
              </w:rPr>
              <w:t xml:space="preserve"> percentile (40 percentage points)</w:t>
            </w:r>
          </w:p>
        </w:tc>
        <w:tc>
          <w:tcPr>
            <w:tcW w:w="1710" w:type="dxa"/>
            <w:tcBorders>
              <w:top w:val="single" w:sz="6" w:space="0" w:color="auto"/>
              <w:left w:val="single" w:sz="6" w:space="0" w:color="auto"/>
              <w:bottom w:val="single" w:sz="6" w:space="0" w:color="auto"/>
              <w:right w:val="single" w:sz="6" w:space="0" w:color="auto"/>
            </w:tcBorders>
            <w:tcMar>
              <w:left w:w="90" w:type="dxa"/>
              <w:right w:w="90" w:type="dxa"/>
            </w:tcMar>
          </w:tcPr>
          <w:p w14:paraId="73ABC26E" w14:textId="0A47DB76" w:rsidR="03C077EC" w:rsidRDefault="03C077EC" w:rsidP="03C077EC">
            <w:pPr>
              <w:widowControl w:val="0"/>
              <w:spacing w:after="0" w:line="240" w:lineRule="auto"/>
              <w:ind w:right="-59"/>
              <w:rPr>
                <w:rFonts w:eastAsiaTheme="minorEastAsia"/>
                <w:color w:val="000000" w:themeColor="text1"/>
              </w:rPr>
            </w:pPr>
            <w:r w:rsidRPr="03C077EC">
              <w:rPr>
                <w:rFonts w:eastAsiaTheme="minorEastAsia"/>
                <w:color w:val="000000" w:themeColor="text1"/>
              </w:rPr>
              <w:t>Combined full inclusion rate below 35.0% for students ages 3-21</w:t>
            </w:r>
          </w:p>
        </w:tc>
        <w:tc>
          <w:tcPr>
            <w:tcW w:w="1620" w:type="dxa"/>
            <w:tcBorders>
              <w:top w:val="single" w:sz="6" w:space="0" w:color="auto"/>
              <w:left w:val="single" w:sz="6" w:space="0" w:color="auto"/>
              <w:bottom w:val="single" w:sz="6" w:space="0" w:color="auto"/>
              <w:right w:val="single" w:sz="6" w:space="0" w:color="auto"/>
            </w:tcBorders>
            <w:tcMar>
              <w:left w:w="90" w:type="dxa"/>
              <w:right w:w="90" w:type="dxa"/>
            </w:tcMar>
          </w:tcPr>
          <w:p w14:paraId="4608455B" w14:textId="153BDB50" w:rsidR="03C077EC" w:rsidRDefault="03C077EC" w:rsidP="03C077EC">
            <w:pPr>
              <w:widowControl w:val="0"/>
              <w:spacing w:after="0" w:line="240" w:lineRule="auto"/>
              <w:ind w:right="-59"/>
              <w:rPr>
                <w:rFonts w:eastAsiaTheme="minorEastAsia"/>
                <w:color w:val="000000" w:themeColor="text1"/>
              </w:rPr>
            </w:pPr>
            <w:r w:rsidRPr="03C077EC">
              <w:rPr>
                <w:rFonts w:eastAsiaTheme="minorEastAsia"/>
                <w:i/>
                <w:iCs/>
                <w:color w:val="000000" w:themeColor="text1"/>
              </w:rPr>
              <w:t>Identified</w:t>
            </w:r>
            <w:r w:rsidRPr="03C077EC">
              <w:rPr>
                <w:rFonts w:eastAsiaTheme="minorEastAsia"/>
                <w:color w:val="000000" w:themeColor="text1"/>
              </w:rPr>
              <w:t xml:space="preserve"> for 2 or more indicators </w:t>
            </w:r>
          </w:p>
        </w:tc>
        <w:tc>
          <w:tcPr>
            <w:tcW w:w="1620" w:type="dxa"/>
            <w:tcBorders>
              <w:top w:val="single" w:sz="6" w:space="0" w:color="auto"/>
              <w:left w:val="single" w:sz="6" w:space="0" w:color="auto"/>
              <w:bottom w:val="single" w:sz="6" w:space="0" w:color="auto"/>
              <w:right w:val="single" w:sz="6" w:space="0" w:color="auto"/>
            </w:tcBorders>
            <w:tcMar>
              <w:left w:w="90" w:type="dxa"/>
              <w:right w:w="90" w:type="dxa"/>
            </w:tcMar>
          </w:tcPr>
          <w:p w14:paraId="60EF679F" w14:textId="1101B2CC" w:rsidR="03C077EC" w:rsidRDefault="03C077EC" w:rsidP="03C077EC">
            <w:pPr>
              <w:widowControl w:val="0"/>
              <w:spacing w:after="0" w:line="240" w:lineRule="auto"/>
              <w:ind w:right="-59"/>
              <w:rPr>
                <w:rFonts w:eastAsiaTheme="minorEastAsia"/>
                <w:color w:val="000000" w:themeColor="text1"/>
              </w:rPr>
            </w:pPr>
            <w:r w:rsidRPr="03C077EC">
              <w:rPr>
                <w:rFonts w:eastAsiaTheme="minorEastAsia"/>
                <w:color w:val="000000" w:themeColor="text1"/>
              </w:rPr>
              <w:t>Any one Indicator compliance percentage below 55.0%</w:t>
            </w:r>
          </w:p>
        </w:tc>
        <w:tc>
          <w:tcPr>
            <w:tcW w:w="1800" w:type="dxa"/>
            <w:tcBorders>
              <w:top w:val="single" w:sz="6" w:space="0" w:color="auto"/>
              <w:left w:val="single" w:sz="6" w:space="0" w:color="auto"/>
              <w:bottom w:val="single" w:sz="6" w:space="0" w:color="auto"/>
              <w:right w:val="single" w:sz="6" w:space="0" w:color="auto"/>
            </w:tcBorders>
            <w:tcMar>
              <w:left w:w="90" w:type="dxa"/>
              <w:right w:w="90" w:type="dxa"/>
            </w:tcMar>
          </w:tcPr>
          <w:p w14:paraId="062A7196" w14:textId="382FF478" w:rsidR="03C077EC" w:rsidRDefault="03C077EC" w:rsidP="03C077EC">
            <w:pPr>
              <w:widowControl w:val="0"/>
              <w:spacing w:after="0" w:line="240" w:lineRule="auto"/>
              <w:ind w:right="-59"/>
              <w:rPr>
                <w:rFonts w:eastAsiaTheme="minorEastAsia"/>
                <w:color w:val="000000" w:themeColor="text1"/>
              </w:rPr>
            </w:pPr>
            <w:r w:rsidRPr="03C077EC">
              <w:rPr>
                <w:rStyle w:val="normaltextrun"/>
                <w:rFonts w:eastAsiaTheme="minorEastAsia"/>
                <w:color w:val="000000" w:themeColor="text1"/>
              </w:rPr>
              <w:t>4.0 or more findings of special education noncompliance (per 1000 SWD) </w:t>
            </w:r>
          </w:p>
        </w:tc>
        <w:tc>
          <w:tcPr>
            <w:tcW w:w="1620" w:type="dxa"/>
            <w:tcBorders>
              <w:top w:val="single" w:sz="6" w:space="0" w:color="auto"/>
              <w:left w:val="single" w:sz="6" w:space="0" w:color="auto"/>
              <w:bottom w:val="single" w:sz="6" w:space="0" w:color="auto"/>
              <w:right w:val="single" w:sz="6" w:space="0" w:color="auto"/>
            </w:tcBorders>
            <w:tcMar>
              <w:left w:w="90" w:type="dxa"/>
              <w:right w:w="90" w:type="dxa"/>
            </w:tcMar>
          </w:tcPr>
          <w:p w14:paraId="6900DACE" w14:textId="2E0BDBC6" w:rsidR="03C077EC" w:rsidRDefault="03C077EC" w:rsidP="03C077EC">
            <w:pPr>
              <w:widowControl w:val="0"/>
              <w:spacing w:after="0" w:line="240" w:lineRule="auto"/>
              <w:ind w:right="-59"/>
              <w:rPr>
                <w:rFonts w:eastAsiaTheme="minorEastAsia"/>
                <w:color w:val="000000" w:themeColor="text1"/>
              </w:rPr>
            </w:pPr>
            <w:r w:rsidRPr="03C077EC">
              <w:rPr>
                <w:rFonts w:eastAsiaTheme="minorEastAsia"/>
                <w:color w:val="000000" w:themeColor="text1"/>
              </w:rPr>
              <w:t>2.1 or more findings of noncompliance not resolved within 1 year or not submitted in a timely manner (per 1000 SWD)</w:t>
            </w:r>
          </w:p>
        </w:tc>
      </w:tr>
    </w:tbl>
    <w:p w14:paraId="42BCC0FA" w14:textId="5B50B682" w:rsidR="00581A1D" w:rsidRDefault="00581A1D" w:rsidP="03C077EC">
      <w:pPr>
        <w:spacing w:before="240"/>
        <w:ind w:left="720"/>
        <w:rPr>
          <w:b/>
          <w:bCs/>
        </w:rPr>
        <w:sectPr w:rsidR="00581A1D" w:rsidSect="000C7C96">
          <w:headerReference w:type="default" r:id="rId28"/>
          <w:footerReference w:type="default" r:id="rId29"/>
          <w:pgSz w:w="15840" w:h="12240" w:orient="landscape"/>
          <w:pgMar w:top="1080" w:right="1440" w:bottom="1260" w:left="1170" w:header="720" w:footer="720" w:gutter="0"/>
          <w:cols w:space="720"/>
          <w:docGrid w:linePitch="360"/>
        </w:sectPr>
      </w:pPr>
    </w:p>
    <w:p w14:paraId="3A4B84D1" w14:textId="3874BA6A" w:rsidR="009D6BCA" w:rsidRDefault="009D6BCA" w:rsidP="009D6BCA">
      <w:pPr>
        <w:ind w:left="720"/>
        <w:rPr>
          <w:b/>
        </w:rPr>
      </w:pPr>
      <w:r w:rsidRPr="541C7364">
        <w:rPr>
          <w:b/>
        </w:rPr>
        <w:lastRenderedPageBreak/>
        <w:t xml:space="preserve">How </w:t>
      </w:r>
      <w:r w:rsidR="007B6BC9">
        <w:rPr>
          <w:b/>
        </w:rPr>
        <w:t xml:space="preserve">is </w:t>
      </w:r>
      <w:r w:rsidR="00EA2ED5">
        <w:rPr>
          <w:b/>
        </w:rPr>
        <w:t>the</w:t>
      </w:r>
      <w:r w:rsidR="007B6BC9">
        <w:rPr>
          <w:b/>
        </w:rPr>
        <w:t xml:space="preserve"> </w:t>
      </w:r>
      <w:r w:rsidR="00AE136D">
        <w:rPr>
          <w:b/>
        </w:rPr>
        <w:t>LEA</w:t>
      </w:r>
      <w:r w:rsidRPr="541C7364">
        <w:rPr>
          <w:b/>
        </w:rPr>
        <w:t xml:space="preserve"> </w:t>
      </w:r>
      <w:r w:rsidR="007E0561">
        <w:rPr>
          <w:rFonts w:cstheme="minorHAnsi"/>
          <w:b/>
          <w:bCs/>
        </w:rPr>
        <w:t>determination</w:t>
      </w:r>
      <w:r w:rsidR="00AE136D">
        <w:rPr>
          <w:rFonts w:cstheme="minorHAnsi"/>
          <w:b/>
          <w:bCs/>
        </w:rPr>
        <w:t xml:space="preserve"> </w:t>
      </w:r>
      <w:r w:rsidR="00712925">
        <w:rPr>
          <w:b/>
        </w:rPr>
        <w:t>percentage</w:t>
      </w:r>
      <w:r w:rsidR="003E0C73">
        <w:rPr>
          <w:b/>
        </w:rPr>
        <w:t xml:space="preserve"> </w:t>
      </w:r>
      <w:r w:rsidR="00ED69BD">
        <w:rPr>
          <w:b/>
        </w:rPr>
        <w:t>calculated</w:t>
      </w:r>
      <w:r w:rsidR="009E4635">
        <w:rPr>
          <w:b/>
        </w:rPr>
        <w:t>?</w:t>
      </w:r>
      <w:r w:rsidR="00712925">
        <w:rPr>
          <w:b/>
        </w:rPr>
        <w:t xml:space="preserve"> </w:t>
      </w:r>
    </w:p>
    <w:tbl>
      <w:tblPr>
        <w:tblW w:w="8624" w:type="dxa"/>
        <w:tblInd w:w="1440" w:type="dxa"/>
        <w:tblCellMar>
          <w:left w:w="0" w:type="dxa"/>
          <w:right w:w="0" w:type="dxa"/>
        </w:tblCellMar>
        <w:tblLook w:val="04A0" w:firstRow="1" w:lastRow="0" w:firstColumn="1" w:lastColumn="0" w:noHBand="0" w:noVBand="1"/>
      </w:tblPr>
      <w:tblGrid>
        <w:gridCol w:w="8624"/>
      </w:tblGrid>
      <w:tr w:rsidR="001975A7" w:rsidRPr="00E579D7" w14:paraId="4C3D2B5D" w14:textId="77777777" w:rsidTr="00F33B63">
        <w:tc>
          <w:tcPr>
            <w:tcW w:w="8624" w:type="dxa"/>
            <w:shd w:val="clear" w:color="auto" w:fill="auto"/>
            <w:hideMark/>
          </w:tcPr>
          <w:p w14:paraId="64227CCC" w14:textId="77777777" w:rsidR="001975A7" w:rsidRPr="00E579D7" w:rsidRDefault="001975A7" w:rsidP="00F33B63">
            <w:pPr>
              <w:textAlignment w:val="baseline"/>
              <w:rPr>
                <w:rFonts w:eastAsia="Times New Roman" w:cstheme="minorHAnsi"/>
              </w:rPr>
            </w:pPr>
            <w:r w:rsidRPr="00E579D7">
              <w:rPr>
                <w:rFonts w:eastAsia="Times New Roman" w:cstheme="minorHAnsi"/>
                <w:i/>
                <w:iCs/>
              </w:rPr>
              <w:t>Numerator:</w:t>
            </w:r>
            <w:r w:rsidRPr="00E579D7">
              <w:rPr>
                <w:rFonts w:eastAsia="Times New Roman" w:cstheme="minorHAnsi"/>
              </w:rPr>
              <w:t> </w:t>
            </w:r>
          </w:p>
          <w:p w14:paraId="1A1A7DDF" w14:textId="28F564E1" w:rsidR="001975A7" w:rsidRPr="00E579D7" w:rsidRDefault="00197F92" w:rsidP="00F33B63">
            <w:pPr>
              <w:jc w:val="center"/>
              <w:textAlignment w:val="baseline"/>
              <w:rPr>
                <w:rFonts w:eastAsia="Times New Roman" w:cstheme="minorHAnsi"/>
              </w:rPr>
            </w:pPr>
            <w:r w:rsidRPr="000427E5">
              <w:rPr>
                <w:i/>
                <w:iCs/>
              </w:rPr>
              <w:t>(Sum of points earned across all categories with reportable data)</w:t>
            </w:r>
            <w:r w:rsidR="001975A7" w:rsidRPr="00E579D7">
              <w:rPr>
                <w:rFonts w:eastAsia="Times New Roman" w:cstheme="minorHAnsi"/>
              </w:rPr>
              <w:br/>
            </w:r>
            <w:r w:rsidR="001975A7" w:rsidRPr="00E579D7">
              <w:rPr>
                <w:rFonts w:eastAsia="Times New Roman" w:cstheme="minorHAnsi"/>
                <w:i/>
                <w:iCs/>
              </w:rPr>
              <w:t>____________________________________________________________</w:t>
            </w:r>
            <w:r w:rsidR="001975A7" w:rsidRPr="00E579D7">
              <w:rPr>
                <w:rFonts w:eastAsia="Times New Roman" w:cstheme="minorHAnsi"/>
              </w:rPr>
              <w:t> </w:t>
            </w:r>
          </w:p>
          <w:p w14:paraId="055B8CBD" w14:textId="77777777" w:rsidR="001975A7" w:rsidRPr="00E579D7" w:rsidRDefault="001975A7" w:rsidP="00F33B63">
            <w:pPr>
              <w:textAlignment w:val="baseline"/>
              <w:rPr>
                <w:rFonts w:eastAsia="Times New Roman" w:cstheme="minorHAnsi"/>
              </w:rPr>
            </w:pPr>
            <w:r w:rsidRPr="00E579D7">
              <w:rPr>
                <w:rFonts w:eastAsia="Times New Roman" w:cstheme="minorHAnsi"/>
                <w:i/>
                <w:iCs/>
              </w:rPr>
              <w:t>Denominator:</w:t>
            </w:r>
            <w:r w:rsidRPr="00E579D7">
              <w:rPr>
                <w:rFonts w:eastAsia="Times New Roman" w:cstheme="minorHAnsi"/>
              </w:rPr>
              <w:t> </w:t>
            </w:r>
          </w:p>
          <w:p w14:paraId="2432CF08" w14:textId="33840CD1" w:rsidR="001975A7" w:rsidRPr="000427E5" w:rsidRDefault="00320672" w:rsidP="00F33B63">
            <w:pPr>
              <w:jc w:val="center"/>
              <w:textAlignment w:val="baseline"/>
              <w:rPr>
                <w:rFonts w:eastAsia="Times New Roman" w:cstheme="minorHAnsi"/>
                <w:i/>
                <w:iCs/>
              </w:rPr>
            </w:pPr>
            <w:r w:rsidRPr="000427E5">
              <w:rPr>
                <w:i/>
                <w:iCs/>
              </w:rPr>
              <w:t>(Total Number of Possible Points in Categories with Reportable Data)</w:t>
            </w:r>
          </w:p>
        </w:tc>
      </w:tr>
    </w:tbl>
    <w:p w14:paraId="53D7AFDF" w14:textId="5E75A513" w:rsidR="00712925" w:rsidRPr="004D7470" w:rsidRDefault="00712925" w:rsidP="005C7CDD">
      <w:pPr>
        <w:spacing w:before="240"/>
        <w:ind w:left="720"/>
        <w:rPr>
          <w:rFonts w:cstheme="minorHAnsi"/>
        </w:rPr>
      </w:pPr>
      <w:r w:rsidRPr="004D7470">
        <w:rPr>
          <w:rFonts w:cstheme="minorHAnsi"/>
          <w:b/>
        </w:rPr>
        <w:t xml:space="preserve">How is </w:t>
      </w:r>
      <w:r w:rsidR="00FC7582" w:rsidRPr="004D7470">
        <w:rPr>
          <w:rFonts w:cstheme="minorHAnsi"/>
          <w:b/>
        </w:rPr>
        <w:t>the</w:t>
      </w:r>
      <w:r w:rsidRPr="004D7470">
        <w:rPr>
          <w:rFonts w:cstheme="minorHAnsi"/>
          <w:b/>
        </w:rPr>
        <w:t xml:space="preserve"> </w:t>
      </w:r>
      <w:r w:rsidR="00FC7582" w:rsidRPr="004D7470">
        <w:rPr>
          <w:rFonts w:cstheme="minorHAnsi"/>
          <w:b/>
        </w:rPr>
        <w:t>LEA</w:t>
      </w:r>
      <w:r w:rsidRPr="004D7470">
        <w:rPr>
          <w:rFonts w:cstheme="minorHAnsi"/>
          <w:b/>
        </w:rPr>
        <w:t xml:space="preserve"> </w:t>
      </w:r>
      <w:r w:rsidR="007A22EE" w:rsidRPr="004D7470">
        <w:rPr>
          <w:rFonts w:cstheme="minorHAnsi"/>
          <w:b/>
          <w:bCs/>
        </w:rPr>
        <w:t>determination</w:t>
      </w:r>
      <w:r w:rsidR="00FC7582" w:rsidRPr="004D7470">
        <w:rPr>
          <w:rFonts w:cstheme="minorHAnsi"/>
          <w:b/>
          <w:bCs/>
        </w:rPr>
        <w:t xml:space="preserve"> </w:t>
      </w:r>
      <w:r w:rsidRPr="004D7470">
        <w:rPr>
          <w:rFonts w:cstheme="minorHAnsi"/>
          <w:b/>
        </w:rPr>
        <w:t>category assigned?</w:t>
      </w:r>
    </w:p>
    <w:tbl>
      <w:tblPr>
        <w:tblStyle w:val="TableGrid"/>
        <w:tblW w:w="0" w:type="auto"/>
        <w:tblLook w:val="04A0" w:firstRow="1" w:lastRow="0" w:firstColumn="1" w:lastColumn="0" w:noHBand="0" w:noVBand="1"/>
      </w:tblPr>
      <w:tblGrid>
        <w:gridCol w:w="2359"/>
        <w:gridCol w:w="2359"/>
        <w:gridCol w:w="2359"/>
        <w:gridCol w:w="2273"/>
      </w:tblGrid>
      <w:tr w:rsidR="005B2CE2" w:rsidRPr="004D7470" w14:paraId="41BDC715" w14:textId="77777777">
        <w:tc>
          <w:tcPr>
            <w:tcW w:w="3597" w:type="dxa"/>
          </w:tcPr>
          <w:p w14:paraId="74861DFD" w14:textId="77777777" w:rsidR="009A3878" w:rsidRDefault="005B2CE2">
            <w:pPr>
              <w:jc w:val="center"/>
              <w:rPr>
                <w:rFonts w:asciiTheme="minorHAnsi" w:hAnsiTheme="minorHAnsi" w:cstheme="minorHAnsi"/>
                <w:b/>
                <w:bCs/>
                <w:sz w:val="22"/>
                <w:szCs w:val="22"/>
              </w:rPr>
            </w:pPr>
            <w:r w:rsidRPr="008979A4">
              <w:rPr>
                <w:rFonts w:asciiTheme="minorHAnsi" w:hAnsiTheme="minorHAnsi" w:cstheme="minorHAnsi"/>
                <w:b/>
                <w:bCs/>
                <w:sz w:val="22"/>
                <w:szCs w:val="22"/>
              </w:rPr>
              <w:t>Meets Requirements</w:t>
            </w:r>
          </w:p>
          <w:p w14:paraId="63AF07FD" w14:textId="0AF0ECF3" w:rsidR="005B2CE2" w:rsidRPr="008979A4" w:rsidRDefault="005B2CE2">
            <w:pPr>
              <w:jc w:val="center"/>
              <w:rPr>
                <w:rFonts w:asciiTheme="minorHAnsi" w:hAnsiTheme="minorHAnsi" w:cstheme="minorHAnsi"/>
                <w:b/>
                <w:bCs/>
                <w:sz w:val="22"/>
                <w:szCs w:val="22"/>
              </w:rPr>
            </w:pPr>
            <w:r w:rsidRPr="008979A4">
              <w:rPr>
                <w:rFonts w:asciiTheme="minorHAnsi" w:hAnsiTheme="minorHAnsi" w:cstheme="minorHAnsi"/>
                <w:b/>
                <w:bCs/>
                <w:sz w:val="22"/>
                <w:szCs w:val="22"/>
              </w:rPr>
              <w:t>(MR)</w:t>
            </w:r>
          </w:p>
        </w:tc>
        <w:tc>
          <w:tcPr>
            <w:tcW w:w="3597" w:type="dxa"/>
          </w:tcPr>
          <w:p w14:paraId="180A8DC0" w14:textId="77777777" w:rsidR="00C27212" w:rsidRDefault="005B2CE2">
            <w:pPr>
              <w:jc w:val="center"/>
              <w:rPr>
                <w:rFonts w:asciiTheme="minorHAnsi" w:hAnsiTheme="minorHAnsi" w:cstheme="minorHAnsi"/>
                <w:b/>
                <w:bCs/>
                <w:sz w:val="22"/>
                <w:szCs w:val="22"/>
              </w:rPr>
            </w:pPr>
            <w:r w:rsidRPr="008979A4">
              <w:rPr>
                <w:rFonts w:asciiTheme="minorHAnsi" w:hAnsiTheme="minorHAnsi" w:cstheme="minorHAnsi"/>
                <w:b/>
                <w:bCs/>
                <w:sz w:val="22"/>
                <w:szCs w:val="22"/>
              </w:rPr>
              <w:t xml:space="preserve">Needs Assistance </w:t>
            </w:r>
          </w:p>
          <w:p w14:paraId="4CD272DD" w14:textId="07C1273A" w:rsidR="005B2CE2" w:rsidRPr="008979A4" w:rsidRDefault="005B2CE2">
            <w:pPr>
              <w:jc w:val="center"/>
              <w:rPr>
                <w:rFonts w:asciiTheme="minorHAnsi" w:hAnsiTheme="minorHAnsi" w:cstheme="minorHAnsi"/>
                <w:b/>
                <w:bCs/>
                <w:sz w:val="22"/>
                <w:szCs w:val="22"/>
              </w:rPr>
            </w:pPr>
            <w:r w:rsidRPr="008979A4">
              <w:rPr>
                <w:rFonts w:asciiTheme="minorHAnsi" w:hAnsiTheme="minorHAnsi" w:cstheme="minorHAnsi"/>
                <w:b/>
                <w:bCs/>
                <w:sz w:val="22"/>
                <w:szCs w:val="22"/>
              </w:rPr>
              <w:t>(NA)</w:t>
            </w:r>
          </w:p>
        </w:tc>
        <w:tc>
          <w:tcPr>
            <w:tcW w:w="3598" w:type="dxa"/>
          </w:tcPr>
          <w:p w14:paraId="66DE1CB6" w14:textId="77777777" w:rsidR="00B24657" w:rsidRDefault="005B2CE2">
            <w:pPr>
              <w:jc w:val="center"/>
              <w:rPr>
                <w:rFonts w:asciiTheme="minorHAnsi" w:hAnsiTheme="minorHAnsi" w:cstheme="minorHAnsi"/>
                <w:b/>
                <w:bCs/>
                <w:sz w:val="22"/>
                <w:szCs w:val="22"/>
              </w:rPr>
            </w:pPr>
            <w:r w:rsidRPr="008979A4">
              <w:rPr>
                <w:rFonts w:asciiTheme="minorHAnsi" w:hAnsiTheme="minorHAnsi" w:cstheme="minorHAnsi"/>
                <w:b/>
                <w:bCs/>
                <w:sz w:val="22"/>
                <w:szCs w:val="22"/>
              </w:rPr>
              <w:t>Needs Intervention</w:t>
            </w:r>
          </w:p>
          <w:p w14:paraId="408D6F16" w14:textId="4B3FBA62" w:rsidR="005B2CE2" w:rsidRPr="008979A4" w:rsidRDefault="005B2CE2">
            <w:pPr>
              <w:jc w:val="center"/>
              <w:rPr>
                <w:rFonts w:asciiTheme="minorHAnsi" w:hAnsiTheme="minorHAnsi" w:cstheme="minorHAnsi"/>
                <w:b/>
                <w:bCs/>
                <w:sz w:val="22"/>
                <w:szCs w:val="22"/>
              </w:rPr>
            </w:pPr>
            <w:r w:rsidRPr="008979A4">
              <w:rPr>
                <w:rFonts w:asciiTheme="minorHAnsi" w:hAnsiTheme="minorHAnsi" w:cstheme="minorHAnsi"/>
                <w:b/>
                <w:bCs/>
                <w:sz w:val="22"/>
                <w:szCs w:val="22"/>
              </w:rPr>
              <w:t xml:space="preserve"> (NI)</w:t>
            </w:r>
          </w:p>
        </w:tc>
        <w:tc>
          <w:tcPr>
            <w:tcW w:w="3598" w:type="dxa"/>
          </w:tcPr>
          <w:p w14:paraId="0CEB80ED" w14:textId="77777777" w:rsidR="005B2CE2" w:rsidRPr="008979A4" w:rsidRDefault="005B2CE2">
            <w:pPr>
              <w:jc w:val="center"/>
              <w:rPr>
                <w:rFonts w:asciiTheme="minorHAnsi" w:hAnsiTheme="minorHAnsi" w:cstheme="minorHAnsi"/>
                <w:b/>
                <w:bCs/>
                <w:sz w:val="22"/>
                <w:szCs w:val="22"/>
              </w:rPr>
            </w:pPr>
            <w:r w:rsidRPr="008979A4">
              <w:rPr>
                <w:rFonts w:asciiTheme="minorHAnsi" w:hAnsiTheme="minorHAnsi" w:cstheme="minorHAnsi"/>
                <w:b/>
                <w:bCs/>
                <w:sz w:val="22"/>
                <w:szCs w:val="22"/>
              </w:rPr>
              <w:t>Needs Substantial Intervention (NSI)</w:t>
            </w:r>
          </w:p>
        </w:tc>
      </w:tr>
      <w:tr w:rsidR="005B2CE2" w:rsidRPr="004D7470" w14:paraId="20E66379" w14:textId="77777777">
        <w:tc>
          <w:tcPr>
            <w:tcW w:w="3597" w:type="dxa"/>
          </w:tcPr>
          <w:p w14:paraId="288B594E" w14:textId="4CA91E8D" w:rsidR="005B2CE2" w:rsidRPr="008979A4" w:rsidRDefault="00FF25D2" w:rsidP="008979A4">
            <w:pPr>
              <w:spacing w:before="240"/>
              <w:jc w:val="center"/>
              <w:rPr>
                <w:rFonts w:asciiTheme="minorHAnsi" w:hAnsiTheme="minorHAnsi" w:cstheme="minorHAnsi"/>
                <w:sz w:val="22"/>
                <w:szCs w:val="22"/>
              </w:rPr>
            </w:pPr>
            <w:r w:rsidRPr="008979A4">
              <w:rPr>
                <w:rFonts w:asciiTheme="minorHAnsi" w:hAnsiTheme="minorHAnsi" w:cstheme="minorHAnsi"/>
                <w:sz w:val="22"/>
                <w:szCs w:val="22"/>
              </w:rPr>
              <w:t>LEA d</w:t>
            </w:r>
            <w:r w:rsidR="007A22EE" w:rsidRPr="008979A4">
              <w:rPr>
                <w:rFonts w:asciiTheme="minorHAnsi" w:hAnsiTheme="minorHAnsi" w:cstheme="minorHAnsi"/>
                <w:sz w:val="22"/>
                <w:szCs w:val="22"/>
              </w:rPr>
              <w:t xml:space="preserve">etermination </w:t>
            </w:r>
            <w:r w:rsidR="005B2CE2" w:rsidRPr="008979A4">
              <w:rPr>
                <w:rFonts w:asciiTheme="minorHAnsi" w:hAnsiTheme="minorHAnsi" w:cstheme="minorHAnsi"/>
                <w:sz w:val="22"/>
                <w:szCs w:val="22"/>
              </w:rPr>
              <w:t xml:space="preserve">percentage </w:t>
            </w:r>
          </w:p>
          <w:p w14:paraId="04EDD5AA" w14:textId="77777777" w:rsidR="005B2CE2" w:rsidRPr="008979A4" w:rsidRDefault="005B2CE2" w:rsidP="003F2943">
            <w:pPr>
              <w:jc w:val="center"/>
              <w:rPr>
                <w:rFonts w:asciiTheme="minorHAnsi" w:hAnsiTheme="minorHAnsi" w:cstheme="minorHAnsi"/>
                <w:sz w:val="22"/>
                <w:szCs w:val="22"/>
              </w:rPr>
            </w:pPr>
            <w:r w:rsidRPr="008979A4">
              <w:rPr>
                <w:rFonts w:asciiTheme="minorHAnsi" w:hAnsiTheme="minorHAnsi" w:cstheme="minorHAnsi"/>
                <w:sz w:val="22"/>
                <w:szCs w:val="22"/>
              </w:rPr>
              <w:t>75.0 – 100.0</w:t>
            </w:r>
          </w:p>
        </w:tc>
        <w:tc>
          <w:tcPr>
            <w:tcW w:w="3597" w:type="dxa"/>
          </w:tcPr>
          <w:p w14:paraId="3CDCF03F" w14:textId="77777777" w:rsidR="003F2943" w:rsidRPr="001B68F1" w:rsidRDefault="003F2943" w:rsidP="003F2943">
            <w:pPr>
              <w:spacing w:before="240"/>
              <w:jc w:val="center"/>
              <w:rPr>
                <w:rFonts w:asciiTheme="minorHAnsi" w:hAnsiTheme="minorHAnsi" w:cstheme="minorHAnsi"/>
                <w:sz w:val="22"/>
                <w:szCs w:val="22"/>
              </w:rPr>
            </w:pPr>
            <w:r w:rsidRPr="001B68F1">
              <w:rPr>
                <w:rFonts w:asciiTheme="minorHAnsi" w:hAnsiTheme="minorHAnsi" w:cstheme="minorHAnsi"/>
                <w:sz w:val="22"/>
                <w:szCs w:val="22"/>
              </w:rPr>
              <w:t xml:space="preserve">LEA determination percentage </w:t>
            </w:r>
          </w:p>
          <w:p w14:paraId="01017819" w14:textId="77777777" w:rsidR="005B2CE2" w:rsidRPr="001B68F1" w:rsidRDefault="005B2CE2">
            <w:pPr>
              <w:jc w:val="center"/>
              <w:rPr>
                <w:rFonts w:asciiTheme="minorHAnsi" w:hAnsiTheme="minorHAnsi" w:cstheme="minorHAnsi"/>
                <w:sz w:val="22"/>
                <w:szCs w:val="22"/>
              </w:rPr>
            </w:pPr>
            <w:r w:rsidRPr="001B68F1">
              <w:rPr>
                <w:rFonts w:asciiTheme="minorHAnsi" w:hAnsiTheme="minorHAnsi" w:cstheme="minorHAnsi"/>
                <w:sz w:val="22"/>
                <w:szCs w:val="22"/>
              </w:rPr>
              <w:t>65.0 – 74.9</w:t>
            </w:r>
          </w:p>
          <w:p w14:paraId="3068F5BB" w14:textId="77777777" w:rsidR="005B2CE2" w:rsidRPr="009952BA" w:rsidRDefault="005B2CE2">
            <w:pPr>
              <w:rPr>
                <w:rFonts w:asciiTheme="minorHAnsi" w:hAnsiTheme="minorHAnsi" w:cstheme="minorHAnsi"/>
                <w:b/>
                <w:bCs/>
                <w:sz w:val="22"/>
                <w:szCs w:val="22"/>
              </w:rPr>
            </w:pPr>
          </w:p>
        </w:tc>
        <w:tc>
          <w:tcPr>
            <w:tcW w:w="3598" w:type="dxa"/>
          </w:tcPr>
          <w:p w14:paraId="313B74FF" w14:textId="77777777" w:rsidR="003F2943" w:rsidRPr="001B68F1" w:rsidRDefault="003F2943" w:rsidP="003F2943">
            <w:pPr>
              <w:spacing w:before="240"/>
              <w:jc w:val="center"/>
              <w:rPr>
                <w:rFonts w:asciiTheme="minorHAnsi" w:hAnsiTheme="minorHAnsi" w:cstheme="minorHAnsi"/>
                <w:sz w:val="22"/>
                <w:szCs w:val="22"/>
              </w:rPr>
            </w:pPr>
            <w:r w:rsidRPr="001B68F1">
              <w:rPr>
                <w:rFonts w:asciiTheme="minorHAnsi" w:hAnsiTheme="minorHAnsi" w:cstheme="minorHAnsi"/>
                <w:sz w:val="22"/>
                <w:szCs w:val="22"/>
              </w:rPr>
              <w:t xml:space="preserve">LEA determination percentage </w:t>
            </w:r>
          </w:p>
          <w:p w14:paraId="5053780C" w14:textId="77777777" w:rsidR="005B2CE2" w:rsidRPr="001B68F1" w:rsidRDefault="005B2CE2">
            <w:pPr>
              <w:jc w:val="center"/>
              <w:rPr>
                <w:rFonts w:asciiTheme="minorHAnsi" w:hAnsiTheme="minorHAnsi" w:cstheme="minorHAnsi"/>
                <w:sz w:val="22"/>
                <w:szCs w:val="22"/>
              </w:rPr>
            </w:pPr>
            <w:r w:rsidRPr="001B68F1">
              <w:rPr>
                <w:rFonts w:asciiTheme="minorHAnsi" w:hAnsiTheme="minorHAnsi" w:cstheme="minorHAnsi"/>
                <w:sz w:val="22"/>
                <w:szCs w:val="22"/>
              </w:rPr>
              <w:t>0 – 64.9</w:t>
            </w:r>
          </w:p>
        </w:tc>
        <w:tc>
          <w:tcPr>
            <w:tcW w:w="3598" w:type="dxa"/>
          </w:tcPr>
          <w:p w14:paraId="63640830" w14:textId="77777777" w:rsidR="006B058F" w:rsidRDefault="005B2CE2">
            <w:pPr>
              <w:jc w:val="center"/>
              <w:rPr>
                <w:rFonts w:asciiTheme="minorHAnsi" w:hAnsiTheme="minorHAnsi" w:cstheme="minorHAnsi"/>
                <w:sz w:val="22"/>
                <w:szCs w:val="22"/>
              </w:rPr>
            </w:pPr>
            <w:r w:rsidRPr="008979A4">
              <w:rPr>
                <w:rFonts w:asciiTheme="minorHAnsi" w:hAnsiTheme="minorHAnsi" w:cstheme="minorHAnsi"/>
                <w:sz w:val="22"/>
                <w:szCs w:val="22"/>
              </w:rPr>
              <w:t xml:space="preserve">A substantial failure to comply with a condition of LEA eligibility under Part B of the IDEA </w:t>
            </w:r>
          </w:p>
          <w:p w14:paraId="55AE8F8C" w14:textId="51B66201" w:rsidR="00FD215F" w:rsidRPr="0028625C" w:rsidRDefault="00FD215F" w:rsidP="0028625C">
            <w:pPr>
              <w:jc w:val="center"/>
              <w:rPr>
                <w:rFonts w:asciiTheme="minorHAnsi" w:hAnsiTheme="minorHAnsi" w:cstheme="minorHAnsi"/>
                <w:sz w:val="22"/>
                <w:szCs w:val="22"/>
              </w:rPr>
            </w:pPr>
            <w:r w:rsidRPr="0028625C">
              <w:rPr>
                <w:rFonts w:asciiTheme="minorHAnsi" w:hAnsiTheme="minorHAnsi" w:cstheme="minorHAnsi"/>
                <w:sz w:val="22"/>
                <w:szCs w:val="22"/>
              </w:rPr>
              <w:t>(</w:t>
            </w:r>
            <w:hyperlink r:id="rId30" w:history="1">
              <w:r w:rsidRPr="0028625C">
                <w:rPr>
                  <w:rStyle w:val="Hyperlink"/>
                  <w:rFonts w:asciiTheme="minorHAnsi" w:eastAsiaTheme="majorEastAsia" w:hAnsiTheme="minorHAnsi" w:cstheme="minorHAnsi"/>
                  <w:sz w:val="22"/>
                  <w:szCs w:val="22"/>
                </w:rPr>
                <w:t>300.200-300.213</w:t>
              </w:r>
            </w:hyperlink>
            <w:r w:rsidRPr="0028625C">
              <w:rPr>
                <w:rFonts w:asciiTheme="minorHAnsi" w:hAnsiTheme="minorHAnsi" w:cstheme="minorHAnsi"/>
                <w:sz w:val="22"/>
                <w:szCs w:val="22"/>
              </w:rPr>
              <w:t>)</w:t>
            </w:r>
            <w:r w:rsidR="008C0A2F">
              <w:rPr>
                <w:rFonts w:asciiTheme="minorHAnsi" w:hAnsiTheme="minorHAnsi" w:cstheme="minorHAnsi"/>
                <w:sz w:val="22"/>
                <w:szCs w:val="22"/>
              </w:rPr>
              <w:t xml:space="preserve"> </w:t>
            </w:r>
          </w:p>
          <w:p w14:paraId="57458404" w14:textId="77777777" w:rsidR="005B2CE2" w:rsidRPr="008979A4" w:rsidRDefault="005B2CE2" w:rsidP="0028625C">
            <w:pPr>
              <w:rPr>
                <w:rFonts w:asciiTheme="minorHAnsi" w:hAnsiTheme="minorHAnsi" w:cstheme="minorHAnsi"/>
                <w:sz w:val="22"/>
                <w:szCs w:val="22"/>
              </w:rPr>
            </w:pPr>
          </w:p>
        </w:tc>
      </w:tr>
    </w:tbl>
    <w:p w14:paraId="0285AE94" w14:textId="7F66C4F6" w:rsidR="002102EA" w:rsidRPr="00F47A5E" w:rsidRDefault="002102EA" w:rsidP="002102EA">
      <w:pPr>
        <w:pStyle w:val="Heading2"/>
        <w:rPr>
          <w:rStyle w:val="eop"/>
          <w:b/>
          <w:bCs/>
        </w:rPr>
      </w:pPr>
      <w:bookmarkStart w:id="6" w:name="_Data_Source"/>
      <w:bookmarkEnd w:id="6"/>
      <w:r w:rsidRPr="00F47A5E">
        <w:rPr>
          <w:rStyle w:val="eop"/>
          <w:b/>
          <w:bCs/>
        </w:rPr>
        <w:t>Data Source</w:t>
      </w:r>
    </w:p>
    <w:p w14:paraId="5D871E48" w14:textId="77777777" w:rsidR="002102EA" w:rsidRPr="00E579D7" w:rsidRDefault="002102EA" w:rsidP="00C81FE9">
      <w:pPr>
        <w:spacing w:before="240" w:after="0"/>
        <w:ind w:left="720"/>
        <w:rPr>
          <w:rFonts w:cstheme="minorHAnsi"/>
          <w:b/>
          <w:bCs/>
        </w:rPr>
      </w:pPr>
      <w:r w:rsidRPr="00E579D7">
        <w:rPr>
          <w:rFonts w:cstheme="minorHAnsi"/>
          <w:b/>
          <w:bCs/>
        </w:rPr>
        <w:t>What if I think that the SIMS data was not coded/entered correctly?</w:t>
      </w:r>
    </w:p>
    <w:p w14:paraId="23A1AB0B" w14:textId="1C58DBFF" w:rsidR="002102EA" w:rsidRPr="00E579D7" w:rsidRDefault="6260F413" w:rsidP="00C81FE9">
      <w:pPr>
        <w:ind w:left="1440"/>
      </w:pPr>
      <w:r w:rsidRPr="541C7364">
        <w:t xml:space="preserve">The data included in the calculation come from each district’s certified SIMS submissions. Data that were submitted and certified in a now-closed SIMS collection window </w:t>
      </w:r>
      <w:r w:rsidR="5398CB7A" w:rsidRPr="541C7364">
        <w:t xml:space="preserve">are considered final and </w:t>
      </w:r>
      <w:r w:rsidRPr="541C7364">
        <w:t>cannot be changed.</w:t>
      </w:r>
    </w:p>
    <w:p w14:paraId="0C2B8B48" w14:textId="3B425618" w:rsidR="002102EA" w:rsidRPr="00E579D7" w:rsidRDefault="002102EA" w:rsidP="00C81FE9">
      <w:pPr>
        <w:pStyle w:val="paragraph"/>
        <w:spacing w:before="0" w:beforeAutospacing="0" w:after="0" w:afterAutospacing="0"/>
        <w:ind w:left="720"/>
        <w:textAlignment w:val="baseline"/>
        <w:rPr>
          <w:rFonts w:asciiTheme="minorHAnsi" w:hAnsiTheme="minorHAnsi" w:cstheme="minorHAnsi"/>
          <w:sz w:val="22"/>
          <w:szCs w:val="22"/>
        </w:rPr>
      </w:pPr>
      <w:r w:rsidRPr="00E579D7">
        <w:rPr>
          <w:rStyle w:val="normaltextrun"/>
          <w:rFonts w:asciiTheme="minorHAnsi" w:hAnsiTheme="minorHAnsi" w:cstheme="minorHAnsi"/>
          <w:b/>
          <w:bCs/>
          <w:sz w:val="22"/>
          <w:szCs w:val="22"/>
        </w:rPr>
        <w:t>How can I get a list of the students identified in the respective categories</w:t>
      </w:r>
      <w:r w:rsidR="00B86F1E">
        <w:rPr>
          <w:rStyle w:val="normaltextrun"/>
          <w:rFonts w:asciiTheme="minorHAnsi" w:hAnsiTheme="minorHAnsi" w:cstheme="minorHAnsi"/>
          <w:b/>
          <w:bCs/>
          <w:sz w:val="22"/>
          <w:szCs w:val="22"/>
        </w:rPr>
        <w:t>, i.e., graduation, dropout, LRE</w:t>
      </w:r>
      <w:r w:rsidRPr="00E579D7">
        <w:rPr>
          <w:rStyle w:val="normaltextrun"/>
          <w:rFonts w:asciiTheme="minorHAnsi" w:hAnsiTheme="minorHAnsi" w:cstheme="minorHAnsi"/>
          <w:b/>
          <w:bCs/>
          <w:sz w:val="22"/>
          <w:szCs w:val="22"/>
        </w:rPr>
        <w:t>?</w:t>
      </w:r>
    </w:p>
    <w:p w14:paraId="7D8B0B2A" w14:textId="4D2104A3" w:rsidR="002102EA" w:rsidRPr="00E579D7" w:rsidRDefault="002102EA" w:rsidP="008C0A2F">
      <w:pPr>
        <w:pStyle w:val="paragraph"/>
        <w:spacing w:before="0" w:beforeAutospacing="0" w:after="240" w:afterAutospacing="0"/>
        <w:ind w:left="1440"/>
        <w:textAlignment w:val="baseline"/>
        <w:rPr>
          <w:rFonts w:asciiTheme="minorHAnsi" w:hAnsiTheme="minorHAnsi" w:cstheme="minorBidi"/>
          <w:sz w:val="22"/>
          <w:szCs w:val="22"/>
        </w:rPr>
      </w:pPr>
      <w:r w:rsidRPr="008B79CF">
        <w:rPr>
          <w:rStyle w:val="normaltextrun"/>
          <w:rFonts w:asciiTheme="minorHAnsi" w:hAnsiTheme="minorHAnsi" w:cstheme="minorBidi"/>
          <w:sz w:val="22"/>
          <w:szCs w:val="22"/>
        </w:rPr>
        <w:t xml:space="preserve">Contact your </w:t>
      </w:r>
      <w:r w:rsidR="2241077F" w:rsidRPr="008B79CF">
        <w:rPr>
          <w:rStyle w:val="normaltextrun"/>
          <w:rFonts w:asciiTheme="minorHAnsi" w:hAnsiTheme="minorHAnsi" w:cstheme="minorBidi"/>
          <w:sz w:val="22"/>
          <w:szCs w:val="22"/>
        </w:rPr>
        <w:t xml:space="preserve">district’s </w:t>
      </w:r>
      <w:hyperlink r:id="rId31" w:history="1">
        <w:r w:rsidR="003858B3" w:rsidRPr="008B79CF">
          <w:rPr>
            <w:rStyle w:val="Hyperlink"/>
            <w:rFonts w:asciiTheme="minorHAnsi" w:hAnsiTheme="minorHAnsi" w:cstheme="minorBidi"/>
            <w:sz w:val="22"/>
            <w:szCs w:val="22"/>
          </w:rPr>
          <w:t>directory administrator</w:t>
        </w:r>
      </w:hyperlink>
      <w:r w:rsidR="00D30CA1" w:rsidRPr="008B79CF">
        <w:rPr>
          <w:rFonts w:asciiTheme="minorHAnsi" w:hAnsiTheme="minorHAnsi" w:cstheme="minorBidi"/>
          <w:sz w:val="22"/>
          <w:szCs w:val="22"/>
        </w:rPr>
        <w:t>.</w:t>
      </w:r>
      <w:bookmarkStart w:id="7" w:name="_Dropout_Rate_Calculation"/>
      <w:bookmarkEnd w:id="7"/>
      <w:r w:rsidR="00BF2D1B">
        <w:rPr>
          <w:rFonts w:asciiTheme="minorHAnsi" w:hAnsiTheme="minorHAnsi" w:cstheme="minorBidi"/>
          <w:sz w:val="22"/>
          <w:szCs w:val="22"/>
        </w:rPr>
        <w:t xml:space="preserve"> </w:t>
      </w:r>
    </w:p>
    <w:p w14:paraId="5104A1F1" w14:textId="6922380B" w:rsidR="00297F34" w:rsidRDefault="00297F34" w:rsidP="003D06AC">
      <w:pPr>
        <w:pStyle w:val="Heading2"/>
        <w:rPr>
          <w:rStyle w:val="eop"/>
          <w:b/>
          <w:bCs/>
        </w:rPr>
      </w:pPr>
      <w:bookmarkStart w:id="8" w:name="_Performance_Indicators_Used"/>
      <w:bookmarkEnd w:id="8"/>
      <w:r>
        <w:rPr>
          <w:rStyle w:val="eop"/>
          <w:b/>
          <w:bCs/>
        </w:rPr>
        <w:t xml:space="preserve">Performance Indicators </w:t>
      </w:r>
      <w:r w:rsidR="00C54EA0">
        <w:rPr>
          <w:rStyle w:val="eop"/>
          <w:b/>
          <w:bCs/>
        </w:rPr>
        <w:t>Used in the LEA Determination</w:t>
      </w:r>
    </w:p>
    <w:p w14:paraId="0917588F" w14:textId="45650F31" w:rsidR="007D5351" w:rsidRPr="00F47A5E" w:rsidRDefault="003D06AC" w:rsidP="003D06AC">
      <w:pPr>
        <w:pStyle w:val="Heading2"/>
        <w:rPr>
          <w:rStyle w:val="eop"/>
          <w:b/>
          <w:bCs/>
        </w:rPr>
      </w:pPr>
      <w:r>
        <w:rPr>
          <w:rStyle w:val="eop"/>
          <w:b/>
          <w:bCs/>
        </w:rPr>
        <w:t xml:space="preserve">Annual </w:t>
      </w:r>
      <w:r w:rsidR="007E08CA" w:rsidRPr="00F47A5E">
        <w:rPr>
          <w:rStyle w:val="eop"/>
          <w:b/>
          <w:bCs/>
        </w:rPr>
        <w:t xml:space="preserve">Dropout Rate </w:t>
      </w:r>
      <w:r w:rsidR="00F86FA4" w:rsidRPr="00F47A5E">
        <w:rPr>
          <w:rStyle w:val="eop"/>
          <w:b/>
          <w:bCs/>
        </w:rPr>
        <w:t>Calculation</w:t>
      </w:r>
    </w:p>
    <w:p w14:paraId="1B716A4C" w14:textId="0B13F960" w:rsidR="0093293C" w:rsidRDefault="0093293C" w:rsidP="00C81FE9">
      <w:pPr>
        <w:spacing w:before="240" w:after="0"/>
        <w:ind w:left="720"/>
        <w:rPr>
          <w:rFonts w:cstheme="minorHAnsi"/>
          <w:b/>
          <w:bCs/>
        </w:rPr>
      </w:pPr>
      <w:r>
        <w:rPr>
          <w:rFonts w:cstheme="minorHAnsi"/>
          <w:b/>
          <w:bCs/>
        </w:rPr>
        <w:t>Is this the same measurement as</w:t>
      </w:r>
      <w:r w:rsidR="00C81FE9">
        <w:rPr>
          <w:rFonts w:cstheme="minorHAnsi"/>
          <w:b/>
          <w:bCs/>
        </w:rPr>
        <w:t xml:space="preserve"> last year?</w:t>
      </w:r>
    </w:p>
    <w:p w14:paraId="18527DF1" w14:textId="3B75AECC" w:rsidR="00C81FE9" w:rsidRPr="00C81FE9" w:rsidRDefault="00C81FE9" w:rsidP="00C81FE9">
      <w:pPr>
        <w:ind w:left="1440"/>
        <w:rPr>
          <w:rFonts w:cstheme="minorHAnsi"/>
        </w:rPr>
      </w:pPr>
      <w:r w:rsidRPr="00C81FE9">
        <w:rPr>
          <w:rFonts w:cstheme="minorHAnsi"/>
        </w:rPr>
        <w:t>Yes, only the school year has changed.</w:t>
      </w:r>
    </w:p>
    <w:p w14:paraId="6474A8CC" w14:textId="61CB4E36" w:rsidR="00354D53" w:rsidRDefault="00354D53" w:rsidP="00C81FE9">
      <w:pPr>
        <w:spacing w:before="240"/>
        <w:ind w:left="720"/>
        <w:rPr>
          <w:rFonts w:cstheme="minorHAnsi"/>
          <w:b/>
          <w:bCs/>
        </w:rPr>
      </w:pPr>
      <w:r>
        <w:rPr>
          <w:rFonts w:cstheme="minorHAnsi"/>
          <w:b/>
          <w:bCs/>
        </w:rPr>
        <w:t xml:space="preserve">What is the definition </w:t>
      </w:r>
      <w:r w:rsidR="00FB0630">
        <w:rPr>
          <w:rFonts w:cstheme="minorHAnsi"/>
          <w:b/>
          <w:bCs/>
        </w:rPr>
        <w:t xml:space="preserve">of </w:t>
      </w:r>
      <w:r>
        <w:rPr>
          <w:rFonts w:cstheme="minorHAnsi"/>
          <w:b/>
          <w:bCs/>
        </w:rPr>
        <w:t>dropout?</w:t>
      </w:r>
    </w:p>
    <w:p w14:paraId="6127CA15" w14:textId="5606C4D5" w:rsidR="00354D53" w:rsidRPr="00354D53" w:rsidRDefault="00000000" w:rsidP="00C81FE9">
      <w:pPr>
        <w:ind w:left="1440"/>
        <w:rPr>
          <w:rFonts w:eastAsia="Times New Roman" w:cstheme="minorHAnsi"/>
        </w:rPr>
      </w:pPr>
      <w:hyperlink r:id="rId32" w:history="1">
        <w:r w:rsidR="003F239B" w:rsidRPr="003F239B">
          <w:rPr>
            <w:rStyle w:val="Hyperlink"/>
            <w:rFonts w:eastAsia="Times New Roman" w:cstheme="minorHAnsi"/>
            <w:shd w:val="clear" w:color="auto" w:fill="FFFFFF"/>
          </w:rPr>
          <w:t>Dropout</w:t>
        </w:r>
        <w:r w:rsidR="00354D53" w:rsidRPr="003F239B">
          <w:rPr>
            <w:rStyle w:val="Hyperlink"/>
            <w:rFonts w:eastAsia="Times New Roman" w:cstheme="minorHAnsi"/>
            <w:shd w:val="clear" w:color="auto" w:fill="FFFFFF"/>
          </w:rPr>
          <w:t xml:space="preserve"> is defined</w:t>
        </w:r>
      </w:hyperlink>
      <w:r w:rsidR="00354D53" w:rsidRPr="00E579D7">
        <w:rPr>
          <w:rFonts w:eastAsia="Times New Roman" w:cstheme="minorHAnsi"/>
          <w:color w:val="000000"/>
          <w:shd w:val="clear" w:color="auto" w:fill="FFFFFF"/>
        </w:rPr>
        <w:t xml:space="preserve"> as students who </w:t>
      </w:r>
      <w:r w:rsidR="00221516">
        <w:rPr>
          <w:rFonts w:eastAsia="Times New Roman" w:cstheme="minorHAnsi"/>
          <w:color w:val="000000"/>
          <w:shd w:val="clear" w:color="auto" w:fill="FFFFFF"/>
        </w:rPr>
        <w:t>lea</w:t>
      </w:r>
      <w:r w:rsidR="00354D53" w:rsidRPr="00E579D7">
        <w:rPr>
          <w:rFonts w:eastAsia="Times New Roman" w:cstheme="minorHAnsi"/>
          <w:color w:val="000000"/>
          <w:shd w:val="clear" w:color="auto" w:fill="FFFFFF"/>
        </w:rPr>
        <w:t>ve school prior to graduation for reasons other than transfer to another school.</w:t>
      </w:r>
      <w:r w:rsidR="00ED05AE">
        <w:rPr>
          <w:rFonts w:eastAsia="Times New Roman" w:cstheme="minorHAnsi"/>
          <w:color w:val="000000"/>
          <w:shd w:val="clear" w:color="auto" w:fill="FFFFFF"/>
        </w:rPr>
        <w:t xml:space="preserve"> </w:t>
      </w:r>
    </w:p>
    <w:p w14:paraId="6C2D8ED2" w14:textId="203788D0" w:rsidR="00225109" w:rsidRPr="00E579D7" w:rsidRDefault="001213A3" w:rsidP="00C81FE9">
      <w:pPr>
        <w:ind w:left="720"/>
        <w:rPr>
          <w:rStyle w:val="eop"/>
          <w:rFonts w:cstheme="minorHAnsi"/>
          <w:color w:val="000000"/>
          <w:shd w:val="clear" w:color="auto" w:fill="FFFFFF"/>
        </w:rPr>
      </w:pPr>
      <w:r>
        <w:rPr>
          <w:rFonts w:cstheme="minorHAnsi"/>
          <w:b/>
          <w:bCs/>
        </w:rPr>
        <w:t>H</w:t>
      </w:r>
      <w:r w:rsidR="00225109" w:rsidRPr="00E579D7">
        <w:rPr>
          <w:rStyle w:val="normaltextrun"/>
          <w:rFonts w:cstheme="minorHAnsi"/>
          <w:b/>
          <w:bCs/>
          <w:color w:val="000000"/>
          <w:shd w:val="clear" w:color="auto" w:fill="FFFFFF"/>
        </w:rPr>
        <w:t>ow is the </w:t>
      </w:r>
      <w:r w:rsidR="00225109" w:rsidRPr="00E579D7">
        <w:rPr>
          <w:rStyle w:val="contextualspellingandgrammarerror"/>
          <w:rFonts w:cstheme="minorHAnsi"/>
          <w:b/>
          <w:bCs/>
          <w:color w:val="000000"/>
          <w:shd w:val="clear" w:color="auto" w:fill="FFFFFF"/>
        </w:rPr>
        <w:t>dropout</w:t>
      </w:r>
      <w:r w:rsidR="00225109" w:rsidRPr="00E579D7">
        <w:rPr>
          <w:rStyle w:val="normaltextrun"/>
          <w:rFonts w:cstheme="minorHAnsi"/>
          <w:b/>
          <w:bCs/>
          <w:color w:val="000000"/>
          <w:shd w:val="clear" w:color="auto" w:fill="FFFFFF"/>
        </w:rPr>
        <w:t> rate calculated</w:t>
      </w:r>
      <w:r w:rsidR="00921214">
        <w:rPr>
          <w:rStyle w:val="normaltextrun"/>
          <w:rFonts w:cstheme="minorHAnsi"/>
          <w:b/>
          <w:bCs/>
          <w:color w:val="000000"/>
          <w:shd w:val="clear" w:color="auto" w:fill="FFFFFF"/>
        </w:rPr>
        <w:t xml:space="preserve"> for </w:t>
      </w:r>
      <w:r w:rsidR="00B36826">
        <w:rPr>
          <w:rStyle w:val="normaltextrun"/>
          <w:rFonts w:cstheme="minorHAnsi"/>
          <w:b/>
          <w:bCs/>
          <w:color w:val="000000"/>
          <w:shd w:val="clear" w:color="auto" w:fill="FFFFFF"/>
        </w:rPr>
        <w:t xml:space="preserve">LEA </w:t>
      </w:r>
      <w:r w:rsidR="000F3060">
        <w:rPr>
          <w:rFonts w:cstheme="minorHAnsi"/>
          <w:b/>
          <w:bCs/>
        </w:rPr>
        <w:t>determinations</w:t>
      </w:r>
      <w:r w:rsidR="00225109" w:rsidRPr="00E579D7">
        <w:rPr>
          <w:rStyle w:val="normaltextrun"/>
          <w:rFonts w:cstheme="minorHAnsi"/>
          <w:b/>
          <w:bCs/>
          <w:color w:val="000000"/>
          <w:shd w:val="clear" w:color="auto" w:fill="FFFFFF"/>
        </w:rPr>
        <w:t>? </w:t>
      </w:r>
    </w:p>
    <w:p w14:paraId="1A433786" w14:textId="524DFA2B" w:rsidR="00C201CA" w:rsidRDefault="001213A3" w:rsidP="00C81FE9">
      <w:pPr>
        <w:ind w:left="1440"/>
        <w:rPr>
          <w:rStyle w:val="eop"/>
          <w:rFonts w:cstheme="minorHAnsi"/>
          <w:color w:val="000000"/>
          <w:shd w:val="clear" w:color="auto" w:fill="FFFFFF"/>
        </w:rPr>
      </w:pPr>
      <w:r w:rsidRPr="00921214">
        <w:rPr>
          <w:rStyle w:val="eop"/>
          <w:rFonts w:cstheme="minorHAnsi"/>
          <w:color w:val="000000"/>
          <w:shd w:val="clear" w:color="auto" w:fill="FFFFFF"/>
        </w:rPr>
        <w:t xml:space="preserve">For </w:t>
      </w:r>
      <w:r w:rsidR="00904FB1">
        <w:rPr>
          <w:rStyle w:val="eop"/>
          <w:rFonts w:cstheme="minorHAnsi"/>
          <w:color w:val="000000"/>
          <w:shd w:val="clear" w:color="auto" w:fill="FFFFFF"/>
        </w:rPr>
        <w:t xml:space="preserve">LEA </w:t>
      </w:r>
      <w:r w:rsidR="000F3060" w:rsidRPr="00FD7434">
        <w:rPr>
          <w:rFonts w:cstheme="minorHAnsi"/>
        </w:rPr>
        <w:t>determinations</w:t>
      </w:r>
      <w:r w:rsidRPr="00921214">
        <w:rPr>
          <w:rStyle w:val="eop"/>
          <w:rFonts w:cstheme="minorHAnsi"/>
          <w:color w:val="000000"/>
          <w:shd w:val="clear" w:color="auto" w:fill="FFFFFF"/>
        </w:rPr>
        <w:t xml:space="preserve">, the Department calculates the dropout rate for students with disabilities </w:t>
      </w:r>
      <w:r w:rsidR="00921214" w:rsidRPr="00921214">
        <w:rPr>
          <w:rStyle w:val="eop"/>
          <w:rFonts w:cstheme="minorHAnsi"/>
          <w:color w:val="000000"/>
          <w:shd w:val="clear" w:color="auto" w:fill="FFFFFF"/>
        </w:rPr>
        <w:t xml:space="preserve">in the same way that the dropout rate is calculated for all students. </w:t>
      </w:r>
    </w:p>
    <w:p w14:paraId="5092B223" w14:textId="1F2F799C" w:rsidR="000B6E50" w:rsidRDefault="00000000" w:rsidP="00C81FE9">
      <w:pPr>
        <w:ind w:left="1440"/>
        <w:rPr>
          <w:rStyle w:val="eop"/>
          <w:rFonts w:cstheme="minorHAnsi"/>
          <w:color w:val="000000"/>
          <w:shd w:val="clear" w:color="auto" w:fill="FFFFFF"/>
        </w:rPr>
      </w:pPr>
      <w:hyperlink r:id="rId33" w:history="1">
        <w:r w:rsidR="00220829" w:rsidRPr="000C530C">
          <w:rPr>
            <w:rStyle w:val="Hyperlink"/>
            <w:shd w:val="clear" w:color="auto" w:fill="FFFFFF"/>
          </w:rPr>
          <w:t>Dropout rate</w:t>
        </w:r>
        <w:r w:rsidR="00891AA9" w:rsidRPr="000C530C">
          <w:rPr>
            <w:rStyle w:val="Hyperlink"/>
            <w:shd w:val="clear" w:color="auto" w:fill="FFFFFF"/>
          </w:rPr>
          <w:t xml:space="preserve"> calcula</w:t>
        </w:r>
        <w:r w:rsidR="00220829" w:rsidRPr="000C530C">
          <w:rPr>
            <w:rStyle w:val="Hyperlink"/>
            <w:shd w:val="clear" w:color="auto" w:fill="FFFFFF"/>
          </w:rPr>
          <w:t>tion</w:t>
        </w:r>
      </w:hyperlink>
      <w:r w:rsidR="000B6E50">
        <w:rPr>
          <w:rStyle w:val="eop"/>
          <w:color w:val="000000"/>
          <w:shd w:val="clear" w:color="auto" w:fill="FFFFFF"/>
        </w:rPr>
        <w:t>:</w:t>
      </w:r>
    </w:p>
    <w:tbl>
      <w:tblPr>
        <w:tblW w:w="8624" w:type="dxa"/>
        <w:tblInd w:w="1440" w:type="dxa"/>
        <w:tblCellMar>
          <w:left w:w="0" w:type="dxa"/>
          <w:right w:w="0" w:type="dxa"/>
        </w:tblCellMar>
        <w:tblLook w:val="04A0" w:firstRow="1" w:lastRow="0" w:firstColumn="1" w:lastColumn="0" w:noHBand="0" w:noVBand="1"/>
      </w:tblPr>
      <w:tblGrid>
        <w:gridCol w:w="8624"/>
      </w:tblGrid>
      <w:tr w:rsidR="000B6E50" w:rsidRPr="00E579D7" w14:paraId="50D94A40" w14:textId="77777777" w:rsidTr="007C3D69">
        <w:tc>
          <w:tcPr>
            <w:tcW w:w="8624" w:type="dxa"/>
            <w:shd w:val="clear" w:color="auto" w:fill="auto"/>
            <w:hideMark/>
          </w:tcPr>
          <w:p w14:paraId="4761DD3C" w14:textId="77777777" w:rsidR="000B6E50" w:rsidRPr="00E579D7" w:rsidRDefault="000B6E50">
            <w:pPr>
              <w:textAlignment w:val="baseline"/>
              <w:rPr>
                <w:rFonts w:eastAsia="Times New Roman" w:cstheme="minorHAnsi"/>
              </w:rPr>
            </w:pPr>
            <w:bookmarkStart w:id="9" w:name="_Hlk117852536"/>
            <w:r w:rsidRPr="00E579D7">
              <w:rPr>
                <w:rFonts w:eastAsia="Times New Roman" w:cstheme="minorHAnsi"/>
                <w:i/>
                <w:iCs/>
              </w:rPr>
              <w:lastRenderedPageBreak/>
              <w:t>Numerator:</w:t>
            </w:r>
            <w:r w:rsidRPr="00E579D7">
              <w:rPr>
                <w:rFonts w:eastAsia="Times New Roman" w:cstheme="minorHAnsi"/>
              </w:rPr>
              <w:t> </w:t>
            </w:r>
          </w:p>
          <w:p w14:paraId="107127D5" w14:textId="0BF72E51" w:rsidR="000B6E50" w:rsidRPr="00E579D7" w:rsidRDefault="000B6E50">
            <w:pPr>
              <w:jc w:val="center"/>
              <w:textAlignment w:val="baseline"/>
              <w:rPr>
                <w:rFonts w:eastAsia="Times New Roman" w:cstheme="minorHAnsi"/>
              </w:rPr>
            </w:pPr>
            <w:r w:rsidRPr="000B6E50">
              <w:rPr>
                <w:rFonts w:eastAsia="Times New Roman" w:cstheme="minorHAnsi"/>
                <w:i/>
                <w:iCs/>
              </w:rPr>
              <w:t>(Summer Dropouts + School Year Dropouts) - Returned Dropouts]</w:t>
            </w:r>
            <w:r w:rsidRPr="00E579D7">
              <w:rPr>
                <w:rFonts w:eastAsia="Times New Roman" w:cstheme="minorHAnsi"/>
              </w:rPr>
              <w:br/>
            </w:r>
            <w:r w:rsidRPr="00E579D7">
              <w:rPr>
                <w:rFonts w:eastAsia="Times New Roman" w:cstheme="minorHAnsi"/>
                <w:i/>
                <w:iCs/>
              </w:rPr>
              <w:t>____________________________________________________________</w:t>
            </w:r>
            <w:r w:rsidRPr="00E579D7">
              <w:rPr>
                <w:rFonts w:eastAsia="Times New Roman" w:cstheme="minorHAnsi"/>
              </w:rPr>
              <w:t> </w:t>
            </w:r>
          </w:p>
          <w:p w14:paraId="6011D278" w14:textId="77777777" w:rsidR="000B6E50" w:rsidRPr="00E579D7" w:rsidRDefault="000B6E50">
            <w:pPr>
              <w:textAlignment w:val="baseline"/>
              <w:rPr>
                <w:rFonts w:eastAsia="Times New Roman" w:cstheme="minorHAnsi"/>
              </w:rPr>
            </w:pPr>
            <w:r w:rsidRPr="00E579D7">
              <w:rPr>
                <w:rFonts w:eastAsia="Times New Roman" w:cstheme="minorHAnsi"/>
                <w:i/>
                <w:iCs/>
              </w:rPr>
              <w:t>Denominator:</w:t>
            </w:r>
            <w:r w:rsidRPr="00E579D7">
              <w:rPr>
                <w:rFonts w:eastAsia="Times New Roman" w:cstheme="minorHAnsi"/>
              </w:rPr>
              <w:t> </w:t>
            </w:r>
          </w:p>
          <w:p w14:paraId="26C4395C" w14:textId="297403FA" w:rsidR="000B6E50" w:rsidRPr="00E579D7" w:rsidRDefault="00FB0630">
            <w:pPr>
              <w:jc w:val="center"/>
              <w:textAlignment w:val="baseline"/>
              <w:rPr>
                <w:rFonts w:eastAsia="Times New Roman" w:cstheme="minorHAnsi"/>
              </w:rPr>
            </w:pPr>
            <w:r>
              <w:rPr>
                <w:rFonts w:eastAsia="Times New Roman" w:cstheme="minorHAnsi"/>
                <w:i/>
                <w:iCs/>
              </w:rPr>
              <w:t xml:space="preserve">October 1 </w:t>
            </w:r>
            <w:r w:rsidR="000B6E50" w:rsidRPr="000B6E50">
              <w:rPr>
                <w:rFonts w:eastAsia="Times New Roman" w:cstheme="minorHAnsi"/>
                <w:i/>
                <w:iCs/>
              </w:rPr>
              <w:t>High School Enrollment</w:t>
            </w:r>
          </w:p>
        </w:tc>
      </w:tr>
    </w:tbl>
    <w:bookmarkEnd w:id="9"/>
    <w:p w14:paraId="3E2AEF79" w14:textId="01D6664B" w:rsidR="00921214" w:rsidRDefault="00354D53" w:rsidP="03C077EC">
      <w:pPr>
        <w:ind w:left="1440"/>
        <w:rPr>
          <w:rFonts w:eastAsia="Times New Roman"/>
        </w:rPr>
      </w:pPr>
      <w:r w:rsidRPr="03C077EC">
        <w:rPr>
          <w:rStyle w:val="eop"/>
          <w:color w:val="000000"/>
          <w:shd w:val="clear" w:color="auto" w:fill="FFFFFF"/>
        </w:rPr>
        <w:t>For example, t</w:t>
      </w:r>
      <w:r w:rsidR="00FD7C61" w:rsidRPr="03C077EC">
        <w:rPr>
          <w:rFonts w:eastAsia="Times New Roman"/>
          <w:color w:val="000000"/>
          <w:shd w:val="clear" w:color="auto" w:fill="FFFFFF"/>
        </w:rPr>
        <w:t>he 202</w:t>
      </w:r>
      <w:r w:rsidR="73F97655" w:rsidRPr="03C077EC">
        <w:rPr>
          <w:rFonts w:eastAsia="Times New Roman"/>
          <w:color w:val="000000"/>
          <w:shd w:val="clear" w:color="auto" w:fill="FFFFFF"/>
        </w:rPr>
        <w:t>2</w:t>
      </w:r>
      <w:r w:rsidR="00FD7C61" w:rsidRPr="03C077EC">
        <w:rPr>
          <w:rFonts w:eastAsia="Times New Roman"/>
          <w:color w:val="000000"/>
          <w:shd w:val="clear" w:color="auto" w:fill="FFFFFF"/>
        </w:rPr>
        <w:t xml:space="preserve"> annual dropout rate is </w:t>
      </w:r>
      <w:r w:rsidR="00FD7C61" w:rsidRPr="03C077EC">
        <w:rPr>
          <w:rFonts w:eastAsia="Times New Roman"/>
        </w:rPr>
        <w:t>the percentage of students in grades 9-12 who dropped out of school between July 1, </w:t>
      </w:r>
      <w:r w:rsidR="00927BB7" w:rsidRPr="03C077EC">
        <w:rPr>
          <w:rFonts w:eastAsia="Times New Roman"/>
        </w:rPr>
        <w:t>202</w:t>
      </w:r>
      <w:r w:rsidR="5F4D40D0" w:rsidRPr="03C077EC">
        <w:rPr>
          <w:rFonts w:eastAsia="Times New Roman"/>
        </w:rPr>
        <w:t>1</w:t>
      </w:r>
      <w:r w:rsidR="00927BB7" w:rsidRPr="03C077EC">
        <w:rPr>
          <w:rFonts w:eastAsia="Times New Roman"/>
        </w:rPr>
        <w:t>,</w:t>
      </w:r>
      <w:r w:rsidR="00FD7C61" w:rsidRPr="03C077EC">
        <w:rPr>
          <w:rFonts w:eastAsia="Times New Roman"/>
        </w:rPr>
        <w:t> and June 30, </w:t>
      </w:r>
      <w:r w:rsidR="00927BB7" w:rsidRPr="03C077EC">
        <w:rPr>
          <w:rFonts w:eastAsia="Times New Roman"/>
        </w:rPr>
        <w:t>202</w:t>
      </w:r>
      <w:r w:rsidR="107B4907" w:rsidRPr="03C077EC">
        <w:rPr>
          <w:rFonts w:eastAsia="Times New Roman"/>
        </w:rPr>
        <w:t>2</w:t>
      </w:r>
      <w:r w:rsidR="00927BB7" w:rsidRPr="03C077EC">
        <w:rPr>
          <w:rFonts w:eastAsia="Times New Roman"/>
        </w:rPr>
        <w:t>,</w:t>
      </w:r>
      <w:r w:rsidR="00FD7C61" w:rsidRPr="03C077EC">
        <w:rPr>
          <w:rFonts w:eastAsia="Times New Roman"/>
        </w:rPr>
        <w:t> and who did not return to school by October 1, 202</w:t>
      </w:r>
      <w:r w:rsidR="799A3E51" w:rsidRPr="03C077EC">
        <w:rPr>
          <w:rFonts w:eastAsia="Times New Roman"/>
        </w:rPr>
        <w:t>2</w:t>
      </w:r>
      <w:r w:rsidR="00FD7C61" w:rsidRPr="03C077EC">
        <w:rPr>
          <w:rFonts w:eastAsia="Times New Roman"/>
        </w:rPr>
        <w:t>. </w:t>
      </w:r>
    </w:p>
    <w:p w14:paraId="2F3F1AFC" w14:textId="3CD967A4" w:rsidR="00ED05AE" w:rsidRPr="00ED05AE" w:rsidRDefault="00ED05AE" w:rsidP="00C81FE9">
      <w:pPr>
        <w:ind w:left="720"/>
        <w:rPr>
          <w:rFonts w:cstheme="minorHAnsi"/>
          <w:b/>
          <w:bCs/>
        </w:rPr>
      </w:pPr>
      <w:r w:rsidRPr="00ED05AE">
        <w:rPr>
          <w:rFonts w:cstheme="minorHAnsi"/>
          <w:b/>
          <w:bCs/>
        </w:rPr>
        <w:t>Why did the Department use this calculation instead of SPP/APR Indicator 2 for the dropout rate?</w:t>
      </w:r>
    </w:p>
    <w:p w14:paraId="3A4975F5" w14:textId="29DE81D0" w:rsidR="00ED05AE" w:rsidRPr="00EA1722" w:rsidRDefault="00ED05AE" w:rsidP="00C81FE9">
      <w:pPr>
        <w:ind w:left="1440"/>
        <w:rPr>
          <w:rFonts w:cstheme="minorHAnsi"/>
        </w:rPr>
      </w:pPr>
      <w:r w:rsidRPr="00EA1722">
        <w:rPr>
          <w:rFonts w:cstheme="minorHAnsi"/>
        </w:rPr>
        <w:t xml:space="preserve">The Department used this calculation to </w:t>
      </w:r>
      <w:r w:rsidR="00EA1722" w:rsidRPr="00EA1722">
        <w:rPr>
          <w:rFonts w:cstheme="minorHAnsi"/>
        </w:rPr>
        <w:t xml:space="preserve">support </w:t>
      </w:r>
      <w:r w:rsidRPr="00EA1722">
        <w:rPr>
          <w:rFonts w:cstheme="minorHAnsi"/>
        </w:rPr>
        <w:t>stakeholder</w:t>
      </w:r>
      <w:r w:rsidR="00EA1722">
        <w:rPr>
          <w:rFonts w:cstheme="minorHAnsi"/>
        </w:rPr>
        <w:t>s’</w:t>
      </w:r>
      <w:r w:rsidRPr="00EA1722">
        <w:rPr>
          <w:rFonts w:cstheme="minorHAnsi"/>
        </w:rPr>
        <w:t xml:space="preserve"> </w:t>
      </w:r>
      <w:r w:rsidR="00EA1722">
        <w:rPr>
          <w:rFonts w:cstheme="minorHAnsi"/>
        </w:rPr>
        <w:t xml:space="preserve">ability to </w:t>
      </w:r>
      <w:r w:rsidR="00EA1722" w:rsidRPr="00EA1722">
        <w:rPr>
          <w:rFonts w:cstheme="minorHAnsi"/>
        </w:rPr>
        <w:t>compar</w:t>
      </w:r>
      <w:r w:rsidR="00EA1722">
        <w:rPr>
          <w:rFonts w:cstheme="minorHAnsi"/>
        </w:rPr>
        <w:t xml:space="preserve">e </w:t>
      </w:r>
      <w:r w:rsidR="0015101D">
        <w:rPr>
          <w:rFonts w:cstheme="minorHAnsi"/>
        </w:rPr>
        <w:t>this rate</w:t>
      </w:r>
      <w:r w:rsidR="00EA1722">
        <w:rPr>
          <w:rFonts w:cstheme="minorHAnsi"/>
        </w:rPr>
        <w:t xml:space="preserve"> </w:t>
      </w:r>
      <w:r w:rsidR="00EA1722" w:rsidRPr="00EA1722">
        <w:rPr>
          <w:rFonts w:cstheme="minorHAnsi"/>
        </w:rPr>
        <w:t xml:space="preserve">to the </w:t>
      </w:r>
      <w:proofErr w:type="gramStart"/>
      <w:r w:rsidR="00EA1722" w:rsidRPr="00EA1722">
        <w:rPr>
          <w:rFonts w:cstheme="minorHAnsi"/>
        </w:rPr>
        <w:t>all</w:t>
      </w:r>
      <w:r w:rsidR="00007E1A">
        <w:rPr>
          <w:rFonts w:cstheme="minorHAnsi"/>
        </w:rPr>
        <w:t xml:space="preserve"> </w:t>
      </w:r>
      <w:r w:rsidR="00EA1722" w:rsidRPr="00EA1722">
        <w:rPr>
          <w:rFonts w:cstheme="minorHAnsi"/>
        </w:rPr>
        <w:t>student</w:t>
      </w:r>
      <w:proofErr w:type="gramEnd"/>
      <w:r w:rsidR="00EA1722" w:rsidRPr="00EA1722">
        <w:rPr>
          <w:rFonts w:cstheme="minorHAnsi"/>
        </w:rPr>
        <w:t xml:space="preserve"> rate</w:t>
      </w:r>
      <w:r w:rsidR="00EA1722">
        <w:rPr>
          <w:rFonts w:cstheme="minorHAnsi"/>
        </w:rPr>
        <w:t xml:space="preserve"> for the state and by </w:t>
      </w:r>
      <w:r w:rsidR="00AD188F">
        <w:rPr>
          <w:rFonts w:cstheme="minorHAnsi"/>
        </w:rPr>
        <w:t>district</w:t>
      </w:r>
      <w:r w:rsidR="00EA1722" w:rsidRPr="00EA1722">
        <w:rPr>
          <w:rFonts w:cstheme="minorHAnsi"/>
        </w:rPr>
        <w:t>.</w:t>
      </w:r>
    </w:p>
    <w:p w14:paraId="1A615103" w14:textId="6665ACBA" w:rsidR="00354D53" w:rsidRPr="00ED05AE" w:rsidRDefault="00ED05AE" w:rsidP="00C81FE9">
      <w:pPr>
        <w:ind w:left="720"/>
        <w:rPr>
          <w:rFonts w:cstheme="minorHAnsi"/>
          <w:color w:val="000000"/>
          <w:shd w:val="clear" w:color="auto" w:fill="FFFFFF"/>
        </w:rPr>
      </w:pPr>
      <w:r>
        <w:rPr>
          <w:rFonts w:cstheme="minorHAnsi"/>
          <w:b/>
          <w:bCs/>
        </w:rPr>
        <w:t xml:space="preserve">Where is my </w:t>
      </w:r>
      <w:r w:rsidR="00D10B05">
        <w:rPr>
          <w:rFonts w:cstheme="minorHAnsi"/>
          <w:b/>
          <w:bCs/>
        </w:rPr>
        <w:t>district</w:t>
      </w:r>
      <w:r>
        <w:rPr>
          <w:rFonts w:cstheme="minorHAnsi"/>
          <w:b/>
          <w:bCs/>
        </w:rPr>
        <w:t xml:space="preserve">’s </w:t>
      </w:r>
      <w:r w:rsidR="00354D53" w:rsidRPr="00E579D7">
        <w:rPr>
          <w:rStyle w:val="contextualspellingandgrammarerror"/>
          <w:rFonts w:cstheme="minorHAnsi"/>
          <w:b/>
          <w:bCs/>
          <w:color w:val="000000"/>
          <w:shd w:val="clear" w:color="auto" w:fill="FFFFFF"/>
        </w:rPr>
        <w:t>dropout</w:t>
      </w:r>
      <w:r>
        <w:rPr>
          <w:rStyle w:val="contextualspellingandgrammarerror"/>
          <w:rFonts w:cstheme="minorHAnsi"/>
          <w:b/>
          <w:bCs/>
          <w:color w:val="000000"/>
          <w:shd w:val="clear" w:color="auto" w:fill="FFFFFF"/>
        </w:rPr>
        <w:t xml:space="preserve"> data publicly reported?</w:t>
      </w:r>
      <w:r w:rsidR="00354D53" w:rsidRPr="00E579D7">
        <w:rPr>
          <w:rStyle w:val="normaltextrun"/>
          <w:rFonts w:cstheme="minorHAnsi"/>
          <w:b/>
          <w:bCs/>
          <w:color w:val="000000"/>
          <w:shd w:val="clear" w:color="auto" w:fill="FFFFFF"/>
        </w:rPr>
        <w:t> </w:t>
      </w:r>
    </w:p>
    <w:p w14:paraId="3B40D620" w14:textId="5CCE9E26" w:rsidR="00FD7C61" w:rsidRPr="00EA1722" w:rsidRDefault="00000000" w:rsidP="4F7297A9">
      <w:pPr>
        <w:spacing w:before="240"/>
        <w:ind w:left="1440"/>
        <w:contextualSpacing/>
        <w:rPr>
          <w:rFonts w:eastAsiaTheme="minorEastAsia"/>
        </w:rPr>
      </w:pPr>
      <w:hyperlink r:id="rId34">
        <w:r w:rsidR="00FD7C61" w:rsidRPr="4F7297A9">
          <w:rPr>
            <w:rStyle w:val="Hyperlink"/>
            <w:rFonts w:eastAsia="Calibri Light"/>
          </w:rPr>
          <w:t>202</w:t>
        </w:r>
        <w:r w:rsidR="00146D2F">
          <w:rPr>
            <w:rStyle w:val="Hyperlink"/>
            <w:rFonts w:eastAsia="Calibri Light"/>
          </w:rPr>
          <w:t>2</w:t>
        </w:r>
        <w:r w:rsidR="00FD7C61" w:rsidRPr="4F7297A9">
          <w:rPr>
            <w:rStyle w:val="Hyperlink"/>
            <w:rFonts w:eastAsia="Calibri Light"/>
          </w:rPr>
          <w:t xml:space="preserve"> Dropout Rate</w:t>
        </w:r>
      </w:hyperlink>
      <w:r w:rsidR="00FD7C61" w:rsidRPr="4F7297A9">
        <w:rPr>
          <w:rFonts w:eastAsia="Calibri Light"/>
        </w:rPr>
        <w:t xml:space="preserve">: </w:t>
      </w:r>
      <w:r w:rsidR="00EA1722" w:rsidRPr="4F7297A9">
        <w:rPr>
          <w:rFonts w:eastAsia="Calibri Light"/>
        </w:rPr>
        <w:t>U</w:t>
      </w:r>
      <w:r w:rsidR="00FD7C61" w:rsidRPr="4F7297A9">
        <w:rPr>
          <w:rFonts w:eastAsia="Calibri Light"/>
        </w:rPr>
        <w:t xml:space="preserve">se </w:t>
      </w:r>
      <w:r w:rsidR="00EA1722" w:rsidRPr="4F7297A9">
        <w:rPr>
          <w:rFonts w:eastAsia="Calibri Light"/>
        </w:rPr>
        <w:t xml:space="preserve">the </w:t>
      </w:r>
      <w:r w:rsidR="00FD7C61" w:rsidRPr="4F7297A9">
        <w:rPr>
          <w:rFonts w:eastAsia="Calibri Light"/>
        </w:rPr>
        <w:t>dropdown lists to filter on year</w:t>
      </w:r>
      <w:r w:rsidR="00EA1722" w:rsidRPr="4F7297A9">
        <w:rPr>
          <w:rFonts w:eastAsia="Calibri Light"/>
        </w:rPr>
        <w:t xml:space="preserve">, rate type, and </w:t>
      </w:r>
      <w:r w:rsidR="00FD7C61" w:rsidRPr="4F7297A9">
        <w:rPr>
          <w:rFonts w:eastAsia="Calibri Light"/>
        </w:rPr>
        <w:t>group</w:t>
      </w:r>
      <w:r w:rsidR="00EA1722" w:rsidRPr="4F7297A9">
        <w:rPr>
          <w:rFonts w:eastAsia="Calibri Light"/>
        </w:rPr>
        <w:t>.</w:t>
      </w:r>
      <w:r w:rsidR="00EA1722" w:rsidRPr="4F7297A9">
        <w:rPr>
          <w:rFonts w:eastAsiaTheme="minorEastAsia"/>
        </w:rPr>
        <w:t xml:space="preserve"> </w:t>
      </w:r>
    </w:p>
    <w:p w14:paraId="5C158BAE" w14:textId="55247649" w:rsidR="00CB1A6A" w:rsidRPr="00E579D7" w:rsidRDefault="00CB1A6A" w:rsidP="00C81FE9">
      <w:pPr>
        <w:spacing w:before="240"/>
        <w:ind w:left="720"/>
        <w:rPr>
          <w:rFonts w:cstheme="minorHAnsi"/>
          <w:b/>
          <w:bCs/>
        </w:rPr>
      </w:pPr>
      <w:r w:rsidRPr="00E579D7">
        <w:rPr>
          <w:rFonts w:cstheme="minorHAnsi"/>
          <w:b/>
          <w:bCs/>
        </w:rPr>
        <w:t xml:space="preserve">For dropout rates, which data do we use to reconstruct and analyze the data so that we can address these concerns? </w:t>
      </w:r>
    </w:p>
    <w:p w14:paraId="419C727E" w14:textId="7120FBCC" w:rsidR="00CB1A6A" w:rsidRPr="00E579D7" w:rsidRDefault="00CB1A6A" w:rsidP="00C81FE9">
      <w:pPr>
        <w:ind w:left="1440"/>
      </w:pPr>
      <w:r w:rsidRPr="541C7364">
        <w:t xml:space="preserve">The </w:t>
      </w:r>
      <w:hyperlink r:id="rId35">
        <w:r w:rsidRPr="541C7364">
          <w:rPr>
            <w:rStyle w:val="Hyperlink"/>
          </w:rPr>
          <w:t>Security Portal</w:t>
        </w:r>
      </w:hyperlink>
      <w:r w:rsidRPr="541C7364">
        <w:t xml:space="preserve"> has graduation and dropout reports, which you can access with the right permissions. </w:t>
      </w:r>
      <w:r w:rsidR="004A329E" w:rsidRPr="541C7364">
        <w:t xml:space="preserve">(See screenshot below) </w:t>
      </w:r>
      <w:r w:rsidRPr="541C7364">
        <w:t xml:space="preserve">If you do not have access to the report shown in the screenshot below, contact your </w:t>
      </w:r>
      <w:r w:rsidR="1F41E51E" w:rsidRPr="541C7364">
        <w:t>district’s</w:t>
      </w:r>
      <w:r w:rsidRPr="541C7364">
        <w:t xml:space="preserve"> </w:t>
      </w:r>
      <w:hyperlink r:id="rId36" w:history="1">
        <w:r w:rsidR="00314B09" w:rsidRPr="00936537">
          <w:rPr>
            <w:rStyle w:val="Hyperlink"/>
          </w:rPr>
          <w:t>directory administrator</w:t>
        </w:r>
      </w:hyperlink>
      <w:r w:rsidRPr="007552C4">
        <w:t>.</w:t>
      </w:r>
    </w:p>
    <w:p w14:paraId="29E13546" w14:textId="771A33A9" w:rsidR="00CB1A6A" w:rsidRPr="00E579D7" w:rsidRDefault="007B21B1" w:rsidP="00C81FE9">
      <w:pPr>
        <w:ind w:left="1440"/>
        <w:rPr>
          <w:rFonts w:cstheme="minorHAnsi"/>
        </w:rPr>
      </w:pPr>
      <w:r>
        <w:rPr>
          <w:rFonts w:cstheme="minorHAnsi"/>
          <w:noProof/>
          <w:color w:val="2B579A"/>
          <w:shd w:val="clear" w:color="auto" w:fill="E6E6E6"/>
        </w:rPr>
        <w:drawing>
          <wp:inline distT="0" distB="0" distL="0" distR="0" wp14:anchorId="23C60B0A" wp14:editId="1340128B">
            <wp:extent cx="5781675" cy="1752600"/>
            <wp:effectExtent l="19050" t="19050" r="28575" b="19050"/>
            <wp:docPr id="3" name="Picture 3" descr="Image of security portal user interface: District Reports, dropout rate, select a school, district and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mage of security portal user interface: District Reports, dropout rate, select a school, district and yea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81675" cy="1752600"/>
                    </a:xfrm>
                    <a:prstGeom prst="rect">
                      <a:avLst/>
                    </a:prstGeom>
                    <a:noFill/>
                    <a:ln>
                      <a:solidFill>
                        <a:schemeClr val="accent1"/>
                      </a:solidFill>
                    </a:ln>
                  </pic:spPr>
                </pic:pic>
              </a:graphicData>
            </a:graphic>
          </wp:inline>
        </w:drawing>
      </w:r>
    </w:p>
    <w:p w14:paraId="614550E1" w14:textId="584283AC" w:rsidR="00921214" w:rsidRPr="00354D53" w:rsidRDefault="00921214" w:rsidP="00C81FE9">
      <w:pPr>
        <w:spacing w:before="240"/>
        <w:ind w:left="720"/>
        <w:rPr>
          <w:rFonts w:cstheme="minorHAnsi"/>
          <w:b/>
          <w:bCs/>
        </w:rPr>
      </w:pPr>
      <w:r w:rsidRPr="00354D53">
        <w:rPr>
          <w:rFonts w:cstheme="minorHAnsi"/>
          <w:b/>
          <w:bCs/>
        </w:rPr>
        <w:t xml:space="preserve">How can I get a list of the students identified </w:t>
      </w:r>
      <w:r w:rsidR="00354D53">
        <w:rPr>
          <w:rFonts w:cstheme="minorHAnsi"/>
          <w:b/>
          <w:bCs/>
        </w:rPr>
        <w:t xml:space="preserve">in the dropout </w:t>
      </w:r>
      <w:r w:rsidRPr="00354D53">
        <w:rPr>
          <w:rFonts w:cstheme="minorHAnsi"/>
          <w:b/>
          <w:bCs/>
        </w:rPr>
        <w:t>categor</w:t>
      </w:r>
      <w:r w:rsidR="00354D53">
        <w:rPr>
          <w:rFonts w:cstheme="minorHAnsi"/>
          <w:b/>
          <w:bCs/>
        </w:rPr>
        <w:t>y</w:t>
      </w:r>
      <w:r w:rsidRPr="00354D53">
        <w:rPr>
          <w:rFonts w:cstheme="minorHAnsi"/>
          <w:b/>
          <w:bCs/>
        </w:rPr>
        <w:t xml:space="preserve">? </w:t>
      </w:r>
    </w:p>
    <w:p w14:paraId="689DD315" w14:textId="5F9D0790" w:rsidR="00DE2660" w:rsidRPr="00E579D7" w:rsidRDefault="5E91E7C4" w:rsidP="00DE2660">
      <w:pPr>
        <w:pStyle w:val="paragraph"/>
        <w:spacing w:before="0" w:beforeAutospacing="0" w:after="240" w:afterAutospacing="0"/>
        <w:ind w:left="1440"/>
        <w:textAlignment w:val="baseline"/>
        <w:rPr>
          <w:rFonts w:asciiTheme="minorHAnsi" w:hAnsiTheme="minorHAnsi" w:cstheme="minorBidi"/>
          <w:sz w:val="22"/>
          <w:szCs w:val="22"/>
        </w:rPr>
      </w:pPr>
      <w:r w:rsidRPr="541C7364">
        <w:rPr>
          <w:rStyle w:val="normaltextrun"/>
          <w:rFonts w:asciiTheme="minorHAnsi" w:hAnsiTheme="minorHAnsi" w:cstheme="minorBidi"/>
          <w:sz w:val="22"/>
          <w:szCs w:val="22"/>
        </w:rPr>
        <w:t xml:space="preserve">This information is available in a Security Portal application. </w:t>
      </w:r>
      <w:r w:rsidR="00DE2660" w:rsidRPr="541C7364">
        <w:rPr>
          <w:rStyle w:val="normaltextrun"/>
          <w:rFonts w:asciiTheme="minorHAnsi" w:hAnsiTheme="minorHAnsi" w:cstheme="minorBidi"/>
          <w:sz w:val="22"/>
          <w:szCs w:val="22"/>
        </w:rPr>
        <w:t xml:space="preserve">Contact your </w:t>
      </w:r>
      <w:r w:rsidR="1FB1BD35" w:rsidRPr="541C7364">
        <w:rPr>
          <w:rStyle w:val="normaltextrun"/>
          <w:rFonts w:asciiTheme="minorHAnsi" w:hAnsiTheme="minorHAnsi" w:cstheme="minorBidi"/>
          <w:sz w:val="22"/>
          <w:szCs w:val="22"/>
        </w:rPr>
        <w:t>district’</w:t>
      </w:r>
      <w:r w:rsidR="001436C2">
        <w:rPr>
          <w:rStyle w:val="normaltextrun"/>
          <w:rFonts w:asciiTheme="minorHAnsi" w:hAnsiTheme="minorHAnsi" w:cstheme="minorBidi"/>
          <w:sz w:val="22"/>
          <w:szCs w:val="22"/>
        </w:rPr>
        <w:t xml:space="preserve">s </w:t>
      </w:r>
      <w:hyperlink r:id="rId38" w:history="1">
        <w:r w:rsidR="00314B09" w:rsidRPr="007552C4">
          <w:rPr>
            <w:rStyle w:val="Hyperlink"/>
            <w:rFonts w:asciiTheme="minorHAnsi" w:hAnsiTheme="minorHAnsi" w:cstheme="minorBidi"/>
            <w:sz w:val="22"/>
            <w:szCs w:val="22"/>
          </w:rPr>
          <w:t>directory administrator</w:t>
        </w:r>
      </w:hyperlink>
      <w:r w:rsidR="00DE2660" w:rsidRPr="007552C4">
        <w:rPr>
          <w:rFonts w:asciiTheme="minorHAnsi" w:hAnsiTheme="minorHAnsi" w:cstheme="minorBidi"/>
          <w:sz w:val="22"/>
          <w:szCs w:val="22"/>
        </w:rPr>
        <w:t>.</w:t>
      </w:r>
    </w:p>
    <w:p w14:paraId="41636078" w14:textId="566A6997" w:rsidR="00FD7C61" w:rsidRPr="00FB0630" w:rsidRDefault="00C201CA" w:rsidP="00C81FE9">
      <w:pPr>
        <w:ind w:left="720"/>
        <w:rPr>
          <w:rFonts w:eastAsia="Times New Roman" w:cstheme="minorHAnsi"/>
          <w:b/>
          <w:bCs/>
        </w:rPr>
      </w:pPr>
      <w:r w:rsidRPr="00FB0630">
        <w:rPr>
          <w:rFonts w:eastAsia="Times New Roman" w:cstheme="minorHAnsi"/>
          <w:b/>
          <w:bCs/>
        </w:rPr>
        <w:t>What resources are available to help me better understand this data?</w:t>
      </w:r>
    </w:p>
    <w:p w14:paraId="4DFB9CD0" w14:textId="5F62DD06" w:rsidR="00FD7C61" w:rsidRPr="00917077" w:rsidRDefault="00000000" w:rsidP="00201ABB">
      <w:pPr>
        <w:pStyle w:val="ListParagraph"/>
        <w:numPr>
          <w:ilvl w:val="0"/>
          <w:numId w:val="3"/>
        </w:numPr>
        <w:snapToGrid/>
        <w:ind w:left="1800"/>
        <w:contextualSpacing/>
        <w:rPr>
          <w:rFonts w:asciiTheme="minorHAnsi" w:eastAsiaTheme="minorEastAsia" w:hAnsiTheme="minorHAnsi" w:cstheme="minorHAnsi"/>
          <w:sz w:val="22"/>
          <w:szCs w:val="22"/>
        </w:rPr>
      </w:pPr>
      <w:hyperlink r:id="rId39" w:history="1">
        <w:r w:rsidR="00917077" w:rsidRPr="00B67F51">
          <w:rPr>
            <w:rStyle w:val="Hyperlink"/>
            <w:rFonts w:asciiTheme="minorHAnsi" w:eastAsia="Calibri" w:hAnsiTheme="minorHAnsi" w:cstheme="minorHAnsi"/>
            <w:sz w:val="22"/>
            <w:szCs w:val="22"/>
          </w:rPr>
          <w:t>DESE Attendance and Dropout Reporting Guidance</w:t>
        </w:r>
      </w:hyperlink>
      <w:r w:rsidR="00917077" w:rsidRPr="00917077">
        <w:rPr>
          <w:rFonts w:asciiTheme="minorHAnsi" w:eastAsia="Calibri" w:hAnsiTheme="minorHAnsi" w:cstheme="minorHAnsi"/>
          <w:sz w:val="22"/>
          <w:szCs w:val="22"/>
        </w:rPr>
        <w:t xml:space="preserve"> </w:t>
      </w:r>
    </w:p>
    <w:p w14:paraId="6FACA5A9" w14:textId="59AFE384" w:rsidR="00917077" w:rsidRPr="00917077" w:rsidRDefault="00000000" w:rsidP="00201ABB">
      <w:pPr>
        <w:pStyle w:val="ListParagraph"/>
        <w:numPr>
          <w:ilvl w:val="0"/>
          <w:numId w:val="3"/>
        </w:numPr>
        <w:ind w:left="1800"/>
        <w:contextualSpacing/>
        <w:rPr>
          <w:rStyle w:val="Hyperlink"/>
          <w:rFonts w:asciiTheme="minorHAnsi" w:hAnsiTheme="minorHAnsi" w:cstheme="minorHAnsi"/>
          <w:color w:val="auto"/>
          <w:sz w:val="22"/>
          <w:szCs w:val="22"/>
          <w:u w:val="none"/>
        </w:rPr>
      </w:pPr>
      <w:hyperlink r:id="rId40" w:history="1">
        <w:r w:rsidR="00917077" w:rsidRPr="00B67F51">
          <w:rPr>
            <w:rStyle w:val="Hyperlink"/>
            <w:rFonts w:asciiTheme="minorHAnsi" w:hAnsiTheme="minorHAnsi" w:cstheme="minorHAnsi"/>
            <w:sz w:val="22"/>
            <w:szCs w:val="22"/>
          </w:rPr>
          <w:t>Understanding Dropout Calculations</w:t>
        </w:r>
      </w:hyperlink>
      <w:r w:rsidR="00917077" w:rsidRPr="00917077">
        <w:rPr>
          <w:rFonts w:asciiTheme="minorHAnsi" w:hAnsiTheme="minorHAnsi" w:cstheme="minorHAnsi"/>
          <w:sz w:val="22"/>
          <w:szCs w:val="22"/>
        </w:rPr>
        <w:t xml:space="preserve"> </w:t>
      </w:r>
    </w:p>
    <w:p w14:paraId="6B8E1CC1" w14:textId="67AE8643" w:rsidR="00367F23" w:rsidRPr="003D06AC" w:rsidRDefault="00217B46" w:rsidP="00201ABB">
      <w:pPr>
        <w:pStyle w:val="ListParagraph"/>
        <w:numPr>
          <w:ilvl w:val="0"/>
          <w:numId w:val="3"/>
        </w:numPr>
        <w:spacing w:after="240"/>
        <w:ind w:left="1800"/>
        <w:contextualSpacing/>
        <w:rPr>
          <w:rStyle w:val="eop"/>
          <w:rFonts w:asciiTheme="minorHAnsi" w:hAnsiTheme="minorHAnsi" w:cstheme="minorHAnsi"/>
          <w:sz w:val="22"/>
          <w:szCs w:val="22"/>
        </w:rPr>
      </w:pPr>
      <w:bookmarkStart w:id="10" w:name="_Annual_Dropout_Rate"/>
      <w:bookmarkEnd w:id="10"/>
      <w:r>
        <w:rPr>
          <w:rFonts w:asciiTheme="minorHAnsi" w:hAnsiTheme="minorHAnsi" w:cstheme="minorHAnsi"/>
          <w:sz w:val="22"/>
          <w:szCs w:val="22"/>
        </w:rPr>
        <w:t>Con</w:t>
      </w:r>
      <w:r w:rsidR="001F478E">
        <w:rPr>
          <w:rFonts w:asciiTheme="minorHAnsi" w:hAnsiTheme="minorHAnsi" w:cstheme="minorHAnsi"/>
          <w:sz w:val="22"/>
          <w:szCs w:val="22"/>
        </w:rPr>
        <w:t xml:space="preserve">tact </w:t>
      </w:r>
      <w:hyperlink r:id="rId41" w:history="1">
        <w:r w:rsidR="00917077" w:rsidRPr="001F478E">
          <w:rPr>
            <w:rStyle w:val="Hyperlink"/>
            <w:rFonts w:asciiTheme="minorHAnsi" w:hAnsiTheme="minorHAnsi" w:cstheme="minorHAnsi"/>
            <w:sz w:val="22"/>
            <w:szCs w:val="22"/>
          </w:rPr>
          <w:t>Education Data Services</w:t>
        </w:r>
      </w:hyperlink>
      <w:r w:rsidR="00917077">
        <w:rPr>
          <w:rFonts w:asciiTheme="minorHAnsi" w:hAnsiTheme="minorHAnsi" w:cstheme="minorHAnsi"/>
          <w:sz w:val="22"/>
          <w:szCs w:val="22"/>
        </w:rPr>
        <w:t xml:space="preserve"> </w:t>
      </w:r>
    </w:p>
    <w:p w14:paraId="74BD8A6D" w14:textId="48E746A6" w:rsidR="007E08CA" w:rsidRPr="00F47A5E" w:rsidRDefault="00F86FA4" w:rsidP="007E08CA">
      <w:pPr>
        <w:pStyle w:val="Heading2"/>
        <w:rPr>
          <w:rStyle w:val="eop"/>
          <w:b/>
          <w:bCs/>
        </w:rPr>
      </w:pPr>
      <w:bookmarkStart w:id="11" w:name="_5-Year_Cohort_Graduation"/>
      <w:bookmarkStart w:id="12" w:name="_Hlk115879767"/>
      <w:bookmarkEnd w:id="11"/>
      <w:r w:rsidRPr="00F47A5E">
        <w:rPr>
          <w:rStyle w:val="eop"/>
          <w:b/>
          <w:bCs/>
        </w:rPr>
        <w:lastRenderedPageBreak/>
        <w:t>5-Year Cohort</w:t>
      </w:r>
      <w:r w:rsidRPr="00F47A5E">
        <w:rPr>
          <w:rStyle w:val="eop"/>
        </w:rPr>
        <w:t xml:space="preserve"> </w:t>
      </w:r>
      <w:r w:rsidR="007E08CA" w:rsidRPr="00F47A5E">
        <w:rPr>
          <w:rStyle w:val="eop"/>
          <w:b/>
          <w:bCs/>
        </w:rPr>
        <w:t xml:space="preserve">Graduation Rate </w:t>
      </w:r>
      <w:r w:rsidRPr="00F47A5E">
        <w:rPr>
          <w:rStyle w:val="eop"/>
          <w:b/>
          <w:bCs/>
        </w:rPr>
        <w:t>Calculation</w:t>
      </w:r>
    </w:p>
    <w:bookmarkEnd w:id="12"/>
    <w:p w14:paraId="17A37791" w14:textId="77777777" w:rsidR="00C81FE9" w:rsidRDefault="00C81FE9" w:rsidP="00C81FE9">
      <w:pPr>
        <w:spacing w:before="240" w:after="0"/>
        <w:ind w:left="720"/>
        <w:rPr>
          <w:rFonts w:cstheme="minorHAnsi"/>
          <w:b/>
          <w:bCs/>
        </w:rPr>
      </w:pPr>
      <w:r>
        <w:rPr>
          <w:rFonts w:cstheme="minorHAnsi"/>
          <w:b/>
          <w:bCs/>
        </w:rPr>
        <w:t>Is this the same measurement as last year?</w:t>
      </w:r>
    </w:p>
    <w:p w14:paraId="752EA780" w14:textId="03496FC0" w:rsidR="00C81FE9" w:rsidRPr="00C81FE9" w:rsidRDefault="00376F73" w:rsidP="03C077EC">
      <w:pPr>
        <w:ind w:left="1440"/>
      </w:pPr>
      <w:r w:rsidRPr="03C077EC">
        <w:t>The 5-Year Cohort Graduation Rate calculation is the same</w:t>
      </w:r>
      <w:r w:rsidR="00D8571D" w:rsidRPr="03C077EC">
        <w:t xml:space="preserve"> for the update</w:t>
      </w:r>
      <w:r w:rsidR="00C616C2">
        <w:t>d</w:t>
      </w:r>
      <w:r w:rsidR="00D8571D" w:rsidRPr="03C077EC">
        <w:t xml:space="preserve"> school year</w:t>
      </w:r>
      <w:r w:rsidRPr="03C077EC">
        <w:t>; it is</w:t>
      </w:r>
      <w:r w:rsidR="7A767876" w:rsidRPr="03C077EC">
        <w:t xml:space="preserve"> </w:t>
      </w:r>
      <w:r w:rsidRPr="03C077EC">
        <w:t xml:space="preserve">weighted x1.5. </w:t>
      </w:r>
    </w:p>
    <w:p w14:paraId="052357C0" w14:textId="5497D4DC" w:rsidR="00C74EFB" w:rsidRPr="00E579D7" w:rsidRDefault="00C74EFB" w:rsidP="00C81FE9">
      <w:pPr>
        <w:spacing w:before="240"/>
        <w:ind w:left="720"/>
        <w:rPr>
          <w:rStyle w:val="eop"/>
          <w:rFonts w:cstheme="minorHAnsi"/>
          <w:color w:val="000000"/>
          <w:shd w:val="clear" w:color="auto" w:fill="FFFFFF"/>
        </w:rPr>
      </w:pPr>
      <w:r>
        <w:rPr>
          <w:rFonts w:cstheme="minorHAnsi"/>
          <w:b/>
          <w:bCs/>
        </w:rPr>
        <w:t>H</w:t>
      </w:r>
      <w:r w:rsidRPr="00E579D7">
        <w:rPr>
          <w:rStyle w:val="normaltextrun"/>
          <w:rFonts w:cstheme="minorHAnsi"/>
          <w:b/>
          <w:bCs/>
          <w:color w:val="000000"/>
          <w:shd w:val="clear" w:color="auto" w:fill="FFFFFF"/>
        </w:rPr>
        <w:t>ow is the </w:t>
      </w:r>
      <w:r w:rsidR="00152E4F" w:rsidRPr="00E579D7">
        <w:rPr>
          <w:rStyle w:val="normaltextrun"/>
          <w:rFonts w:cstheme="minorHAnsi"/>
          <w:b/>
          <w:bCs/>
          <w:color w:val="000000"/>
          <w:shd w:val="clear" w:color="auto" w:fill="FFFFFF"/>
        </w:rPr>
        <w:t xml:space="preserve">graduation rate </w:t>
      </w:r>
      <w:r w:rsidRPr="00E579D7">
        <w:rPr>
          <w:rStyle w:val="normaltextrun"/>
          <w:rFonts w:cstheme="minorHAnsi"/>
          <w:b/>
          <w:bCs/>
          <w:color w:val="000000"/>
          <w:shd w:val="clear" w:color="auto" w:fill="FFFFFF"/>
        </w:rPr>
        <w:t>calculated</w:t>
      </w:r>
      <w:r>
        <w:rPr>
          <w:rStyle w:val="normaltextrun"/>
          <w:rFonts w:cstheme="minorHAnsi"/>
          <w:b/>
          <w:bCs/>
          <w:color w:val="000000"/>
          <w:shd w:val="clear" w:color="auto" w:fill="FFFFFF"/>
        </w:rPr>
        <w:t xml:space="preserve"> for </w:t>
      </w:r>
      <w:r w:rsidR="00EC5682">
        <w:rPr>
          <w:rStyle w:val="normaltextrun"/>
          <w:rFonts w:cstheme="minorHAnsi"/>
          <w:b/>
          <w:bCs/>
          <w:color w:val="000000"/>
          <w:shd w:val="clear" w:color="auto" w:fill="FFFFFF"/>
        </w:rPr>
        <w:t xml:space="preserve">LEA </w:t>
      </w:r>
      <w:r w:rsidR="00A064A0">
        <w:rPr>
          <w:rFonts w:cstheme="minorHAnsi"/>
          <w:b/>
          <w:bCs/>
        </w:rPr>
        <w:t>determinations</w:t>
      </w:r>
      <w:r w:rsidRPr="00E579D7">
        <w:rPr>
          <w:rStyle w:val="normaltextrun"/>
          <w:rFonts w:cstheme="minorHAnsi"/>
          <w:b/>
          <w:bCs/>
          <w:color w:val="000000"/>
          <w:shd w:val="clear" w:color="auto" w:fill="FFFFFF"/>
        </w:rPr>
        <w:t>? </w:t>
      </w:r>
    </w:p>
    <w:p w14:paraId="5BE41B39" w14:textId="4D67E28F" w:rsidR="00236EC1" w:rsidRDefault="00236EC1" w:rsidP="00C81FE9">
      <w:pPr>
        <w:ind w:left="1440"/>
        <w:rPr>
          <w:rStyle w:val="eop"/>
          <w:rFonts w:cstheme="minorHAnsi"/>
          <w:color w:val="000000"/>
          <w:shd w:val="clear" w:color="auto" w:fill="FFFFFF"/>
        </w:rPr>
      </w:pPr>
      <w:r w:rsidRPr="00921214">
        <w:rPr>
          <w:rStyle w:val="eop"/>
          <w:rFonts w:cstheme="minorHAnsi"/>
          <w:color w:val="000000"/>
          <w:shd w:val="clear" w:color="auto" w:fill="FFFFFF"/>
        </w:rPr>
        <w:t xml:space="preserve">For </w:t>
      </w:r>
      <w:r w:rsidR="00CF7FF8">
        <w:rPr>
          <w:rStyle w:val="eop"/>
          <w:rFonts w:cstheme="minorHAnsi"/>
          <w:color w:val="000000"/>
          <w:shd w:val="clear" w:color="auto" w:fill="FFFFFF"/>
        </w:rPr>
        <w:t>LEA</w:t>
      </w:r>
      <w:r w:rsidR="00CF7FF8" w:rsidRPr="00921214">
        <w:rPr>
          <w:rStyle w:val="eop"/>
          <w:rFonts w:cstheme="minorHAnsi"/>
          <w:color w:val="000000"/>
          <w:shd w:val="clear" w:color="auto" w:fill="FFFFFF"/>
        </w:rPr>
        <w:t xml:space="preserve"> </w:t>
      </w:r>
      <w:r w:rsidR="00A064A0" w:rsidRPr="00CF7FF8">
        <w:rPr>
          <w:rFonts w:cstheme="minorHAnsi"/>
        </w:rPr>
        <w:t>determinations</w:t>
      </w:r>
      <w:r w:rsidRPr="00921214">
        <w:rPr>
          <w:rStyle w:val="eop"/>
          <w:rFonts w:cstheme="minorHAnsi"/>
          <w:color w:val="000000"/>
          <w:shd w:val="clear" w:color="auto" w:fill="FFFFFF"/>
        </w:rPr>
        <w:t xml:space="preserve">, the Department calculates the </w:t>
      </w:r>
      <w:r>
        <w:rPr>
          <w:rStyle w:val="eop"/>
          <w:rFonts w:cstheme="minorHAnsi"/>
          <w:color w:val="000000"/>
          <w:shd w:val="clear" w:color="auto" w:fill="FFFFFF"/>
        </w:rPr>
        <w:t xml:space="preserve">5-year graduation </w:t>
      </w:r>
      <w:r w:rsidRPr="00921214">
        <w:rPr>
          <w:rStyle w:val="eop"/>
          <w:rFonts w:cstheme="minorHAnsi"/>
          <w:color w:val="000000"/>
          <w:shd w:val="clear" w:color="auto" w:fill="FFFFFF"/>
        </w:rPr>
        <w:t xml:space="preserve">rate for students with disabilities in the same way that the </w:t>
      </w:r>
      <w:r>
        <w:rPr>
          <w:rStyle w:val="eop"/>
          <w:rFonts w:cstheme="minorHAnsi"/>
          <w:color w:val="000000"/>
          <w:shd w:val="clear" w:color="auto" w:fill="FFFFFF"/>
        </w:rPr>
        <w:t xml:space="preserve">5-year graduation </w:t>
      </w:r>
      <w:r w:rsidRPr="00921214">
        <w:rPr>
          <w:rStyle w:val="eop"/>
          <w:rFonts w:cstheme="minorHAnsi"/>
          <w:color w:val="000000"/>
          <w:shd w:val="clear" w:color="auto" w:fill="FFFFFF"/>
        </w:rPr>
        <w:t xml:space="preserve">rate is calculated for all students. </w:t>
      </w:r>
    </w:p>
    <w:p w14:paraId="7F84C932" w14:textId="7B931C1E" w:rsidR="00225109" w:rsidRDefault="00236EC1" w:rsidP="00C81FE9">
      <w:pPr>
        <w:ind w:left="1440"/>
        <w:rPr>
          <w:rStyle w:val="eop"/>
          <w:rFonts w:cstheme="minorHAnsi"/>
          <w:color w:val="000000"/>
          <w:shd w:val="clear" w:color="auto" w:fill="FFFFFF"/>
        </w:rPr>
      </w:pPr>
      <w:r w:rsidRPr="006864D7">
        <w:rPr>
          <w:rStyle w:val="eop"/>
          <w:rFonts w:cstheme="minorHAnsi"/>
        </w:rPr>
        <w:t>The Department</w:t>
      </w:r>
      <w:r w:rsidR="00225109" w:rsidRPr="006864D7">
        <w:rPr>
          <w:rStyle w:val="eop"/>
          <w:rFonts w:cstheme="minorHAnsi"/>
        </w:rPr>
        <w:t xml:space="preserve"> track</w:t>
      </w:r>
      <w:r w:rsidRPr="006864D7">
        <w:rPr>
          <w:rStyle w:val="eop"/>
          <w:rFonts w:cstheme="minorHAnsi"/>
        </w:rPr>
        <w:t>s</w:t>
      </w:r>
      <w:r w:rsidR="00225109" w:rsidRPr="006864D7">
        <w:rPr>
          <w:rStyle w:val="eop"/>
          <w:rFonts w:cstheme="minorHAnsi"/>
        </w:rPr>
        <w:t xml:space="preserve"> a cohort of students from 9th grade through high school and then divide</w:t>
      </w:r>
      <w:r w:rsidR="00D8571D">
        <w:rPr>
          <w:rStyle w:val="eop"/>
          <w:rFonts w:cstheme="minorHAnsi"/>
        </w:rPr>
        <w:t>s</w:t>
      </w:r>
      <w:r w:rsidR="00225109" w:rsidRPr="006864D7">
        <w:rPr>
          <w:rStyle w:val="eop"/>
          <w:rFonts w:cstheme="minorHAnsi"/>
        </w:rPr>
        <w:t xml:space="preserve"> the number of students who graduate within 5 years by the total number in the cohort. In other </w:t>
      </w:r>
      <w:r w:rsidR="00927BB7" w:rsidRPr="006864D7">
        <w:rPr>
          <w:rStyle w:val="eop"/>
          <w:rFonts w:cstheme="minorHAnsi"/>
        </w:rPr>
        <w:t>words,</w:t>
      </w:r>
      <w:r w:rsidR="00225109" w:rsidRPr="006864D7">
        <w:rPr>
          <w:rStyle w:val="eop"/>
          <w:rFonts w:cstheme="minorHAnsi"/>
        </w:rPr>
        <w:t xml:space="preserve"> the rate provides the percentage of the cohort that graduates in 5 years or less.</w:t>
      </w:r>
      <w:r w:rsidR="00225109" w:rsidRPr="006864D7">
        <w:rPr>
          <w:rFonts w:cstheme="minorHAnsi"/>
          <w:color w:val="222222"/>
          <w:shd w:val="clear" w:color="auto" w:fill="FFFFFF"/>
        </w:rPr>
        <w:t> </w:t>
      </w:r>
    </w:p>
    <w:p w14:paraId="4B0CE6E5" w14:textId="224F6EE9" w:rsidR="00E2102D" w:rsidRPr="006864D7" w:rsidRDefault="00000000" w:rsidP="00C81FE9">
      <w:pPr>
        <w:ind w:left="1440"/>
        <w:rPr>
          <w:rStyle w:val="eop"/>
          <w:rFonts w:cstheme="minorHAnsi"/>
          <w:color w:val="000000"/>
          <w:shd w:val="clear" w:color="auto" w:fill="FFFFFF"/>
        </w:rPr>
      </w:pPr>
      <w:hyperlink r:id="rId42" w:history="1">
        <w:r w:rsidR="00AA1DEC">
          <w:rPr>
            <w:rStyle w:val="Hyperlink"/>
            <w:rFonts w:cstheme="minorHAnsi"/>
            <w:shd w:val="clear" w:color="auto" w:fill="FFFFFF"/>
          </w:rPr>
          <w:t>5-year cohort graduation rate calculation</w:t>
        </w:r>
      </w:hyperlink>
      <w:r w:rsidR="00E2102D">
        <w:rPr>
          <w:rStyle w:val="eop"/>
          <w:rFonts w:cstheme="minorHAnsi"/>
          <w:color w:val="000000"/>
          <w:shd w:val="clear" w:color="auto" w:fill="FFFFFF"/>
        </w:rPr>
        <w:t>:</w:t>
      </w:r>
    </w:p>
    <w:tbl>
      <w:tblPr>
        <w:tblW w:w="8624" w:type="dxa"/>
        <w:tblInd w:w="1440" w:type="dxa"/>
        <w:tblCellMar>
          <w:left w:w="0" w:type="dxa"/>
          <w:right w:w="0" w:type="dxa"/>
        </w:tblCellMar>
        <w:tblLook w:val="04A0" w:firstRow="1" w:lastRow="0" w:firstColumn="1" w:lastColumn="0" w:noHBand="0" w:noVBand="1"/>
      </w:tblPr>
      <w:tblGrid>
        <w:gridCol w:w="8624"/>
      </w:tblGrid>
      <w:tr w:rsidR="006864D7" w:rsidRPr="00E579D7" w14:paraId="663975E8" w14:textId="77777777" w:rsidTr="008B3984">
        <w:tc>
          <w:tcPr>
            <w:tcW w:w="8624" w:type="dxa"/>
            <w:shd w:val="clear" w:color="auto" w:fill="auto"/>
            <w:hideMark/>
          </w:tcPr>
          <w:p w14:paraId="6009081E" w14:textId="77777777" w:rsidR="006864D7" w:rsidRPr="00E579D7" w:rsidRDefault="006864D7">
            <w:pPr>
              <w:textAlignment w:val="baseline"/>
              <w:rPr>
                <w:rFonts w:eastAsia="Times New Roman" w:cstheme="minorHAnsi"/>
              </w:rPr>
            </w:pPr>
            <w:r w:rsidRPr="00E579D7">
              <w:rPr>
                <w:rFonts w:eastAsia="Times New Roman" w:cstheme="minorHAnsi"/>
                <w:i/>
                <w:iCs/>
              </w:rPr>
              <w:t>Numerator:</w:t>
            </w:r>
            <w:r w:rsidRPr="00E579D7">
              <w:rPr>
                <w:rFonts w:eastAsia="Times New Roman" w:cstheme="minorHAnsi"/>
              </w:rPr>
              <w:t> </w:t>
            </w:r>
          </w:p>
          <w:p w14:paraId="55894C0D" w14:textId="77777777" w:rsidR="006864D7" w:rsidRPr="00E579D7" w:rsidRDefault="006864D7">
            <w:pPr>
              <w:jc w:val="center"/>
              <w:textAlignment w:val="baseline"/>
              <w:rPr>
                <w:rFonts w:eastAsia="Times New Roman" w:cstheme="minorHAnsi"/>
              </w:rPr>
            </w:pPr>
            <w:r w:rsidRPr="00E579D7">
              <w:rPr>
                <w:rFonts w:eastAsia="Times New Roman" w:cstheme="minorHAnsi"/>
                <w:i/>
                <w:iCs/>
              </w:rPr>
              <w:t># of students in cohort who graduate in </w:t>
            </w:r>
            <w:r w:rsidRPr="00E579D7">
              <w:rPr>
                <w:rFonts w:eastAsia="Times New Roman" w:cstheme="minorHAnsi"/>
                <w:b/>
                <w:bCs/>
                <w:i/>
                <w:iCs/>
              </w:rPr>
              <w:t>5</w:t>
            </w:r>
            <w:r w:rsidRPr="00E579D7">
              <w:rPr>
                <w:rFonts w:eastAsia="Times New Roman" w:cstheme="minorHAnsi"/>
                <w:i/>
                <w:iCs/>
              </w:rPr>
              <w:t> years or less</w:t>
            </w:r>
            <w:r w:rsidRPr="00E579D7">
              <w:rPr>
                <w:rFonts w:eastAsia="Times New Roman" w:cstheme="minorHAnsi"/>
              </w:rPr>
              <w:t>  </w:t>
            </w:r>
            <w:r w:rsidRPr="00E579D7">
              <w:rPr>
                <w:rFonts w:eastAsia="Times New Roman" w:cstheme="minorHAnsi"/>
              </w:rPr>
              <w:br/>
            </w:r>
            <w:r w:rsidRPr="00E579D7">
              <w:rPr>
                <w:rFonts w:eastAsia="Times New Roman" w:cstheme="minorHAnsi"/>
                <w:i/>
                <w:iCs/>
              </w:rPr>
              <w:t>____________________________________________________________</w:t>
            </w:r>
            <w:r w:rsidRPr="00E579D7">
              <w:rPr>
                <w:rFonts w:eastAsia="Times New Roman" w:cstheme="minorHAnsi"/>
              </w:rPr>
              <w:t> </w:t>
            </w:r>
          </w:p>
          <w:p w14:paraId="0F3770CF" w14:textId="77777777" w:rsidR="006864D7" w:rsidRPr="00E579D7" w:rsidRDefault="006864D7">
            <w:pPr>
              <w:textAlignment w:val="baseline"/>
              <w:rPr>
                <w:rFonts w:eastAsia="Times New Roman" w:cstheme="minorHAnsi"/>
              </w:rPr>
            </w:pPr>
            <w:r w:rsidRPr="00E579D7">
              <w:rPr>
                <w:rFonts w:eastAsia="Times New Roman" w:cstheme="minorHAnsi"/>
                <w:i/>
                <w:iCs/>
              </w:rPr>
              <w:t>Denominator:</w:t>
            </w:r>
            <w:r w:rsidRPr="00E579D7">
              <w:rPr>
                <w:rFonts w:eastAsia="Times New Roman" w:cstheme="minorHAnsi"/>
              </w:rPr>
              <w:t> </w:t>
            </w:r>
          </w:p>
          <w:p w14:paraId="5CEF5FC2" w14:textId="77777777" w:rsidR="006864D7" w:rsidRPr="00E579D7" w:rsidRDefault="006864D7">
            <w:pPr>
              <w:jc w:val="center"/>
              <w:textAlignment w:val="baseline"/>
              <w:rPr>
                <w:rFonts w:eastAsia="Times New Roman" w:cstheme="minorHAnsi"/>
              </w:rPr>
            </w:pPr>
            <w:r w:rsidRPr="00E579D7">
              <w:rPr>
                <w:rFonts w:eastAsia="Times New Roman" w:cstheme="minorHAnsi"/>
                <w:i/>
                <w:iCs/>
              </w:rPr>
              <w:t>[# of 1</w:t>
            </w:r>
            <w:r w:rsidRPr="00E579D7">
              <w:rPr>
                <w:rFonts w:eastAsia="Times New Roman" w:cstheme="minorHAnsi"/>
                <w:i/>
                <w:iCs/>
                <w:vertAlign w:val="superscript"/>
              </w:rPr>
              <w:t>st</w:t>
            </w:r>
            <w:r w:rsidRPr="00E579D7">
              <w:rPr>
                <w:rFonts w:eastAsia="Times New Roman" w:cstheme="minorHAnsi"/>
                <w:i/>
                <w:iCs/>
              </w:rPr>
              <w:t> time entering 9</w:t>
            </w:r>
            <w:r w:rsidRPr="00E579D7">
              <w:rPr>
                <w:rFonts w:eastAsia="Times New Roman" w:cstheme="minorHAnsi"/>
                <w:i/>
                <w:iCs/>
                <w:vertAlign w:val="superscript"/>
              </w:rPr>
              <w:t>th</w:t>
            </w:r>
            <w:r w:rsidRPr="00E579D7">
              <w:rPr>
                <w:rFonts w:eastAsia="Times New Roman" w:cstheme="minorHAnsi"/>
                <w:i/>
                <w:iCs/>
              </w:rPr>
              <w:t> graders in 2015–16] − transfers out + transfers in</w:t>
            </w:r>
            <w:r w:rsidRPr="00E579D7">
              <w:rPr>
                <w:rFonts w:eastAsia="Times New Roman" w:cstheme="minorHAnsi"/>
              </w:rPr>
              <w:t> </w:t>
            </w:r>
          </w:p>
        </w:tc>
      </w:tr>
    </w:tbl>
    <w:p w14:paraId="17E2FF3F" w14:textId="2863B5C1" w:rsidR="00E2102D" w:rsidRPr="00ED05AE" w:rsidRDefault="00E2102D" w:rsidP="00C81FE9">
      <w:pPr>
        <w:spacing w:before="240"/>
        <w:ind w:left="720"/>
        <w:rPr>
          <w:rFonts w:cstheme="minorHAnsi"/>
          <w:b/>
          <w:bCs/>
        </w:rPr>
      </w:pPr>
      <w:r w:rsidRPr="00ED05AE">
        <w:rPr>
          <w:rFonts w:cstheme="minorHAnsi"/>
          <w:b/>
          <w:bCs/>
        </w:rPr>
        <w:t xml:space="preserve">Why did the Department use this calculation instead of SPP/APR Indicator </w:t>
      </w:r>
      <w:r>
        <w:rPr>
          <w:rFonts w:cstheme="minorHAnsi"/>
          <w:b/>
          <w:bCs/>
        </w:rPr>
        <w:t>1</w:t>
      </w:r>
      <w:r w:rsidRPr="00ED05AE">
        <w:rPr>
          <w:rFonts w:cstheme="minorHAnsi"/>
          <w:b/>
          <w:bCs/>
        </w:rPr>
        <w:t xml:space="preserve"> for the </w:t>
      </w:r>
      <w:r>
        <w:rPr>
          <w:rFonts w:cstheme="minorHAnsi"/>
          <w:b/>
          <w:bCs/>
        </w:rPr>
        <w:t>graduation</w:t>
      </w:r>
      <w:r w:rsidRPr="00ED05AE">
        <w:rPr>
          <w:rFonts w:cstheme="minorHAnsi"/>
          <w:b/>
          <w:bCs/>
        </w:rPr>
        <w:t xml:space="preserve"> rate?</w:t>
      </w:r>
    </w:p>
    <w:p w14:paraId="3FAE6887" w14:textId="034475AD" w:rsidR="00A811EB" w:rsidRPr="0042606F" w:rsidRDefault="00E2102D" w:rsidP="0042606F">
      <w:pPr>
        <w:ind w:left="1440"/>
        <w:rPr>
          <w:rStyle w:val="normaltextrun"/>
          <w:rFonts w:cstheme="minorHAnsi"/>
        </w:rPr>
      </w:pPr>
      <w:r w:rsidRPr="00EA1722">
        <w:rPr>
          <w:rFonts w:cstheme="minorHAnsi"/>
        </w:rPr>
        <w:t>The Department used this calculation to</w:t>
      </w:r>
      <w:r w:rsidR="006B5820">
        <w:rPr>
          <w:rFonts w:cstheme="minorHAnsi"/>
        </w:rPr>
        <w:t xml:space="preserve"> include students with disabilities who appropriately continue attending school for more than four-years. Also, this calculation </w:t>
      </w:r>
      <w:r w:rsidRPr="00EA1722">
        <w:rPr>
          <w:rFonts w:cstheme="minorHAnsi"/>
        </w:rPr>
        <w:t>support</w:t>
      </w:r>
      <w:r w:rsidR="006B5820">
        <w:rPr>
          <w:rFonts w:cstheme="minorHAnsi"/>
        </w:rPr>
        <w:t>s</w:t>
      </w:r>
      <w:r w:rsidRPr="00EA1722">
        <w:rPr>
          <w:rFonts w:cstheme="minorHAnsi"/>
        </w:rPr>
        <w:t xml:space="preserve"> stakeholder</w:t>
      </w:r>
      <w:r>
        <w:rPr>
          <w:rFonts w:cstheme="minorHAnsi"/>
        </w:rPr>
        <w:t>s’</w:t>
      </w:r>
      <w:r w:rsidRPr="00EA1722">
        <w:rPr>
          <w:rFonts w:cstheme="minorHAnsi"/>
        </w:rPr>
        <w:t xml:space="preserve"> </w:t>
      </w:r>
      <w:r>
        <w:rPr>
          <w:rFonts w:cstheme="minorHAnsi"/>
        </w:rPr>
        <w:t xml:space="preserve">ability to </w:t>
      </w:r>
      <w:r w:rsidRPr="00EA1722">
        <w:rPr>
          <w:rFonts w:cstheme="minorHAnsi"/>
        </w:rPr>
        <w:t>compar</w:t>
      </w:r>
      <w:r>
        <w:rPr>
          <w:rFonts w:cstheme="minorHAnsi"/>
        </w:rPr>
        <w:t xml:space="preserve">e it </w:t>
      </w:r>
      <w:r w:rsidRPr="00EA1722">
        <w:rPr>
          <w:rFonts w:cstheme="minorHAnsi"/>
        </w:rPr>
        <w:t xml:space="preserve">to the </w:t>
      </w:r>
      <w:proofErr w:type="gramStart"/>
      <w:r w:rsidRPr="00EA1722">
        <w:rPr>
          <w:rFonts w:cstheme="minorHAnsi"/>
        </w:rPr>
        <w:t>all</w:t>
      </w:r>
      <w:r w:rsidR="00D8571D">
        <w:rPr>
          <w:rFonts w:cstheme="minorHAnsi"/>
        </w:rPr>
        <w:t xml:space="preserve"> </w:t>
      </w:r>
      <w:r w:rsidRPr="00EA1722">
        <w:rPr>
          <w:rFonts w:cstheme="minorHAnsi"/>
        </w:rPr>
        <w:t>student</w:t>
      </w:r>
      <w:proofErr w:type="gramEnd"/>
      <w:r w:rsidRPr="00EA1722">
        <w:rPr>
          <w:rFonts w:cstheme="minorHAnsi"/>
        </w:rPr>
        <w:t xml:space="preserve"> rate</w:t>
      </w:r>
      <w:r>
        <w:rPr>
          <w:rFonts w:cstheme="minorHAnsi"/>
        </w:rPr>
        <w:t xml:space="preserve"> for the state and by </w:t>
      </w:r>
      <w:r w:rsidR="00A00263">
        <w:rPr>
          <w:rFonts w:cstheme="minorHAnsi"/>
        </w:rPr>
        <w:t>district</w:t>
      </w:r>
      <w:r w:rsidRPr="00EA1722">
        <w:rPr>
          <w:rFonts w:cstheme="minorHAnsi"/>
        </w:rPr>
        <w:t>.</w:t>
      </w:r>
    </w:p>
    <w:p w14:paraId="55D1D6FB" w14:textId="457E091E" w:rsidR="00422C0D" w:rsidRPr="00E579D7" w:rsidRDefault="00A811EB" w:rsidP="00C81FE9">
      <w:pPr>
        <w:ind w:left="720"/>
        <w:rPr>
          <w:rStyle w:val="eop"/>
          <w:rFonts w:cstheme="minorHAnsi"/>
          <w:color w:val="000000"/>
          <w:shd w:val="clear" w:color="auto" w:fill="FFFFFF"/>
        </w:rPr>
      </w:pPr>
      <w:r>
        <w:rPr>
          <w:rStyle w:val="normaltextrun"/>
          <w:rFonts w:cstheme="minorHAnsi"/>
          <w:b/>
          <w:bCs/>
          <w:color w:val="000000"/>
          <w:shd w:val="clear" w:color="auto" w:fill="FFFFFF"/>
        </w:rPr>
        <w:t xml:space="preserve">For </w:t>
      </w:r>
      <w:r w:rsidR="00D10B05">
        <w:rPr>
          <w:rStyle w:val="normaltextrun"/>
          <w:rFonts w:cstheme="minorHAnsi"/>
          <w:b/>
          <w:bCs/>
          <w:color w:val="000000"/>
          <w:shd w:val="clear" w:color="auto" w:fill="FFFFFF"/>
        </w:rPr>
        <w:t>district</w:t>
      </w:r>
      <w:r w:rsidR="00422C0D" w:rsidRPr="00E579D7">
        <w:rPr>
          <w:rStyle w:val="normaltextrun"/>
          <w:rFonts w:cstheme="minorHAnsi"/>
          <w:b/>
          <w:bCs/>
          <w:color w:val="000000"/>
          <w:shd w:val="clear" w:color="auto" w:fill="FFFFFF"/>
        </w:rPr>
        <w:t>s that have strong programs for students 18-22</w:t>
      </w:r>
      <w:r>
        <w:rPr>
          <w:rStyle w:val="normaltextrun"/>
          <w:rFonts w:cstheme="minorHAnsi"/>
          <w:b/>
          <w:bCs/>
          <w:color w:val="000000"/>
          <w:shd w:val="clear" w:color="auto" w:fill="FFFFFF"/>
        </w:rPr>
        <w:t xml:space="preserve">, what </w:t>
      </w:r>
      <w:r w:rsidR="00AC7F08">
        <w:rPr>
          <w:rStyle w:val="normaltextrun"/>
          <w:rFonts w:cstheme="minorHAnsi"/>
          <w:b/>
          <w:bCs/>
          <w:color w:val="000000"/>
          <w:shd w:val="clear" w:color="auto" w:fill="FFFFFF"/>
        </w:rPr>
        <w:t xml:space="preserve">is </w:t>
      </w:r>
      <w:r>
        <w:rPr>
          <w:rStyle w:val="normaltextrun"/>
          <w:rFonts w:cstheme="minorHAnsi"/>
          <w:b/>
          <w:bCs/>
          <w:color w:val="000000"/>
          <w:shd w:val="clear" w:color="auto" w:fill="FFFFFF"/>
        </w:rPr>
        <w:t xml:space="preserve">the </w:t>
      </w:r>
      <w:r w:rsidR="00422C0D" w:rsidRPr="00E579D7">
        <w:rPr>
          <w:rStyle w:val="normaltextrun"/>
          <w:rFonts w:cstheme="minorHAnsi"/>
          <w:b/>
          <w:bCs/>
          <w:color w:val="000000"/>
          <w:shd w:val="clear" w:color="auto" w:fill="FFFFFF"/>
        </w:rPr>
        <w:t xml:space="preserve">impact on this </w:t>
      </w:r>
      <w:r w:rsidR="007743F0">
        <w:rPr>
          <w:rStyle w:val="normaltextrun"/>
          <w:rFonts w:cstheme="minorHAnsi"/>
          <w:b/>
          <w:bCs/>
          <w:color w:val="000000"/>
          <w:shd w:val="clear" w:color="auto" w:fill="FFFFFF"/>
        </w:rPr>
        <w:t>measurement? D</w:t>
      </w:r>
      <w:r w:rsidR="00422C0D" w:rsidRPr="00E579D7">
        <w:rPr>
          <w:rStyle w:val="normaltextrun"/>
          <w:rFonts w:cstheme="minorHAnsi"/>
          <w:b/>
          <w:bCs/>
          <w:color w:val="000000"/>
          <w:shd w:val="clear" w:color="auto" w:fill="FFFFFF"/>
        </w:rPr>
        <w:t xml:space="preserve">oes this </w:t>
      </w:r>
      <w:r>
        <w:rPr>
          <w:rStyle w:val="normaltextrun"/>
          <w:rFonts w:cstheme="minorHAnsi"/>
          <w:b/>
          <w:bCs/>
          <w:color w:val="000000"/>
          <w:shd w:val="clear" w:color="auto" w:fill="FFFFFF"/>
        </w:rPr>
        <w:t xml:space="preserve">inappropriately </w:t>
      </w:r>
      <w:r w:rsidR="00422C0D" w:rsidRPr="00E579D7">
        <w:rPr>
          <w:rStyle w:val="normaltextrun"/>
          <w:rFonts w:cstheme="minorHAnsi"/>
          <w:b/>
          <w:bCs/>
          <w:color w:val="000000"/>
          <w:shd w:val="clear" w:color="auto" w:fill="FFFFFF"/>
        </w:rPr>
        <w:t>impact</w:t>
      </w:r>
      <w:r w:rsidR="007743F0">
        <w:rPr>
          <w:rStyle w:val="normaltextrun"/>
          <w:rFonts w:cstheme="minorHAnsi"/>
          <w:b/>
          <w:bCs/>
          <w:color w:val="000000"/>
          <w:shd w:val="clear" w:color="auto" w:fill="FFFFFF"/>
        </w:rPr>
        <w:t xml:space="preserve"> </w:t>
      </w:r>
      <w:r w:rsidR="008E4853">
        <w:rPr>
          <w:rStyle w:val="normaltextrun"/>
          <w:rFonts w:cstheme="minorHAnsi"/>
          <w:b/>
          <w:bCs/>
          <w:color w:val="000000"/>
          <w:shd w:val="clear" w:color="auto" w:fill="FFFFFF"/>
        </w:rPr>
        <w:t>dist</w:t>
      </w:r>
      <w:r w:rsidR="002F4C8E">
        <w:rPr>
          <w:rStyle w:val="normaltextrun"/>
          <w:rFonts w:cstheme="minorHAnsi"/>
          <w:b/>
          <w:bCs/>
          <w:color w:val="000000"/>
          <w:shd w:val="clear" w:color="auto" w:fill="FFFFFF"/>
        </w:rPr>
        <w:t>r</w:t>
      </w:r>
      <w:r w:rsidR="008E4853">
        <w:rPr>
          <w:rStyle w:val="normaltextrun"/>
          <w:rFonts w:cstheme="minorHAnsi"/>
          <w:b/>
          <w:bCs/>
          <w:color w:val="000000"/>
          <w:shd w:val="clear" w:color="auto" w:fill="FFFFFF"/>
        </w:rPr>
        <w:t>ict</w:t>
      </w:r>
      <w:r w:rsidR="007743F0">
        <w:rPr>
          <w:rStyle w:val="normaltextrun"/>
          <w:rFonts w:cstheme="minorHAnsi"/>
          <w:b/>
          <w:bCs/>
          <w:color w:val="000000"/>
          <w:shd w:val="clear" w:color="auto" w:fill="FFFFFF"/>
        </w:rPr>
        <w:t xml:space="preserve">s’ </w:t>
      </w:r>
      <w:r w:rsidR="00422C0D" w:rsidRPr="00E579D7">
        <w:rPr>
          <w:rStyle w:val="normaltextrun"/>
          <w:rFonts w:cstheme="minorHAnsi"/>
          <w:b/>
          <w:bCs/>
          <w:color w:val="000000"/>
          <w:shd w:val="clear" w:color="auto" w:fill="FFFFFF"/>
        </w:rPr>
        <w:t xml:space="preserve">overall </w:t>
      </w:r>
      <w:r w:rsidR="00CE3F2A">
        <w:rPr>
          <w:rStyle w:val="normaltextrun"/>
          <w:rFonts w:cstheme="minorHAnsi"/>
          <w:b/>
          <w:bCs/>
          <w:color w:val="000000"/>
          <w:shd w:val="clear" w:color="auto" w:fill="FFFFFF"/>
        </w:rPr>
        <w:t xml:space="preserve">LEA </w:t>
      </w:r>
      <w:r w:rsidR="0098379C">
        <w:rPr>
          <w:rFonts w:cstheme="minorHAnsi"/>
          <w:b/>
          <w:bCs/>
        </w:rPr>
        <w:t>determination</w:t>
      </w:r>
      <w:r w:rsidR="007743F0">
        <w:rPr>
          <w:rStyle w:val="normaltextrun"/>
          <w:rFonts w:cstheme="minorHAnsi"/>
          <w:b/>
          <w:bCs/>
          <w:color w:val="000000"/>
          <w:shd w:val="clear" w:color="auto" w:fill="FFFFFF"/>
        </w:rPr>
        <w:t xml:space="preserve"> </w:t>
      </w:r>
      <w:r w:rsidR="00422C0D" w:rsidRPr="00E579D7">
        <w:rPr>
          <w:rStyle w:val="normaltextrun"/>
          <w:rFonts w:cstheme="minorHAnsi"/>
          <w:b/>
          <w:bCs/>
          <w:color w:val="000000"/>
          <w:shd w:val="clear" w:color="auto" w:fill="FFFFFF"/>
        </w:rPr>
        <w:t>rating?</w:t>
      </w:r>
    </w:p>
    <w:p w14:paraId="3C92CF12" w14:textId="7573DD62" w:rsidR="008C1D27" w:rsidRDefault="001F4B4B" w:rsidP="00C81FE9">
      <w:pPr>
        <w:ind w:left="1440"/>
        <w:rPr>
          <w:rStyle w:val="eop"/>
          <w:rFonts w:cstheme="minorHAnsi"/>
          <w:color w:val="000000"/>
          <w:shd w:val="clear" w:color="auto" w:fill="FFFFFF"/>
        </w:rPr>
      </w:pPr>
      <w:r>
        <w:rPr>
          <w:rStyle w:val="eop"/>
          <w:rFonts w:cstheme="minorHAnsi"/>
          <w:color w:val="000000"/>
          <w:shd w:val="clear" w:color="auto" w:fill="FFFFFF"/>
        </w:rPr>
        <w:t xml:space="preserve">All students with </w:t>
      </w:r>
      <w:r w:rsidR="008C1D27">
        <w:rPr>
          <w:rStyle w:val="eop"/>
          <w:rFonts w:cstheme="minorHAnsi"/>
          <w:color w:val="000000"/>
          <w:shd w:val="clear" w:color="auto" w:fill="FFFFFF"/>
        </w:rPr>
        <w:t>IEPs</w:t>
      </w:r>
      <w:r>
        <w:rPr>
          <w:rStyle w:val="eop"/>
          <w:rFonts w:cstheme="minorHAnsi"/>
          <w:color w:val="000000"/>
          <w:shd w:val="clear" w:color="auto" w:fill="FFFFFF"/>
        </w:rPr>
        <w:t xml:space="preserve"> must be represented in the</w:t>
      </w:r>
      <w:r w:rsidR="00B51ED9">
        <w:rPr>
          <w:rStyle w:val="eop"/>
          <w:rFonts w:cstheme="minorHAnsi"/>
          <w:color w:val="000000"/>
          <w:shd w:val="clear" w:color="auto" w:fill="FFFFFF"/>
        </w:rPr>
        <w:t xml:space="preserve"> </w:t>
      </w:r>
      <w:r w:rsidR="0077405F">
        <w:rPr>
          <w:rStyle w:val="eop"/>
          <w:rFonts w:cstheme="minorHAnsi"/>
          <w:color w:val="000000"/>
          <w:shd w:val="clear" w:color="auto" w:fill="FFFFFF"/>
        </w:rPr>
        <w:t xml:space="preserve">LEA </w:t>
      </w:r>
      <w:r w:rsidR="00617C10" w:rsidRPr="0077405F">
        <w:rPr>
          <w:rFonts w:cstheme="minorHAnsi"/>
        </w:rPr>
        <w:t>determinations</w:t>
      </w:r>
      <w:r w:rsidR="00B51ED9">
        <w:rPr>
          <w:rStyle w:val="eop"/>
          <w:rFonts w:cstheme="minorHAnsi"/>
          <w:color w:val="000000"/>
          <w:shd w:val="clear" w:color="auto" w:fill="FFFFFF"/>
        </w:rPr>
        <w:t>– the special education accountability and assistance system.</w:t>
      </w:r>
      <w:r w:rsidR="008C1D27">
        <w:rPr>
          <w:rStyle w:val="eop"/>
          <w:rFonts w:cstheme="minorHAnsi"/>
          <w:color w:val="000000"/>
          <w:shd w:val="clear" w:color="auto" w:fill="FFFFFF"/>
        </w:rPr>
        <w:t xml:space="preserve"> </w:t>
      </w:r>
      <w:r w:rsidR="00B51ED9">
        <w:rPr>
          <w:rStyle w:val="eop"/>
          <w:rFonts w:cstheme="minorHAnsi"/>
          <w:color w:val="000000"/>
          <w:shd w:val="clear" w:color="auto" w:fill="FFFFFF"/>
        </w:rPr>
        <w:t xml:space="preserve">Enrolled 18-22 students </w:t>
      </w:r>
      <w:r>
        <w:rPr>
          <w:rStyle w:val="eop"/>
          <w:rFonts w:cstheme="minorHAnsi"/>
          <w:color w:val="000000"/>
          <w:shd w:val="clear" w:color="auto" w:fill="FFFFFF"/>
        </w:rPr>
        <w:t>do</w:t>
      </w:r>
      <w:r w:rsidR="002C4874">
        <w:rPr>
          <w:rStyle w:val="eop"/>
          <w:rFonts w:cstheme="minorHAnsi"/>
          <w:color w:val="000000"/>
          <w:shd w:val="clear" w:color="auto" w:fill="FFFFFF"/>
        </w:rPr>
        <w:t xml:space="preserve"> not </w:t>
      </w:r>
      <w:r>
        <w:rPr>
          <w:rStyle w:val="eop"/>
          <w:rFonts w:cstheme="minorHAnsi"/>
          <w:color w:val="000000"/>
          <w:shd w:val="clear" w:color="auto" w:fill="FFFFFF"/>
        </w:rPr>
        <w:t>inappropriately</w:t>
      </w:r>
      <w:r w:rsidR="002C4874">
        <w:rPr>
          <w:rStyle w:val="eop"/>
          <w:rFonts w:cstheme="minorHAnsi"/>
          <w:color w:val="000000"/>
          <w:shd w:val="clear" w:color="auto" w:fill="FFFFFF"/>
        </w:rPr>
        <w:t xml:space="preserve"> </w:t>
      </w:r>
      <w:r w:rsidR="000E327A">
        <w:rPr>
          <w:rStyle w:val="eop"/>
          <w:rFonts w:cstheme="minorHAnsi"/>
          <w:color w:val="000000"/>
          <w:shd w:val="clear" w:color="auto" w:fill="FFFFFF"/>
        </w:rPr>
        <w:t xml:space="preserve">impact this </w:t>
      </w:r>
      <w:r w:rsidR="00B51ED9">
        <w:rPr>
          <w:rStyle w:val="eop"/>
          <w:rFonts w:cstheme="minorHAnsi"/>
          <w:color w:val="000000"/>
          <w:shd w:val="clear" w:color="auto" w:fill="FFFFFF"/>
        </w:rPr>
        <w:t>measurement</w:t>
      </w:r>
      <w:r w:rsidR="008C1D27">
        <w:rPr>
          <w:rStyle w:val="eop"/>
          <w:rFonts w:cstheme="minorHAnsi"/>
          <w:color w:val="000000"/>
          <w:shd w:val="clear" w:color="auto" w:fill="FFFFFF"/>
        </w:rPr>
        <w:t xml:space="preserve"> or a </w:t>
      </w:r>
      <w:r w:rsidR="00927BB7">
        <w:rPr>
          <w:rStyle w:val="eop"/>
          <w:rFonts w:cstheme="minorHAnsi"/>
          <w:color w:val="000000"/>
          <w:shd w:val="clear" w:color="auto" w:fill="FFFFFF"/>
        </w:rPr>
        <w:t>district</w:t>
      </w:r>
      <w:r w:rsidR="008C1D27">
        <w:rPr>
          <w:rStyle w:val="eop"/>
          <w:rFonts w:cstheme="minorHAnsi"/>
          <w:color w:val="000000"/>
          <w:shd w:val="clear" w:color="auto" w:fill="FFFFFF"/>
        </w:rPr>
        <w:t xml:space="preserve">’s overall determination </w:t>
      </w:r>
      <w:r w:rsidR="008C1D27" w:rsidRPr="00422C0D">
        <w:rPr>
          <w:rStyle w:val="eop"/>
          <w:rFonts w:cstheme="minorHAnsi"/>
          <w:color w:val="000000"/>
          <w:shd w:val="clear" w:color="auto" w:fill="FFFFFF"/>
        </w:rPr>
        <w:t>calculation</w:t>
      </w:r>
      <w:r w:rsidR="000E327A">
        <w:rPr>
          <w:rStyle w:val="eop"/>
          <w:rFonts w:cstheme="minorHAnsi"/>
          <w:color w:val="000000"/>
          <w:shd w:val="clear" w:color="auto" w:fill="FFFFFF"/>
        </w:rPr>
        <w:t xml:space="preserve">. </w:t>
      </w:r>
    </w:p>
    <w:p w14:paraId="6E3134A5" w14:textId="15637BC1" w:rsidR="00422C0D" w:rsidRPr="008C1D27" w:rsidRDefault="00B51ED9" w:rsidP="00C81FE9">
      <w:pPr>
        <w:ind w:left="1440"/>
        <w:rPr>
          <w:rFonts w:cstheme="minorHAnsi"/>
          <w:color w:val="000000"/>
          <w:shd w:val="clear" w:color="auto" w:fill="FFFFFF"/>
        </w:rPr>
      </w:pPr>
      <w:r>
        <w:rPr>
          <w:rStyle w:val="eop"/>
          <w:rFonts w:cstheme="minorHAnsi"/>
          <w:color w:val="000000"/>
          <w:shd w:val="clear" w:color="auto" w:fill="FFFFFF"/>
        </w:rPr>
        <w:t xml:space="preserve">In most </w:t>
      </w:r>
      <w:r w:rsidR="00A00263">
        <w:rPr>
          <w:rStyle w:val="eop"/>
          <w:rFonts w:cstheme="minorHAnsi"/>
          <w:color w:val="000000"/>
          <w:shd w:val="clear" w:color="auto" w:fill="FFFFFF"/>
        </w:rPr>
        <w:t>district</w:t>
      </w:r>
      <w:r>
        <w:rPr>
          <w:rStyle w:val="eop"/>
          <w:rFonts w:cstheme="minorHAnsi"/>
          <w:color w:val="000000"/>
          <w:shd w:val="clear" w:color="auto" w:fill="FFFFFF"/>
        </w:rPr>
        <w:t>s, there are small numbers of 18-22 students</w:t>
      </w:r>
      <w:r w:rsidR="004023FA">
        <w:rPr>
          <w:rStyle w:val="eop"/>
          <w:rFonts w:cstheme="minorHAnsi"/>
          <w:color w:val="000000"/>
          <w:shd w:val="clear" w:color="auto" w:fill="FFFFFF"/>
        </w:rPr>
        <w:t xml:space="preserve"> enrolled</w:t>
      </w:r>
      <w:r>
        <w:rPr>
          <w:rStyle w:val="eop"/>
          <w:rFonts w:cstheme="minorHAnsi"/>
          <w:color w:val="000000"/>
          <w:shd w:val="clear" w:color="auto" w:fill="FFFFFF"/>
        </w:rPr>
        <w:t xml:space="preserve">. </w:t>
      </w:r>
      <w:r w:rsidR="00CA48D1">
        <w:rPr>
          <w:rStyle w:val="eop"/>
          <w:rFonts w:cstheme="minorHAnsi"/>
          <w:color w:val="000000"/>
          <w:shd w:val="clear" w:color="auto" w:fill="FFFFFF"/>
        </w:rPr>
        <w:t xml:space="preserve">A </w:t>
      </w:r>
      <w:r w:rsidR="00927BB7">
        <w:rPr>
          <w:rStyle w:val="eop"/>
          <w:rFonts w:cstheme="minorHAnsi"/>
          <w:color w:val="000000"/>
          <w:shd w:val="clear" w:color="auto" w:fill="FFFFFF"/>
        </w:rPr>
        <w:t>district</w:t>
      </w:r>
      <w:r w:rsidR="00CA48D1">
        <w:rPr>
          <w:rStyle w:val="eop"/>
          <w:rFonts w:cstheme="minorHAnsi"/>
          <w:color w:val="000000"/>
          <w:shd w:val="clear" w:color="auto" w:fill="FFFFFF"/>
        </w:rPr>
        <w:t xml:space="preserve">’s </w:t>
      </w:r>
      <w:r w:rsidR="00422C0D" w:rsidRPr="00422C0D">
        <w:rPr>
          <w:rStyle w:val="eop"/>
          <w:rFonts w:cstheme="minorHAnsi"/>
          <w:color w:val="000000"/>
          <w:shd w:val="clear" w:color="auto" w:fill="FFFFFF"/>
        </w:rPr>
        <w:t>graduation rate</w:t>
      </w:r>
      <w:r w:rsidR="00CA48D1">
        <w:rPr>
          <w:rStyle w:val="eop"/>
          <w:rFonts w:cstheme="minorHAnsi"/>
          <w:color w:val="000000"/>
          <w:shd w:val="clear" w:color="auto" w:fill="FFFFFF"/>
        </w:rPr>
        <w:t xml:space="preserve"> could be </w:t>
      </w:r>
      <w:r w:rsidR="00422C0D" w:rsidRPr="00422C0D">
        <w:rPr>
          <w:rStyle w:val="eop"/>
          <w:rFonts w:cstheme="minorHAnsi"/>
          <w:color w:val="000000"/>
          <w:shd w:val="clear" w:color="auto" w:fill="FFFFFF"/>
        </w:rPr>
        <w:t xml:space="preserve">lower </w:t>
      </w:r>
      <w:r w:rsidR="00CA48D1">
        <w:rPr>
          <w:rStyle w:val="eop"/>
          <w:rFonts w:cstheme="minorHAnsi"/>
          <w:color w:val="000000"/>
          <w:shd w:val="clear" w:color="auto" w:fill="FFFFFF"/>
        </w:rPr>
        <w:t>if</w:t>
      </w:r>
      <w:r w:rsidR="00422C0D" w:rsidRPr="00422C0D">
        <w:rPr>
          <w:rStyle w:val="eop"/>
          <w:rFonts w:cstheme="minorHAnsi"/>
          <w:color w:val="000000"/>
          <w:shd w:val="clear" w:color="auto" w:fill="FFFFFF"/>
        </w:rPr>
        <w:t xml:space="preserve"> </w:t>
      </w:r>
      <w:r w:rsidR="00CA48D1">
        <w:rPr>
          <w:rStyle w:val="eop"/>
          <w:rFonts w:cstheme="minorHAnsi"/>
          <w:color w:val="000000"/>
          <w:shd w:val="clear" w:color="auto" w:fill="FFFFFF"/>
        </w:rPr>
        <w:t xml:space="preserve">they have </w:t>
      </w:r>
      <w:r w:rsidR="008C1D27">
        <w:rPr>
          <w:rStyle w:val="eop"/>
          <w:rFonts w:cstheme="minorHAnsi"/>
          <w:color w:val="000000"/>
          <w:shd w:val="clear" w:color="auto" w:fill="FFFFFF"/>
        </w:rPr>
        <w:t>many</w:t>
      </w:r>
      <w:r w:rsidR="00CA48D1">
        <w:rPr>
          <w:rStyle w:val="eop"/>
          <w:rFonts w:cstheme="minorHAnsi"/>
          <w:color w:val="000000"/>
          <w:shd w:val="clear" w:color="auto" w:fill="FFFFFF"/>
        </w:rPr>
        <w:t xml:space="preserve"> </w:t>
      </w:r>
      <w:r w:rsidR="00422C0D" w:rsidRPr="00422C0D">
        <w:rPr>
          <w:rStyle w:val="eop"/>
          <w:rFonts w:cstheme="minorHAnsi"/>
          <w:color w:val="000000"/>
          <w:shd w:val="clear" w:color="auto" w:fill="FFFFFF"/>
        </w:rPr>
        <w:t xml:space="preserve">students </w:t>
      </w:r>
      <w:r w:rsidR="00CA48D1">
        <w:rPr>
          <w:rStyle w:val="eop"/>
          <w:rFonts w:cstheme="minorHAnsi"/>
          <w:color w:val="000000"/>
          <w:shd w:val="clear" w:color="auto" w:fill="FFFFFF"/>
        </w:rPr>
        <w:t xml:space="preserve">with significant disabilities who are </w:t>
      </w:r>
      <w:r w:rsidR="000E327A">
        <w:rPr>
          <w:rStyle w:val="eop"/>
          <w:rFonts w:cstheme="minorHAnsi"/>
          <w:color w:val="000000"/>
          <w:shd w:val="clear" w:color="auto" w:fill="FFFFFF"/>
        </w:rPr>
        <w:t xml:space="preserve">appropriately </w:t>
      </w:r>
      <w:r w:rsidR="00422C0D" w:rsidRPr="00422C0D">
        <w:rPr>
          <w:rStyle w:val="eop"/>
          <w:rFonts w:cstheme="minorHAnsi"/>
          <w:color w:val="000000"/>
          <w:shd w:val="clear" w:color="auto" w:fill="FFFFFF"/>
        </w:rPr>
        <w:t>stay</w:t>
      </w:r>
      <w:r w:rsidR="00CA48D1">
        <w:rPr>
          <w:rStyle w:val="eop"/>
          <w:rFonts w:cstheme="minorHAnsi"/>
          <w:color w:val="000000"/>
          <w:shd w:val="clear" w:color="auto" w:fill="FFFFFF"/>
        </w:rPr>
        <w:t>ing</w:t>
      </w:r>
      <w:r w:rsidR="00422C0D" w:rsidRPr="00422C0D">
        <w:rPr>
          <w:rStyle w:val="eop"/>
          <w:rFonts w:cstheme="minorHAnsi"/>
          <w:color w:val="000000"/>
          <w:shd w:val="clear" w:color="auto" w:fill="FFFFFF"/>
        </w:rPr>
        <w:t xml:space="preserve"> enrolled beyond </w:t>
      </w:r>
      <w:r w:rsidR="00CA48D1">
        <w:rPr>
          <w:rStyle w:val="eop"/>
          <w:rFonts w:cstheme="minorHAnsi"/>
          <w:color w:val="000000"/>
          <w:shd w:val="clear" w:color="auto" w:fill="FFFFFF"/>
        </w:rPr>
        <w:t>4</w:t>
      </w:r>
      <w:r w:rsidR="00422C0D" w:rsidRPr="00422C0D">
        <w:rPr>
          <w:rStyle w:val="eop"/>
          <w:rFonts w:cstheme="minorHAnsi"/>
          <w:color w:val="000000"/>
          <w:shd w:val="clear" w:color="auto" w:fill="FFFFFF"/>
        </w:rPr>
        <w:t xml:space="preserve"> years</w:t>
      </w:r>
      <w:r w:rsidR="00CA48D1">
        <w:rPr>
          <w:rStyle w:val="eop"/>
          <w:rFonts w:cstheme="minorHAnsi"/>
          <w:color w:val="000000"/>
          <w:shd w:val="clear" w:color="auto" w:fill="FFFFFF"/>
        </w:rPr>
        <w:t>.</w:t>
      </w:r>
      <w:r w:rsidR="00422C0D" w:rsidRPr="00422C0D">
        <w:rPr>
          <w:rStyle w:val="eop"/>
          <w:rFonts w:cstheme="minorHAnsi"/>
          <w:color w:val="000000"/>
          <w:shd w:val="clear" w:color="auto" w:fill="FFFFFF"/>
        </w:rPr>
        <w:t xml:space="preserve"> However, </w:t>
      </w:r>
      <w:r w:rsidR="001B7455">
        <w:rPr>
          <w:rStyle w:val="eop"/>
          <w:rFonts w:cstheme="minorHAnsi"/>
          <w:color w:val="000000"/>
          <w:shd w:val="clear" w:color="auto" w:fill="FFFFFF"/>
        </w:rPr>
        <w:t>this measure’s</w:t>
      </w:r>
      <w:r w:rsidR="00422C0D" w:rsidRPr="00422C0D">
        <w:rPr>
          <w:rStyle w:val="eop"/>
          <w:rFonts w:cstheme="minorHAnsi"/>
          <w:color w:val="000000"/>
          <w:shd w:val="clear" w:color="auto" w:fill="FFFFFF"/>
        </w:rPr>
        <w:t xml:space="preserve"> </w:t>
      </w:r>
      <w:r w:rsidR="002C4874">
        <w:rPr>
          <w:rStyle w:val="eop"/>
          <w:rFonts w:cstheme="minorHAnsi"/>
          <w:color w:val="000000"/>
          <w:shd w:val="clear" w:color="auto" w:fill="FFFFFF"/>
        </w:rPr>
        <w:t xml:space="preserve">impact on the </w:t>
      </w:r>
      <w:r w:rsidR="000E327A">
        <w:rPr>
          <w:rStyle w:val="eop"/>
          <w:rFonts w:cstheme="minorHAnsi"/>
          <w:color w:val="000000"/>
          <w:shd w:val="clear" w:color="auto" w:fill="FFFFFF"/>
        </w:rPr>
        <w:t xml:space="preserve">overall determination </w:t>
      </w:r>
      <w:r w:rsidR="00422C0D" w:rsidRPr="00422C0D">
        <w:rPr>
          <w:rStyle w:val="eop"/>
          <w:rFonts w:cstheme="minorHAnsi"/>
          <w:color w:val="000000"/>
          <w:shd w:val="clear" w:color="auto" w:fill="FFFFFF"/>
        </w:rPr>
        <w:t>calculation</w:t>
      </w:r>
      <w:r w:rsidR="002C4874">
        <w:rPr>
          <w:rStyle w:val="eop"/>
          <w:rFonts w:cstheme="minorHAnsi"/>
          <w:color w:val="000000"/>
          <w:shd w:val="clear" w:color="auto" w:fill="FFFFFF"/>
        </w:rPr>
        <w:t xml:space="preserve"> is </w:t>
      </w:r>
      <w:r w:rsidR="0084779D">
        <w:rPr>
          <w:rStyle w:val="eop"/>
          <w:rFonts w:cstheme="minorHAnsi"/>
          <w:color w:val="000000"/>
          <w:shd w:val="clear" w:color="auto" w:fill="FFFFFF"/>
        </w:rPr>
        <w:t>reasonable</w:t>
      </w:r>
      <w:r w:rsidR="002C4874">
        <w:rPr>
          <w:rStyle w:val="eop"/>
          <w:rFonts w:cstheme="minorHAnsi"/>
          <w:color w:val="000000"/>
          <w:shd w:val="clear" w:color="auto" w:fill="FFFFFF"/>
        </w:rPr>
        <w:t xml:space="preserve"> as it represents </w:t>
      </w:r>
      <w:r w:rsidR="002C4874" w:rsidRPr="00422C0D">
        <w:rPr>
          <w:rStyle w:val="eop"/>
          <w:rFonts w:cstheme="minorHAnsi"/>
          <w:color w:val="000000"/>
          <w:shd w:val="clear" w:color="auto" w:fill="FFFFFF"/>
        </w:rPr>
        <w:t xml:space="preserve">only one </w:t>
      </w:r>
      <w:r w:rsidR="002C4874">
        <w:rPr>
          <w:rStyle w:val="eop"/>
          <w:rFonts w:cstheme="minorHAnsi"/>
          <w:color w:val="000000"/>
          <w:shd w:val="clear" w:color="auto" w:fill="FFFFFF"/>
        </w:rPr>
        <w:t xml:space="preserve">of seven </w:t>
      </w:r>
      <w:r w:rsidR="002C4874" w:rsidRPr="00422C0D">
        <w:rPr>
          <w:rStyle w:val="eop"/>
          <w:rFonts w:cstheme="minorHAnsi"/>
          <w:color w:val="000000"/>
          <w:shd w:val="clear" w:color="auto" w:fill="FFFFFF"/>
        </w:rPr>
        <w:t>measure</w:t>
      </w:r>
      <w:r w:rsidR="002C4874">
        <w:rPr>
          <w:rStyle w:val="eop"/>
          <w:rFonts w:cstheme="minorHAnsi"/>
          <w:color w:val="000000"/>
          <w:shd w:val="clear" w:color="auto" w:fill="FFFFFF"/>
        </w:rPr>
        <w:t>s</w:t>
      </w:r>
      <w:r w:rsidR="004023FA">
        <w:rPr>
          <w:rStyle w:val="eop"/>
          <w:rFonts w:cstheme="minorHAnsi"/>
          <w:color w:val="000000"/>
          <w:shd w:val="clear" w:color="auto" w:fill="FFFFFF"/>
        </w:rPr>
        <w:t xml:space="preserve"> in the rubric</w:t>
      </w:r>
      <w:r w:rsidR="002C4874">
        <w:rPr>
          <w:rStyle w:val="eop"/>
          <w:rFonts w:cstheme="minorHAnsi"/>
          <w:color w:val="000000"/>
          <w:shd w:val="clear" w:color="auto" w:fill="FFFFFF"/>
        </w:rPr>
        <w:t>.</w:t>
      </w:r>
    </w:p>
    <w:p w14:paraId="1364276A" w14:textId="5E90F825" w:rsidR="00CB1A6A" w:rsidRDefault="00CB1A6A" w:rsidP="00C81FE9">
      <w:pPr>
        <w:ind w:left="720"/>
        <w:rPr>
          <w:rStyle w:val="normaltextrun"/>
          <w:rFonts w:cstheme="minorHAnsi"/>
          <w:b/>
          <w:bCs/>
          <w:color w:val="000000"/>
          <w:shd w:val="clear" w:color="auto" w:fill="FFFFFF"/>
        </w:rPr>
      </w:pPr>
      <w:r>
        <w:rPr>
          <w:rFonts w:cstheme="minorHAnsi"/>
          <w:b/>
          <w:bCs/>
        </w:rPr>
        <w:t xml:space="preserve">Where is my </w:t>
      </w:r>
      <w:r w:rsidR="00D10B05">
        <w:rPr>
          <w:rFonts w:cstheme="minorHAnsi"/>
          <w:b/>
          <w:bCs/>
        </w:rPr>
        <w:t>district</w:t>
      </w:r>
      <w:r>
        <w:rPr>
          <w:rFonts w:cstheme="minorHAnsi"/>
          <w:b/>
          <w:bCs/>
        </w:rPr>
        <w:t xml:space="preserve">’s </w:t>
      </w:r>
      <w:r>
        <w:rPr>
          <w:rStyle w:val="contextualspellingandgrammarerror"/>
          <w:rFonts w:cstheme="minorHAnsi"/>
          <w:b/>
          <w:bCs/>
          <w:color w:val="000000"/>
          <w:shd w:val="clear" w:color="auto" w:fill="FFFFFF"/>
        </w:rPr>
        <w:t xml:space="preserve">5-year </w:t>
      </w:r>
      <w:r w:rsidR="00471D2F">
        <w:rPr>
          <w:rStyle w:val="contextualspellingandgrammarerror"/>
          <w:rFonts w:cstheme="minorHAnsi"/>
          <w:b/>
          <w:bCs/>
          <w:color w:val="000000"/>
          <w:shd w:val="clear" w:color="auto" w:fill="FFFFFF"/>
        </w:rPr>
        <w:t xml:space="preserve">cohort </w:t>
      </w:r>
      <w:r>
        <w:rPr>
          <w:rStyle w:val="contextualspellingandgrammarerror"/>
          <w:rFonts w:cstheme="minorHAnsi"/>
          <w:b/>
          <w:bCs/>
          <w:color w:val="000000"/>
          <w:shd w:val="clear" w:color="auto" w:fill="FFFFFF"/>
        </w:rPr>
        <w:t>graduation data publicly reported?</w:t>
      </w:r>
      <w:r w:rsidRPr="00E579D7">
        <w:rPr>
          <w:rStyle w:val="normaltextrun"/>
          <w:rFonts w:cstheme="minorHAnsi"/>
          <w:b/>
          <w:bCs/>
          <w:color w:val="000000"/>
          <w:shd w:val="clear" w:color="auto" w:fill="FFFFFF"/>
        </w:rPr>
        <w:t> </w:t>
      </w:r>
    </w:p>
    <w:p w14:paraId="7ED1DAD0" w14:textId="18264391" w:rsidR="00471D2F" w:rsidRPr="00471D2F" w:rsidRDefault="00000000" w:rsidP="03C077EC">
      <w:pPr>
        <w:ind w:left="1440"/>
        <w:rPr>
          <w:rFonts w:eastAsiaTheme="minorEastAsia"/>
        </w:rPr>
      </w:pPr>
      <w:hyperlink r:id="rId43" w:history="1">
        <w:r w:rsidR="00471D2F" w:rsidRPr="00A728F3">
          <w:rPr>
            <w:rStyle w:val="Hyperlink"/>
            <w:rFonts w:eastAsia="Calibri Light"/>
          </w:rPr>
          <w:t>202</w:t>
        </w:r>
        <w:r w:rsidR="69700A80" w:rsidRPr="00A728F3">
          <w:rPr>
            <w:rStyle w:val="Hyperlink"/>
            <w:rFonts w:eastAsia="Calibri Light"/>
          </w:rPr>
          <w:t>1</w:t>
        </w:r>
        <w:r w:rsidR="00471D2F" w:rsidRPr="00A728F3">
          <w:rPr>
            <w:rStyle w:val="Hyperlink"/>
            <w:rFonts w:eastAsia="Calibri Light"/>
          </w:rPr>
          <w:t xml:space="preserve"> 5-Year Graduation Rate</w:t>
        </w:r>
      </w:hyperlink>
      <w:r w:rsidR="00471D2F" w:rsidRPr="03C077EC">
        <w:rPr>
          <w:rFonts w:eastAsia="Calibri Light"/>
        </w:rPr>
        <w:t>: Use the dropdown lists to filter on year, rate type, and group.</w:t>
      </w:r>
      <w:r w:rsidR="00471D2F" w:rsidRPr="03C077EC">
        <w:rPr>
          <w:rFonts w:eastAsiaTheme="minorEastAsia"/>
        </w:rPr>
        <w:t xml:space="preserve"> </w:t>
      </w:r>
    </w:p>
    <w:p w14:paraId="4271485A" w14:textId="7C5B518E" w:rsidR="00422C0D" w:rsidRPr="00E579D7" w:rsidRDefault="00422C0D" w:rsidP="00C81FE9">
      <w:pPr>
        <w:ind w:left="720"/>
        <w:rPr>
          <w:rFonts w:cstheme="minorHAnsi"/>
          <w:b/>
          <w:bCs/>
        </w:rPr>
      </w:pPr>
      <w:r w:rsidRPr="00E579D7">
        <w:rPr>
          <w:rFonts w:cstheme="minorHAnsi"/>
          <w:b/>
          <w:bCs/>
        </w:rPr>
        <w:t xml:space="preserve">Why are the graduation rates for our high school different than the </w:t>
      </w:r>
      <w:r w:rsidR="00D10B05">
        <w:rPr>
          <w:rFonts w:cstheme="minorHAnsi"/>
          <w:b/>
          <w:bCs/>
        </w:rPr>
        <w:t>district</w:t>
      </w:r>
      <w:r w:rsidRPr="00E579D7">
        <w:rPr>
          <w:rFonts w:cstheme="minorHAnsi"/>
          <w:b/>
          <w:bCs/>
        </w:rPr>
        <w:t>?</w:t>
      </w:r>
    </w:p>
    <w:p w14:paraId="136E889F" w14:textId="77777777" w:rsidR="00A05197" w:rsidRDefault="00422C0D" w:rsidP="00C81FE9">
      <w:pPr>
        <w:ind w:left="1440"/>
        <w:rPr>
          <w:rFonts w:cstheme="minorHAnsi"/>
        </w:rPr>
      </w:pPr>
      <w:r w:rsidRPr="00E579D7">
        <w:rPr>
          <w:rFonts w:cstheme="minorHAnsi"/>
        </w:rPr>
        <w:t xml:space="preserve">Publicly funded students placed in collaboratives and private special education schools are included in the </w:t>
      </w:r>
      <w:r w:rsidR="00D10B05">
        <w:rPr>
          <w:rFonts w:cstheme="minorHAnsi"/>
        </w:rPr>
        <w:t>district</w:t>
      </w:r>
      <w:r w:rsidRPr="00E579D7">
        <w:rPr>
          <w:rFonts w:cstheme="minorHAnsi"/>
        </w:rPr>
        <w:t xml:space="preserve"> rates. School rates only include students enrolled at the high school.</w:t>
      </w:r>
      <w:r w:rsidR="001B0153">
        <w:rPr>
          <w:rFonts w:cstheme="minorHAnsi"/>
        </w:rPr>
        <w:t xml:space="preserve"> </w:t>
      </w:r>
    </w:p>
    <w:p w14:paraId="0EF169DC" w14:textId="4E28EF3B" w:rsidR="00422C0D" w:rsidRPr="00E579D7" w:rsidRDefault="001B0153" w:rsidP="00C81FE9">
      <w:pPr>
        <w:ind w:left="1440"/>
        <w:rPr>
          <w:rFonts w:cstheme="minorHAnsi"/>
        </w:rPr>
      </w:pPr>
      <w:r w:rsidRPr="001B0153">
        <w:rPr>
          <w:rFonts w:cstheme="minorHAnsi"/>
        </w:rPr>
        <w:t xml:space="preserve">For more information see </w:t>
      </w:r>
      <w:r w:rsidR="00096757">
        <w:rPr>
          <w:rFonts w:cstheme="minorHAnsi"/>
        </w:rPr>
        <w:t xml:space="preserve">Information </w:t>
      </w:r>
      <w:r w:rsidR="00096757" w:rsidRPr="00B81735">
        <w:rPr>
          <w:rFonts w:cstheme="minorHAnsi"/>
        </w:rPr>
        <w:t xml:space="preserve">Services </w:t>
      </w:r>
      <w:hyperlink r:id="rId44" w:anchor="6" w:history="1">
        <w:r w:rsidR="00096757" w:rsidRPr="00EA2E11">
          <w:rPr>
            <w:rStyle w:val="Hyperlink"/>
            <w:rFonts w:cstheme="minorHAnsi"/>
          </w:rPr>
          <w:t>Frequently Asked Questions</w:t>
        </w:r>
      </w:hyperlink>
      <w:r w:rsidR="00096757">
        <w:rPr>
          <w:rFonts w:cstheme="minorHAnsi"/>
        </w:rPr>
        <w:t xml:space="preserve"> </w:t>
      </w:r>
      <w:r w:rsidRPr="001B0153">
        <w:rPr>
          <w:rFonts w:cstheme="minorHAnsi"/>
        </w:rPr>
        <w:t>#6.</w:t>
      </w:r>
    </w:p>
    <w:p w14:paraId="1FCDAB0A" w14:textId="041D79FE" w:rsidR="007B21B1" w:rsidRPr="00E579D7" w:rsidRDefault="007B21B1" w:rsidP="00C81FE9">
      <w:pPr>
        <w:ind w:left="720"/>
        <w:rPr>
          <w:rFonts w:cstheme="minorHAnsi"/>
          <w:b/>
          <w:bCs/>
        </w:rPr>
      </w:pPr>
      <w:r w:rsidRPr="00E579D7">
        <w:rPr>
          <w:rFonts w:cstheme="minorHAnsi"/>
          <w:b/>
          <w:bCs/>
        </w:rPr>
        <w:t xml:space="preserve">For graduation rates, which data do we use to reconstruct and analyze the data so that we can address these concerns? </w:t>
      </w:r>
    </w:p>
    <w:p w14:paraId="302752C9" w14:textId="35A75E5B" w:rsidR="007B21B1" w:rsidRPr="00E579D7" w:rsidRDefault="007B21B1" w:rsidP="00C81FE9">
      <w:pPr>
        <w:ind w:left="1440"/>
      </w:pPr>
      <w:r w:rsidRPr="541C7364">
        <w:t xml:space="preserve">The </w:t>
      </w:r>
      <w:hyperlink r:id="rId45">
        <w:r w:rsidRPr="541C7364">
          <w:rPr>
            <w:rStyle w:val="Hyperlink"/>
          </w:rPr>
          <w:t>Security Portal</w:t>
        </w:r>
      </w:hyperlink>
      <w:r w:rsidRPr="541C7364">
        <w:t xml:space="preserve"> has graduation and dropout reports, which you can access with the right permissions. </w:t>
      </w:r>
      <w:r w:rsidR="00730CBD" w:rsidRPr="541C7364">
        <w:t xml:space="preserve">(See screenshot below) </w:t>
      </w:r>
      <w:r w:rsidRPr="541C7364">
        <w:t xml:space="preserve">If you do not have access to the report shown in the screenshot below, contact your </w:t>
      </w:r>
      <w:r w:rsidR="6B04C067" w:rsidRPr="541C7364">
        <w:t xml:space="preserve">district’s </w:t>
      </w:r>
      <w:hyperlink r:id="rId46" w:history="1">
        <w:r w:rsidR="00314B09" w:rsidRPr="007552C4">
          <w:rPr>
            <w:rStyle w:val="Hyperlink"/>
          </w:rPr>
          <w:t>directory administrator</w:t>
        </w:r>
      </w:hyperlink>
      <w:r w:rsidRPr="007552C4">
        <w:t>.</w:t>
      </w:r>
    </w:p>
    <w:p w14:paraId="6F9FACAD" w14:textId="13C6C559" w:rsidR="007B21B1" w:rsidRPr="00E579D7" w:rsidRDefault="00D05405" w:rsidP="00C81FE9">
      <w:pPr>
        <w:ind w:left="1440"/>
        <w:rPr>
          <w:rFonts w:cstheme="minorHAnsi"/>
        </w:rPr>
      </w:pPr>
      <w:r>
        <w:rPr>
          <w:rFonts w:cstheme="minorHAnsi"/>
          <w:noProof/>
          <w:color w:val="2B579A"/>
          <w:shd w:val="clear" w:color="auto" w:fill="E6E6E6"/>
        </w:rPr>
        <w:drawing>
          <wp:inline distT="0" distB="0" distL="0" distR="0" wp14:anchorId="620A97F9" wp14:editId="72CF9DE3">
            <wp:extent cx="5781675" cy="1752600"/>
            <wp:effectExtent l="19050" t="19050" r="28575" b="19050"/>
            <wp:docPr id="1" name="Picture 1" descr="Image of security portal user interface: District Reports, graduation rate, select a school, district and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mage of security portal user interface: District Reports, graduation rate, select a school, district and yea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781675" cy="1752600"/>
                    </a:xfrm>
                    <a:prstGeom prst="rect">
                      <a:avLst/>
                    </a:prstGeom>
                    <a:noFill/>
                    <a:ln>
                      <a:solidFill>
                        <a:schemeClr val="accent1"/>
                      </a:solidFill>
                    </a:ln>
                  </pic:spPr>
                </pic:pic>
              </a:graphicData>
            </a:graphic>
          </wp:inline>
        </w:drawing>
      </w:r>
    </w:p>
    <w:p w14:paraId="301D692B" w14:textId="6E8C8EB2" w:rsidR="00225109" w:rsidRPr="006864D7" w:rsidRDefault="00225109" w:rsidP="00C81FE9">
      <w:pPr>
        <w:ind w:left="720"/>
        <w:rPr>
          <w:rFonts w:cstheme="minorHAnsi"/>
          <w:b/>
          <w:bCs/>
        </w:rPr>
      </w:pPr>
      <w:r w:rsidRPr="006864D7">
        <w:rPr>
          <w:rFonts w:cstheme="minorHAnsi"/>
          <w:b/>
          <w:bCs/>
        </w:rPr>
        <w:t xml:space="preserve">How can I get a list of the students identified in the respective categories? </w:t>
      </w:r>
    </w:p>
    <w:p w14:paraId="2BC128DF" w14:textId="37F5F787" w:rsidR="00436EE4" w:rsidRDefault="6E59F939" w:rsidP="541C7364">
      <w:pPr>
        <w:pStyle w:val="paragraph"/>
        <w:spacing w:before="0" w:beforeAutospacing="0" w:after="240" w:afterAutospacing="0"/>
        <w:ind w:left="1440"/>
        <w:rPr>
          <w:rFonts w:asciiTheme="minorHAnsi" w:hAnsiTheme="minorHAnsi" w:cstheme="minorBidi"/>
          <w:sz w:val="22"/>
          <w:szCs w:val="22"/>
        </w:rPr>
      </w:pPr>
      <w:r w:rsidRPr="541C7364">
        <w:rPr>
          <w:rStyle w:val="normaltextrun"/>
          <w:rFonts w:asciiTheme="minorHAnsi" w:hAnsiTheme="minorHAnsi" w:cstheme="minorBidi"/>
          <w:sz w:val="22"/>
          <w:szCs w:val="22"/>
        </w:rPr>
        <w:t>This information is available in a Security Portal application. Contact your district’</w:t>
      </w:r>
      <w:r w:rsidR="00763F44">
        <w:rPr>
          <w:rStyle w:val="normaltextrun"/>
          <w:rFonts w:asciiTheme="minorHAnsi" w:hAnsiTheme="minorHAnsi" w:cstheme="minorBidi"/>
          <w:sz w:val="22"/>
          <w:szCs w:val="22"/>
        </w:rPr>
        <w:t>s</w:t>
      </w:r>
      <w:r w:rsidRPr="541C7364">
        <w:rPr>
          <w:rStyle w:val="normaltextrun"/>
          <w:rFonts w:asciiTheme="minorHAnsi" w:hAnsiTheme="minorHAnsi" w:cstheme="minorBidi"/>
          <w:sz w:val="22"/>
          <w:szCs w:val="22"/>
        </w:rPr>
        <w:t xml:space="preserve"> </w:t>
      </w:r>
      <w:hyperlink r:id="rId47" w:history="1">
        <w:r w:rsidR="00E7066F" w:rsidRPr="007552C4">
          <w:rPr>
            <w:rStyle w:val="Hyperlink"/>
            <w:rFonts w:asciiTheme="minorHAnsi" w:hAnsiTheme="minorHAnsi" w:cstheme="minorBidi"/>
            <w:sz w:val="22"/>
            <w:szCs w:val="22"/>
          </w:rPr>
          <w:t>directory administrator</w:t>
        </w:r>
      </w:hyperlink>
      <w:r w:rsidRPr="00472DD2">
        <w:rPr>
          <w:rFonts w:asciiTheme="minorHAnsi" w:hAnsiTheme="minorHAnsi" w:cstheme="minorBidi"/>
          <w:sz w:val="22"/>
          <w:szCs w:val="22"/>
        </w:rPr>
        <w:t>.</w:t>
      </w:r>
    </w:p>
    <w:p w14:paraId="03EACDF5" w14:textId="77777777" w:rsidR="00425CC7" w:rsidRPr="00FB0630" w:rsidRDefault="00425CC7" w:rsidP="00C81FE9">
      <w:pPr>
        <w:ind w:left="720"/>
        <w:rPr>
          <w:rFonts w:eastAsia="Times New Roman" w:cstheme="minorHAnsi"/>
          <w:b/>
          <w:bCs/>
        </w:rPr>
      </w:pPr>
      <w:r w:rsidRPr="00FB0630">
        <w:rPr>
          <w:rFonts w:eastAsia="Times New Roman" w:cstheme="minorHAnsi"/>
          <w:b/>
          <w:bCs/>
        </w:rPr>
        <w:t>What resources are available to help me better understand this data?</w:t>
      </w:r>
    </w:p>
    <w:p w14:paraId="307ED6CB" w14:textId="14718067" w:rsidR="00425CC7" w:rsidRPr="00917077" w:rsidRDefault="00000000" w:rsidP="00201ABB">
      <w:pPr>
        <w:pStyle w:val="ListParagraph"/>
        <w:numPr>
          <w:ilvl w:val="0"/>
          <w:numId w:val="3"/>
        </w:numPr>
        <w:snapToGrid/>
        <w:ind w:left="1800"/>
        <w:contextualSpacing/>
        <w:rPr>
          <w:rFonts w:asciiTheme="minorHAnsi" w:eastAsiaTheme="minorEastAsia" w:hAnsiTheme="minorHAnsi" w:cstheme="minorHAnsi"/>
          <w:sz w:val="22"/>
          <w:szCs w:val="22"/>
        </w:rPr>
      </w:pPr>
      <w:hyperlink r:id="rId48" w:history="1">
        <w:r w:rsidR="00425CC7" w:rsidRPr="00796B9D">
          <w:rPr>
            <w:rStyle w:val="Hyperlink"/>
            <w:rFonts w:asciiTheme="minorHAnsi" w:eastAsia="Calibri" w:hAnsiTheme="minorHAnsi" w:cstheme="minorHAnsi"/>
            <w:sz w:val="22"/>
            <w:szCs w:val="22"/>
          </w:rPr>
          <w:t>Graduation Rates</w:t>
        </w:r>
      </w:hyperlink>
      <w:r w:rsidR="00425CC7" w:rsidRPr="00917077">
        <w:rPr>
          <w:rFonts w:asciiTheme="minorHAnsi" w:eastAsia="Calibri" w:hAnsiTheme="minorHAnsi" w:cstheme="minorHAnsi"/>
          <w:sz w:val="22"/>
          <w:szCs w:val="22"/>
        </w:rPr>
        <w:t xml:space="preserve"> </w:t>
      </w:r>
    </w:p>
    <w:p w14:paraId="75F93E2E" w14:textId="11D0B960" w:rsidR="00A2657C" w:rsidRPr="00B81735" w:rsidRDefault="009B34C3" w:rsidP="00201ABB">
      <w:pPr>
        <w:pStyle w:val="ListParagraph"/>
        <w:numPr>
          <w:ilvl w:val="0"/>
          <w:numId w:val="3"/>
        </w:numPr>
        <w:spacing w:after="240"/>
        <w:ind w:left="1800"/>
        <w:contextualSpacing/>
        <w:rPr>
          <w:rFonts w:asciiTheme="minorHAnsi" w:hAnsiTheme="minorHAnsi" w:cstheme="minorHAnsi"/>
          <w:sz w:val="22"/>
          <w:szCs w:val="22"/>
        </w:rPr>
      </w:pPr>
      <w:r w:rsidRPr="00B81735">
        <w:rPr>
          <w:rFonts w:asciiTheme="minorHAnsi" w:hAnsiTheme="minorHAnsi" w:cstheme="minorHAnsi"/>
          <w:sz w:val="22"/>
          <w:szCs w:val="22"/>
        </w:rPr>
        <w:t xml:space="preserve">Information Services </w:t>
      </w:r>
      <w:hyperlink r:id="rId49" w:anchor="6" w:history="1">
        <w:r w:rsidRPr="00EA2E11">
          <w:rPr>
            <w:rStyle w:val="Hyperlink"/>
            <w:rFonts w:asciiTheme="minorHAnsi" w:hAnsiTheme="minorHAnsi" w:cstheme="minorHAnsi"/>
            <w:sz w:val="22"/>
            <w:szCs w:val="22"/>
          </w:rPr>
          <w:t>Frequently Asked Questions</w:t>
        </w:r>
      </w:hyperlink>
    </w:p>
    <w:p w14:paraId="6F127189" w14:textId="77777777" w:rsidR="0027768F" w:rsidRPr="003D06AC" w:rsidRDefault="0027768F" w:rsidP="00201ABB">
      <w:pPr>
        <w:pStyle w:val="ListParagraph"/>
        <w:numPr>
          <w:ilvl w:val="0"/>
          <w:numId w:val="3"/>
        </w:numPr>
        <w:spacing w:after="240"/>
        <w:ind w:left="1800"/>
        <w:contextualSpacing/>
        <w:rPr>
          <w:rStyle w:val="eop"/>
          <w:rFonts w:asciiTheme="minorHAnsi" w:hAnsiTheme="minorHAnsi" w:cstheme="minorHAnsi"/>
          <w:sz w:val="22"/>
          <w:szCs w:val="22"/>
        </w:rPr>
      </w:pPr>
      <w:r>
        <w:rPr>
          <w:rFonts w:asciiTheme="minorHAnsi" w:hAnsiTheme="minorHAnsi" w:cstheme="minorHAnsi"/>
          <w:sz w:val="22"/>
          <w:szCs w:val="22"/>
        </w:rPr>
        <w:t xml:space="preserve">Contact </w:t>
      </w:r>
      <w:hyperlink r:id="rId50" w:history="1">
        <w:r w:rsidRPr="001F478E">
          <w:rPr>
            <w:rStyle w:val="Hyperlink"/>
            <w:rFonts w:asciiTheme="minorHAnsi" w:hAnsiTheme="minorHAnsi" w:cstheme="minorHAnsi"/>
            <w:sz w:val="22"/>
            <w:szCs w:val="22"/>
          </w:rPr>
          <w:t>Education Data Services</w:t>
        </w:r>
      </w:hyperlink>
      <w:r>
        <w:rPr>
          <w:rFonts w:asciiTheme="minorHAnsi" w:hAnsiTheme="minorHAnsi" w:cstheme="minorHAnsi"/>
          <w:sz w:val="22"/>
          <w:szCs w:val="22"/>
        </w:rPr>
        <w:t xml:space="preserve"> </w:t>
      </w:r>
    </w:p>
    <w:p w14:paraId="3160B1CC" w14:textId="298F8BBF" w:rsidR="00C54EA0" w:rsidRDefault="00C54EA0" w:rsidP="00F47A5E">
      <w:pPr>
        <w:pStyle w:val="Heading2"/>
        <w:rPr>
          <w:rStyle w:val="eop"/>
          <w:b/>
          <w:bCs/>
        </w:rPr>
      </w:pPr>
      <w:bookmarkStart w:id="13" w:name="_Public_School_Monitoring"/>
      <w:bookmarkStart w:id="14" w:name="_SPP/APR_Indicator_3"/>
      <w:bookmarkEnd w:id="13"/>
      <w:bookmarkEnd w:id="14"/>
      <w:r>
        <w:rPr>
          <w:rStyle w:val="eop"/>
          <w:b/>
          <w:bCs/>
        </w:rPr>
        <w:t>SPP/APR Indicator 3 - NEW</w:t>
      </w:r>
    </w:p>
    <w:p w14:paraId="51C3A079" w14:textId="61CD621A" w:rsidR="00592E09" w:rsidRPr="00C54EA0" w:rsidRDefault="00C54EA0" w:rsidP="00592E09">
      <w:pPr>
        <w:ind w:left="720"/>
      </w:pPr>
      <w:r>
        <w:t xml:space="preserve">This year, </w:t>
      </w:r>
      <w:r w:rsidR="002916E7">
        <w:t>the Department has introduced a new data point, using information from the State Performance Plan and Annual Performance Report (SPP/APR) Indicator 3- Statewide Assessment. Indicator 3 includes four separate measurements, across six different groups. For the 2023-2024 Determinations, the Department is using Indicator 3D (Gap in Proficiency Rates for Students with IEPs to All Students), specifically looking at</w:t>
      </w:r>
      <w:r w:rsidR="004E615F">
        <w:t xml:space="preserve"> the group that contains:</w:t>
      </w:r>
      <w:r w:rsidR="002916E7">
        <w:t xml:space="preserve"> Grade 8 Reading data. </w:t>
      </w:r>
      <w:r w:rsidR="00592E09">
        <w:t>For districts that do not have Grade 8 students or data, this category will not be used in their LEA Determination</w:t>
      </w:r>
      <w:r w:rsidR="00D86475">
        <w:t xml:space="preserve"> rating</w:t>
      </w:r>
      <w:r w:rsidR="00592E09">
        <w:t xml:space="preserve">. </w:t>
      </w:r>
    </w:p>
    <w:p w14:paraId="557009DD" w14:textId="58F016ED" w:rsidR="00C54EA0" w:rsidRDefault="00C54EA0" w:rsidP="00531E67">
      <w:pPr>
        <w:ind w:left="720"/>
      </w:pPr>
    </w:p>
    <w:p w14:paraId="0E4099AD" w14:textId="19A5A6F6" w:rsidR="002E5422" w:rsidRPr="00D02255" w:rsidRDefault="002E5422" w:rsidP="00D02255">
      <w:pPr>
        <w:ind w:left="720"/>
        <w:rPr>
          <w:b/>
          <w:bCs/>
        </w:rPr>
      </w:pPr>
      <w:r w:rsidRPr="00D02255">
        <w:rPr>
          <w:b/>
          <w:bCs/>
        </w:rPr>
        <w:lastRenderedPageBreak/>
        <w:t>What is the Gap in Proficiency</w:t>
      </w:r>
      <w:r w:rsidR="009950B0" w:rsidRPr="00D02255">
        <w:rPr>
          <w:b/>
          <w:bCs/>
        </w:rPr>
        <w:t xml:space="preserve"> Rates</w:t>
      </w:r>
      <w:r w:rsidRPr="00D02255">
        <w:rPr>
          <w:b/>
          <w:bCs/>
        </w:rPr>
        <w:t>?</w:t>
      </w:r>
    </w:p>
    <w:p w14:paraId="1F5FBF53" w14:textId="69033085" w:rsidR="009950B0" w:rsidRDefault="00EC440F" w:rsidP="00D02255">
      <w:pPr>
        <w:ind w:left="1440"/>
      </w:pPr>
      <w:r>
        <w:t>The data for this Indicator looks at the proficiency rate for children with IEPs, scoring at or above proficient on the MCAS</w:t>
      </w:r>
      <w:r w:rsidR="002B468A">
        <w:t xml:space="preserve"> (Exceeding Expectations and Meeting Expectations), subtracted from the proficiency rate for all students scoring at or above proficient on the MCAS (Exceeding Expectations and Meeting Expectations)</w:t>
      </w:r>
    </w:p>
    <w:p w14:paraId="56D5AB0D" w14:textId="6E67A199" w:rsidR="00745FA1" w:rsidRDefault="008134B1" w:rsidP="00D02255">
      <w:pPr>
        <w:ind w:left="720"/>
      </w:pPr>
      <w:r w:rsidRPr="00D02255">
        <w:rPr>
          <w:b/>
          <w:bCs/>
        </w:rPr>
        <w:t xml:space="preserve">Why </w:t>
      </w:r>
      <w:r w:rsidR="008D4231" w:rsidRPr="00D02255">
        <w:rPr>
          <w:b/>
          <w:bCs/>
        </w:rPr>
        <w:t xml:space="preserve">Proficiency Gap in </w:t>
      </w:r>
      <w:r w:rsidRPr="00D02255">
        <w:rPr>
          <w:b/>
          <w:bCs/>
        </w:rPr>
        <w:t>Grade 8 Reading</w:t>
      </w:r>
      <w:r>
        <w:t>?</w:t>
      </w:r>
    </w:p>
    <w:p w14:paraId="7142022C" w14:textId="3AC117C3" w:rsidR="008134B1" w:rsidRDefault="008D4231" w:rsidP="00D02255">
      <w:pPr>
        <w:ind w:left="1440"/>
      </w:pPr>
      <w:r>
        <w:t xml:space="preserve">Since there are multiple measurements within Indicator 3 and </w:t>
      </w:r>
      <w:r w:rsidR="004C5586">
        <w:t xml:space="preserve">six different data sources (Grades 4, 8, and HS for both Reading and Math), the Department wanted to </w:t>
      </w:r>
      <w:r w:rsidR="004E615F">
        <w:t>choose</w:t>
      </w:r>
      <w:r w:rsidR="004C5586">
        <w:t xml:space="preserve"> a single group in be used in this </w:t>
      </w:r>
      <w:proofErr w:type="spellStart"/>
      <w:r w:rsidR="004C5586">
        <w:t>years</w:t>
      </w:r>
      <w:proofErr w:type="spellEnd"/>
      <w:r w:rsidR="004C5586">
        <w:t xml:space="preserve"> Determination and looked at historical data for the performance across all </w:t>
      </w:r>
      <w:proofErr w:type="gramStart"/>
      <w:r w:rsidR="004C5586">
        <w:t>groups, and</w:t>
      </w:r>
      <w:proofErr w:type="gramEnd"/>
      <w:r w:rsidR="004C5586">
        <w:t xml:space="preserve"> chose Grade 8 Reading as the entry point. The Department will reassess </w:t>
      </w:r>
      <w:r w:rsidR="00D02255">
        <w:t>the inclusion of Indicator 3 and adding in more groups in future years.</w:t>
      </w:r>
    </w:p>
    <w:p w14:paraId="319A8F53" w14:textId="4B8A4800" w:rsidR="00D02255" w:rsidRPr="00D02255" w:rsidRDefault="00D02255" w:rsidP="00D02255">
      <w:pPr>
        <w:ind w:left="720"/>
        <w:rPr>
          <w:b/>
          <w:bCs/>
        </w:rPr>
      </w:pPr>
      <w:r w:rsidRPr="00D02255">
        <w:rPr>
          <w:b/>
          <w:bCs/>
        </w:rPr>
        <w:t>Where Can I Find this Data?</w:t>
      </w:r>
    </w:p>
    <w:p w14:paraId="590130DC" w14:textId="1A4191AA" w:rsidR="002E5422" w:rsidRPr="004D39B3" w:rsidRDefault="004D39B3" w:rsidP="004D39B3">
      <w:pPr>
        <w:ind w:left="1440"/>
      </w:pPr>
      <w:r w:rsidRPr="004D39B3">
        <w:t xml:space="preserve">Data regarding the Achievement Results for All Students and Students with IEPs can be found at </w:t>
      </w:r>
      <w:hyperlink r:id="rId51" w:history="1">
        <w:r w:rsidRPr="004D39B3">
          <w:rPr>
            <w:rStyle w:val="Hyperlink"/>
            <w:u w:val="none"/>
          </w:rPr>
          <w:t>https://profiles.doe.mass.edu/statereport/nextgenmcas.aspx</w:t>
        </w:r>
      </w:hyperlink>
      <w:r w:rsidRPr="004D39B3">
        <w:t xml:space="preserve">. You can filter by Grade level and Student Groups. </w:t>
      </w:r>
    </w:p>
    <w:p w14:paraId="3C086AF0" w14:textId="77777777" w:rsidR="002F55FE" w:rsidRPr="00367F23" w:rsidRDefault="00000000" w:rsidP="002F55FE">
      <w:pPr>
        <w:pStyle w:val="Heading2"/>
        <w:rPr>
          <w:rStyle w:val="eop"/>
          <w:b/>
          <w:bCs/>
        </w:rPr>
      </w:pPr>
      <w:hyperlink w:anchor="_SPP/APR_Performance_Indicators" w:history="1">
        <w:r w:rsidR="002F55FE" w:rsidRPr="00367F23">
          <w:rPr>
            <w:rStyle w:val="eop"/>
            <w:b/>
            <w:bCs/>
          </w:rPr>
          <w:t>SPP/APR Performance Indicators 5 &amp; 6 Calculation</w:t>
        </w:r>
      </w:hyperlink>
    </w:p>
    <w:p w14:paraId="29FB4504" w14:textId="77777777" w:rsidR="002F55FE" w:rsidRDefault="002F55FE" w:rsidP="002F55FE">
      <w:pPr>
        <w:spacing w:before="240" w:after="0"/>
        <w:ind w:left="720"/>
        <w:rPr>
          <w:rFonts w:cstheme="minorHAnsi"/>
          <w:b/>
          <w:bCs/>
        </w:rPr>
      </w:pPr>
      <w:r>
        <w:rPr>
          <w:rFonts w:cstheme="minorHAnsi"/>
          <w:b/>
          <w:bCs/>
        </w:rPr>
        <w:t>Is this the same measurement as last year?</w:t>
      </w:r>
    </w:p>
    <w:p w14:paraId="27937D67" w14:textId="77777777" w:rsidR="002F55FE" w:rsidRPr="00C81FE9" w:rsidRDefault="002F55FE" w:rsidP="002F55FE">
      <w:pPr>
        <w:ind w:left="1440"/>
        <w:rPr>
          <w:rFonts w:cstheme="minorHAnsi"/>
        </w:rPr>
      </w:pPr>
      <w:r w:rsidRPr="00C81FE9">
        <w:rPr>
          <w:rFonts w:cstheme="minorHAnsi"/>
        </w:rPr>
        <w:t>Yes, only the school year has changed.</w:t>
      </w:r>
      <w:r>
        <w:rPr>
          <w:rFonts w:cstheme="minorHAnsi"/>
        </w:rPr>
        <w:t xml:space="preserve"> The measurement is still weighted x2.0.</w:t>
      </w:r>
    </w:p>
    <w:p w14:paraId="603E8ED0" w14:textId="77777777" w:rsidR="002F55FE" w:rsidRPr="00E579D7" w:rsidRDefault="002F55FE" w:rsidP="002F55FE">
      <w:pPr>
        <w:spacing w:before="240"/>
        <w:ind w:left="720"/>
        <w:rPr>
          <w:rStyle w:val="eop"/>
          <w:rFonts w:cstheme="minorHAnsi"/>
          <w:color w:val="000000"/>
          <w:shd w:val="clear" w:color="auto" w:fill="FFFFFF"/>
        </w:rPr>
      </w:pPr>
      <w:r>
        <w:rPr>
          <w:rFonts w:cstheme="minorHAnsi"/>
          <w:b/>
          <w:bCs/>
        </w:rPr>
        <w:t>H</w:t>
      </w:r>
      <w:r w:rsidRPr="00E579D7">
        <w:rPr>
          <w:rStyle w:val="normaltextrun"/>
          <w:rFonts w:cstheme="minorHAnsi"/>
          <w:b/>
          <w:bCs/>
          <w:color w:val="000000"/>
          <w:shd w:val="clear" w:color="auto" w:fill="FFFFFF"/>
        </w:rPr>
        <w:t>ow is th</w:t>
      </w:r>
      <w:r>
        <w:rPr>
          <w:rStyle w:val="normaltextrun"/>
          <w:rFonts w:cstheme="minorHAnsi"/>
          <w:b/>
          <w:bCs/>
          <w:color w:val="000000"/>
          <w:shd w:val="clear" w:color="auto" w:fill="FFFFFF"/>
        </w:rPr>
        <w:t>is rate</w:t>
      </w:r>
      <w:r w:rsidRPr="00E579D7">
        <w:rPr>
          <w:rStyle w:val="normaltextrun"/>
          <w:rFonts w:cstheme="minorHAnsi"/>
          <w:b/>
          <w:bCs/>
          <w:color w:val="000000"/>
          <w:shd w:val="clear" w:color="auto" w:fill="FFFFFF"/>
        </w:rPr>
        <w:t xml:space="preserve"> calculated</w:t>
      </w:r>
      <w:r>
        <w:rPr>
          <w:rStyle w:val="normaltextrun"/>
          <w:rFonts w:cstheme="minorHAnsi"/>
          <w:b/>
          <w:bCs/>
          <w:color w:val="000000"/>
          <w:shd w:val="clear" w:color="auto" w:fill="FFFFFF"/>
        </w:rPr>
        <w:t xml:space="preserve"> for LEA </w:t>
      </w:r>
      <w:r>
        <w:rPr>
          <w:rFonts w:cstheme="minorHAnsi"/>
          <w:b/>
          <w:bCs/>
        </w:rPr>
        <w:t>determinations</w:t>
      </w:r>
      <w:r w:rsidRPr="00E579D7">
        <w:rPr>
          <w:rStyle w:val="normaltextrun"/>
          <w:rFonts w:cstheme="minorHAnsi"/>
          <w:b/>
          <w:bCs/>
          <w:color w:val="000000"/>
          <w:shd w:val="clear" w:color="auto" w:fill="FFFFFF"/>
        </w:rPr>
        <w:t>? </w:t>
      </w:r>
    </w:p>
    <w:p w14:paraId="5AF9BCD1" w14:textId="77777777" w:rsidR="002F55FE" w:rsidRPr="00E579D7" w:rsidRDefault="002F55FE" w:rsidP="002F55FE">
      <w:pPr>
        <w:ind w:left="1440"/>
        <w:rPr>
          <w:rFonts w:eastAsia="Calibri" w:cstheme="minorHAnsi"/>
          <w:color w:val="000000" w:themeColor="text1"/>
        </w:rPr>
      </w:pPr>
      <w:r>
        <w:rPr>
          <w:rFonts w:eastAsia="Calibri" w:cstheme="minorHAnsi"/>
          <w:color w:val="000000" w:themeColor="text1"/>
        </w:rPr>
        <w:t xml:space="preserve">The Department </w:t>
      </w:r>
      <w:r w:rsidRPr="00E579D7">
        <w:rPr>
          <w:rFonts w:eastAsia="Calibri" w:cstheme="minorHAnsi"/>
          <w:color w:val="000000" w:themeColor="text1"/>
        </w:rPr>
        <w:t>calculate</w:t>
      </w:r>
      <w:r>
        <w:rPr>
          <w:rFonts w:eastAsia="Calibri" w:cstheme="minorHAnsi"/>
          <w:color w:val="000000" w:themeColor="text1"/>
        </w:rPr>
        <w:t>s</w:t>
      </w:r>
      <w:r w:rsidRPr="00E579D7">
        <w:rPr>
          <w:rFonts w:eastAsia="Calibri" w:cstheme="minorHAnsi"/>
          <w:color w:val="000000" w:themeColor="text1"/>
        </w:rPr>
        <w:t xml:space="preserve"> this </w:t>
      </w:r>
      <w:r>
        <w:rPr>
          <w:rFonts w:eastAsia="Calibri" w:cstheme="minorHAnsi"/>
          <w:color w:val="000000" w:themeColor="text1"/>
        </w:rPr>
        <w:t xml:space="preserve">rate </w:t>
      </w:r>
      <w:r w:rsidRPr="00E579D7">
        <w:rPr>
          <w:rFonts w:eastAsia="Calibri" w:cstheme="minorHAnsi"/>
          <w:color w:val="000000" w:themeColor="text1"/>
        </w:rPr>
        <w:t>directly from SIMS, it’s not in the Special Education reports publish</w:t>
      </w:r>
      <w:r>
        <w:rPr>
          <w:rFonts w:eastAsia="Calibri" w:cstheme="minorHAnsi"/>
          <w:color w:val="000000" w:themeColor="text1"/>
        </w:rPr>
        <w:t>ed</w:t>
      </w:r>
      <w:r w:rsidRPr="00E579D7">
        <w:rPr>
          <w:rFonts w:eastAsia="Calibri" w:cstheme="minorHAnsi"/>
          <w:color w:val="000000" w:themeColor="text1"/>
        </w:rPr>
        <w:t xml:space="preserve"> on </w:t>
      </w:r>
      <w:r>
        <w:rPr>
          <w:rFonts w:eastAsia="Calibri" w:cstheme="minorHAnsi"/>
          <w:color w:val="000000" w:themeColor="text1"/>
        </w:rPr>
        <w:t>the website</w:t>
      </w:r>
      <w:r w:rsidRPr="00E579D7">
        <w:rPr>
          <w:rFonts w:eastAsia="Calibri" w:cstheme="minorHAnsi"/>
          <w:color w:val="000000" w:themeColor="text1"/>
        </w:rPr>
        <w:t>.</w:t>
      </w:r>
      <w:r>
        <w:rPr>
          <w:rFonts w:eastAsia="Calibri" w:cstheme="minorHAnsi"/>
          <w:color w:val="000000" w:themeColor="text1"/>
        </w:rPr>
        <w:t xml:space="preserve"> It represents a</w:t>
      </w:r>
      <w:r w:rsidRPr="00E579D7">
        <w:rPr>
          <w:rFonts w:eastAsia="Calibri" w:cstheme="minorHAnsi"/>
          <w:color w:val="000000" w:themeColor="text1"/>
        </w:rPr>
        <w:t xml:space="preserve"> </w:t>
      </w:r>
      <w:r>
        <w:rPr>
          <w:rFonts w:eastAsia="Calibri" w:cstheme="minorHAnsi"/>
          <w:color w:val="000000" w:themeColor="text1"/>
        </w:rPr>
        <w:t>district</w:t>
      </w:r>
      <w:r w:rsidRPr="00E579D7">
        <w:rPr>
          <w:rFonts w:eastAsia="Calibri" w:cstheme="minorHAnsi"/>
          <w:color w:val="000000" w:themeColor="text1"/>
        </w:rPr>
        <w:t xml:space="preserve">’s </w:t>
      </w:r>
      <w:r>
        <w:rPr>
          <w:rFonts w:eastAsia="Calibri" w:cstheme="minorHAnsi"/>
          <w:color w:val="000000" w:themeColor="text1"/>
        </w:rPr>
        <w:t>f</w:t>
      </w:r>
      <w:r w:rsidRPr="00E579D7">
        <w:rPr>
          <w:rFonts w:eastAsia="Calibri" w:cstheme="minorHAnsi"/>
          <w:color w:val="000000" w:themeColor="text1"/>
        </w:rPr>
        <w:t>ull inclusion rate ages 3 through 21</w:t>
      </w:r>
      <w:r>
        <w:rPr>
          <w:rFonts w:eastAsia="Calibri" w:cstheme="minorHAnsi"/>
          <w:color w:val="000000" w:themeColor="text1"/>
        </w:rPr>
        <w:t>.</w:t>
      </w:r>
    </w:p>
    <w:tbl>
      <w:tblPr>
        <w:tblW w:w="8624" w:type="dxa"/>
        <w:tblInd w:w="1440" w:type="dxa"/>
        <w:tblCellMar>
          <w:left w:w="0" w:type="dxa"/>
          <w:right w:w="0" w:type="dxa"/>
        </w:tblCellMar>
        <w:tblLook w:val="04A0" w:firstRow="1" w:lastRow="0" w:firstColumn="1" w:lastColumn="0" w:noHBand="0" w:noVBand="1"/>
      </w:tblPr>
      <w:tblGrid>
        <w:gridCol w:w="8624"/>
      </w:tblGrid>
      <w:tr w:rsidR="002F55FE" w:rsidRPr="00E579D7" w14:paraId="4DBB07A2" w14:textId="77777777" w:rsidTr="00F33B63">
        <w:tc>
          <w:tcPr>
            <w:tcW w:w="8624" w:type="dxa"/>
            <w:shd w:val="clear" w:color="auto" w:fill="auto"/>
            <w:hideMark/>
          </w:tcPr>
          <w:p w14:paraId="39CD9669" w14:textId="77777777" w:rsidR="002F55FE" w:rsidRPr="00E579D7" w:rsidRDefault="002F55FE" w:rsidP="00F33B63">
            <w:pPr>
              <w:textAlignment w:val="baseline"/>
              <w:rPr>
                <w:rFonts w:eastAsia="Times New Roman" w:cstheme="minorHAnsi"/>
              </w:rPr>
            </w:pPr>
            <w:r w:rsidRPr="00E579D7">
              <w:rPr>
                <w:rFonts w:eastAsia="Times New Roman" w:cstheme="minorHAnsi"/>
                <w:i/>
                <w:iCs/>
              </w:rPr>
              <w:t>Numerator:</w:t>
            </w:r>
            <w:r w:rsidRPr="00E579D7">
              <w:rPr>
                <w:rFonts w:eastAsia="Times New Roman" w:cstheme="minorHAnsi"/>
              </w:rPr>
              <w:t> </w:t>
            </w:r>
          </w:p>
          <w:p w14:paraId="1F1016FC" w14:textId="77777777" w:rsidR="002F55FE" w:rsidRPr="00E579D7" w:rsidRDefault="002F55FE" w:rsidP="00F33B63">
            <w:pPr>
              <w:jc w:val="center"/>
              <w:textAlignment w:val="baseline"/>
              <w:rPr>
                <w:rFonts w:eastAsia="Times New Roman" w:cstheme="minorHAnsi"/>
              </w:rPr>
            </w:pPr>
            <w:r w:rsidRPr="00E579D7">
              <w:rPr>
                <w:rFonts w:eastAsia="Calibri" w:cstheme="minorHAnsi"/>
                <w:i/>
                <w:iCs/>
                <w:color w:val="000000" w:themeColor="text1"/>
              </w:rPr>
              <w:t xml:space="preserve">[# of </w:t>
            </w:r>
            <w:proofErr w:type="spellStart"/>
            <w:r w:rsidRPr="00E579D7">
              <w:rPr>
                <w:rFonts w:eastAsia="Calibri" w:cstheme="minorHAnsi"/>
                <w:i/>
                <w:iCs/>
                <w:color w:val="000000" w:themeColor="text1"/>
              </w:rPr>
              <w:t>SwD</w:t>
            </w:r>
            <w:proofErr w:type="spellEnd"/>
            <w:r w:rsidRPr="00E579D7">
              <w:rPr>
                <w:rFonts w:eastAsia="Calibri" w:cstheme="minorHAnsi"/>
                <w:i/>
                <w:iCs/>
                <w:color w:val="000000" w:themeColor="text1"/>
              </w:rPr>
              <w:t xml:space="preserve"> in full inclusion (K through age 22)] + [# of </w:t>
            </w:r>
            <w:proofErr w:type="spellStart"/>
            <w:r w:rsidRPr="00E579D7">
              <w:rPr>
                <w:rFonts w:eastAsia="Calibri" w:cstheme="minorHAnsi"/>
                <w:i/>
                <w:iCs/>
                <w:color w:val="000000" w:themeColor="text1"/>
              </w:rPr>
              <w:t>SwD</w:t>
            </w:r>
            <w:proofErr w:type="spellEnd"/>
            <w:r w:rsidRPr="00E579D7">
              <w:rPr>
                <w:rFonts w:eastAsia="Calibri" w:cstheme="minorHAnsi"/>
                <w:color w:val="000000" w:themeColor="text1"/>
              </w:rPr>
              <w:t xml:space="preserve"> whose IEP services are provided in inclusive settings for the majority of the time, i.e., greater than 50% (ages 3–5 in early childhood environments)]</w:t>
            </w:r>
            <w:r>
              <w:rPr>
                <w:rFonts w:eastAsia="Calibri" w:cstheme="minorHAnsi"/>
                <w:color w:val="000000" w:themeColor="text1"/>
              </w:rPr>
              <w:t>*</w:t>
            </w:r>
            <w:r w:rsidRPr="00E579D7">
              <w:rPr>
                <w:rFonts w:eastAsia="Times New Roman" w:cstheme="minorHAnsi"/>
              </w:rPr>
              <w:br/>
            </w:r>
            <w:r w:rsidRPr="00E579D7">
              <w:rPr>
                <w:rFonts w:eastAsia="Times New Roman" w:cstheme="minorHAnsi"/>
                <w:i/>
                <w:iCs/>
              </w:rPr>
              <w:t>____________________________________________________________</w:t>
            </w:r>
            <w:r w:rsidRPr="00E579D7">
              <w:rPr>
                <w:rFonts w:eastAsia="Times New Roman" w:cstheme="minorHAnsi"/>
              </w:rPr>
              <w:t> </w:t>
            </w:r>
          </w:p>
          <w:p w14:paraId="474E770C" w14:textId="77777777" w:rsidR="002F55FE" w:rsidRPr="00E579D7" w:rsidRDefault="002F55FE" w:rsidP="00F33B63">
            <w:pPr>
              <w:textAlignment w:val="baseline"/>
              <w:rPr>
                <w:rFonts w:eastAsia="Times New Roman" w:cstheme="minorHAnsi"/>
              </w:rPr>
            </w:pPr>
            <w:r w:rsidRPr="00E579D7">
              <w:rPr>
                <w:rFonts w:eastAsia="Times New Roman" w:cstheme="minorHAnsi"/>
                <w:i/>
                <w:iCs/>
              </w:rPr>
              <w:t>Denominator:</w:t>
            </w:r>
            <w:r w:rsidRPr="00E579D7">
              <w:rPr>
                <w:rFonts w:eastAsia="Times New Roman" w:cstheme="minorHAnsi"/>
              </w:rPr>
              <w:t> </w:t>
            </w:r>
          </w:p>
          <w:p w14:paraId="2839D55D" w14:textId="77777777" w:rsidR="002F55FE" w:rsidRPr="00D6379E" w:rsidRDefault="002F55FE" w:rsidP="00F33B63">
            <w:pPr>
              <w:ind w:left="720"/>
              <w:jc w:val="center"/>
              <w:rPr>
                <w:rFonts w:eastAsia="Calibri" w:cstheme="minorHAnsi"/>
                <w:color w:val="000000" w:themeColor="text1"/>
              </w:rPr>
            </w:pPr>
            <w:r w:rsidRPr="00E579D7">
              <w:rPr>
                <w:rFonts w:eastAsia="Calibri" w:cstheme="minorHAnsi"/>
                <w:i/>
                <w:iCs/>
                <w:color w:val="000000" w:themeColor="text1"/>
              </w:rPr>
              <w:t xml:space="preserve"># of </w:t>
            </w:r>
            <w:proofErr w:type="spellStart"/>
            <w:r w:rsidRPr="00E579D7">
              <w:rPr>
                <w:rFonts w:eastAsia="Calibri" w:cstheme="minorHAnsi"/>
                <w:i/>
                <w:iCs/>
                <w:color w:val="000000" w:themeColor="text1"/>
              </w:rPr>
              <w:t>SwD</w:t>
            </w:r>
            <w:proofErr w:type="spellEnd"/>
            <w:r w:rsidRPr="00E579D7">
              <w:rPr>
                <w:rFonts w:eastAsia="Calibri" w:cstheme="minorHAnsi"/>
                <w:i/>
                <w:iCs/>
                <w:color w:val="000000" w:themeColor="text1"/>
              </w:rPr>
              <w:t xml:space="preserve"> enrolled</w:t>
            </w:r>
          </w:p>
        </w:tc>
      </w:tr>
    </w:tbl>
    <w:p w14:paraId="1B20AA32" w14:textId="77777777" w:rsidR="002F55FE" w:rsidRDefault="002F55FE" w:rsidP="002F55FE">
      <w:pPr>
        <w:ind w:left="1440"/>
        <w:rPr>
          <w:rFonts w:cstheme="minorHAnsi"/>
          <w:b/>
          <w:bCs/>
        </w:rPr>
      </w:pPr>
      <w:r>
        <w:rPr>
          <w:rFonts w:eastAsia="Calibri" w:cstheme="minorHAnsi"/>
          <w:color w:val="000000" w:themeColor="text1"/>
        </w:rPr>
        <w:t>*</w:t>
      </w:r>
      <w:r w:rsidRPr="00E579D7">
        <w:rPr>
          <w:rFonts w:eastAsia="Calibri" w:cstheme="minorHAnsi"/>
          <w:color w:val="000000" w:themeColor="text1"/>
        </w:rPr>
        <w:t>(</w:t>
      </w:r>
      <w:r>
        <w:rPr>
          <w:rFonts w:eastAsia="Calibri" w:cstheme="minorHAnsi"/>
          <w:color w:val="000000" w:themeColor="text1"/>
        </w:rPr>
        <w:t>The n</w:t>
      </w:r>
      <w:r w:rsidRPr="00E579D7">
        <w:rPr>
          <w:rFonts w:eastAsia="Calibri" w:cstheme="minorHAnsi"/>
          <w:color w:val="000000" w:themeColor="text1"/>
        </w:rPr>
        <w:t>umerator’s SIMS Codes</w:t>
      </w:r>
      <w:r>
        <w:rPr>
          <w:rFonts w:eastAsia="Calibri" w:cstheme="minorHAnsi"/>
          <w:color w:val="000000" w:themeColor="text1"/>
        </w:rPr>
        <w:t xml:space="preserve"> include</w:t>
      </w:r>
      <w:r w:rsidRPr="00E579D7">
        <w:rPr>
          <w:rFonts w:eastAsia="Calibri" w:cstheme="minorHAnsi"/>
          <w:color w:val="000000" w:themeColor="text1"/>
        </w:rPr>
        <w:t> DOE034 – 10 and DOE032 – 31 &amp; 34</w:t>
      </w:r>
      <w:r>
        <w:rPr>
          <w:rFonts w:eastAsia="Calibri" w:cstheme="minorHAnsi"/>
          <w:color w:val="000000" w:themeColor="text1"/>
        </w:rPr>
        <w:t>.</w:t>
      </w:r>
      <w:r w:rsidRPr="00E579D7">
        <w:rPr>
          <w:rFonts w:eastAsia="Calibri" w:cstheme="minorHAnsi"/>
          <w:color w:val="000000" w:themeColor="text1"/>
        </w:rPr>
        <w:t>) </w:t>
      </w:r>
    </w:p>
    <w:p w14:paraId="4F2DF98F" w14:textId="77777777" w:rsidR="002F55FE" w:rsidRPr="00E579D7" w:rsidRDefault="002F55FE" w:rsidP="002F55FE">
      <w:pPr>
        <w:ind w:left="720"/>
        <w:rPr>
          <w:rStyle w:val="eop"/>
          <w:color w:val="000000"/>
          <w:shd w:val="clear" w:color="auto" w:fill="FFFFFF"/>
        </w:rPr>
      </w:pPr>
      <w:r w:rsidRPr="7EAB8DDB">
        <w:rPr>
          <w:rStyle w:val="normaltextrun"/>
          <w:b/>
          <w:bCs/>
          <w:color w:val="000000"/>
          <w:shd w:val="clear" w:color="auto" w:fill="FFFFFF"/>
        </w:rPr>
        <w:t>Some districts receive </w:t>
      </w:r>
      <w:proofErr w:type="gramStart"/>
      <w:r w:rsidRPr="7EAB8DDB">
        <w:rPr>
          <w:rStyle w:val="advancedproofingissue"/>
          <w:b/>
          <w:bCs/>
          <w:color w:val="000000"/>
          <w:shd w:val="clear" w:color="auto" w:fill="FFFFFF"/>
        </w:rPr>
        <w:t>a large number of</w:t>
      </w:r>
      <w:proofErr w:type="gramEnd"/>
      <w:r w:rsidRPr="7EAB8DDB">
        <w:rPr>
          <w:rStyle w:val="normaltextrun"/>
          <w:b/>
          <w:bCs/>
          <w:color w:val="000000"/>
          <w:shd w:val="clear" w:color="auto" w:fill="FFFFFF"/>
        </w:rPr>
        <w:t xml:space="preserve"> students who are DCF-involved and already have a placement outside of full inclusion when enrolled. Has the Department considered this in the scoring/weighting of this measurement? Does this inappropriately impact districts’ overall LEA </w:t>
      </w:r>
      <w:r w:rsidRPr="7EAB8DDB">
        <w:rPr>
          <w:b/>
          <w:bCs/>
        </w:rPr>
        <w:t>determination</w:t>
      </w:r>
      <w:r w:rsidRPr="7EAB8DDB">
        <w:rPr>
          <w:rStyle w:val="normaltextrun"/>
          <w:b/>
          <w:bCs/>
          <w:color w:val="000000"/>
          <w:shd w:val="clear" w:color="auto" w:fill="FFFFFF"/>
        </w:rPr>
        <w:t xml:space="preserve"> rating?</w:t>
      </w:r>
    </w:p>
    <w:p w14:paraId="31CBC209" w14:textId="77777777" w:rsidR="002F55FE" w:rsidRDefault="002F55FE" w:rsidP="002F55FE">
      <w:pPr>
        <w:ind w:left="1440"/>
        <w:rPr>
          <w:rStyle w:val="eop"/>
          <w:rFonts w:cstheme="minorHAnsi"/>
          <w:color w:val="000000"/>
          <w:shd w:val="clear" w:color="auto" w:fill="FFFFFF"/>
        </w:rPr>
      </w:pPr>
      <w:r>
        <w:rPr>
          <w:rStyle w:val="eop"/>
          <w:rFonts w:cstheme="minorHAnsi"/>
          <w:color w:val="000000"/>
          <w:shd w:val="clear" w:color="auto" w:fill="FFFFFF"/>
        </w:rPr>
        <w:lastRenderedPageBreak/>
        <w:t xml:space="preserve">Yes, the Department has considered this. All students with IEPs </w:t>
      </w:r>
      <w:r w:rsidRPr="00AE77E6">
        <w:rPr>
          <w:rFonts w:cstheme="minorHAnsi"/>
          <w:color w:val="000000"/>
          <w:shd w:val="clear" w:color="auto" w:fill="FFFFFF"/>
        </w:rPr>
        <w:t>have a right to FAPE</w:t>
      </w:r>
      <w:r>
        <w:rPr>
          <w:rFonts w:cstheme="minorHAnsi"/>
          <w:color w:val="000000"/>
          <w:shd w:val="clear" w:color="auto" w:fill="FFFFFF"/>
        </w:rPr>
        <w:t xml:space="preserve"> and </w:t>
      </w:r>
      <w:r>
        <w:rPr>
          <w:rStyle w:val="eop"/>
          <w:rFonts w:cstheme="minorHAnsi"/>
          <w:color w:val="000000"/>
          <w:shd w:val="clear" w:color="auto" w:fill="FFFFFF"/>
        </w:rPr>
        <w:t xml:space="preserve">must be represented in the LEA </w:t>
      </w:r>
      <w:r w:rsidRPr="00AD180E">
        <w:rPr>
          <w:rFonts w:cstheme="minorHAnsi"/>
        </w:rPr>
        <w:t>determinations</w:t>
      </w:r>
      <w:r>
        <w:rPr>
          <w:rStyle w:val="eop"/>
          <w:rFonts w:cstheme="minorHAnsi"/>
          <w:color w:val="000000"/>
          <w:shd w:val="clear" w:color="auto" w:fill="FFFFFF"/>
        </w:rPr>
        <w:t xml:space="preserve">– the special education accountability and assistance system. </w:t>
      </w:r>
    </w:p>
    <w:p w14:paraId="70DF9A00" w14:textId="77777777" w:rsidR="002F55FE" w:rsidRDefault="002F55FE" w:rsidP="002F55FE">
      <w:pPr>
        <w:ind w:left="1440"/>
        <w:rPr>
          <w:rStyle w:val="eop"/>
          <w:color w:val="000000"/>
          <w:shd w:val="clear" w:color="auto" w:fill="FFFFFF"/>
        </w:rPr>
      </w:pPr>
      <w:r w:rsidRPr="7EAB8DDB">
        <w:rPr>
          <w:rStyle w:val="eop"/>
          <w:color w:val="000000"/>
          <w:shd w:val="clear" w:color="auto" w:fill="FFFFFF"/>
        </w:rPr>
        <w:t xml:space="preserve">In most </w:t>
      </w:r>
      <w:r>
        <w:t>district</w:t>
      </w:r>
      <w:r w:rsidRPr="7EAB8DDB">
        <w:rPr>
          <w:rStyle w:val="eop"/>
          <w:color w:val="000000"/>
          <w:shd w:val="clear" w:color="auto" w:fill="FFFFFF"/>
        </w:rPr>
        <w:t xml:space="preserve">s, there are small numbers of students enrolled that fit this description. A </w:t>
      </w:r>
      <w:r>
        <w:t>district</w:t>
      </w:r>
      <w:r w:rsidRPr="7EAB8DDB">
        <w:rPr>
          <w:rStyle w:val="eop"/>
          <w:color w:val="000000"/>
          <w:shd w:val="clear" w:color="auto" w:fill="FFFFFF"/>
        </w:rPr>
        <w:t>’s rate could be lower if they have many students who are assigned to a district because of a student’s DCF-involvement. However, this measure’s impact on the overall determination calculation is reasonable as it represents only one of seven measures in the rubric.</w:t>
      </w:r>
    </w:p>
    <w:p w14:paraId="4D23DDD2" w14:textId="77777777" w:rsidR="002F55FE" w:rsidRPr="000176E2" w:rsidRDefault="002F55FE" w:rsidP="002F55FE">
      <w:pPr>
        <w:spacing w:before="240"/>
        <w:ind w:left="720"/>
        <w:rPr>
          <w:rFonts w:eastAsia="Times New Roman" w:cstheme="minorHAnsi"/>
          <w:b/>
          <w:bCs/>
        </w:rPr>
      </w:pPr>
      <w:r w:rsidRPr="00A739B2">
        <w:rPr>
          <w:rFonts w:eastAsia="Times New Roman" w:cstheme="minorHAnsi"/>
          <w:b/>
          <w:bCs/>
        </w:rPr>
        <w:t>What resources are available to help me better understand this data?</w:t>
      </w:r>
    </w:p>
    <w:p w14:paraId="7401A9D0" w14:textId="77777777" w:rsidR="002F55FE" w:rsidRDefault="00000000" w:rsidP="002F55FE">
      <w:pPr>
        <w:pStyle w:val="ListParagraph"/>
        <w:numPr>
          <w:ilvl w:val="0"/>
          <w:numId w:val="7"/>
        </w:numPr>
        <w:rPr>
          <w:rFonts w:asciiTheme="minorHAnsi" w:hAnsiTheme="minorHAnsi" w:cstheme="minorHAnsi"/>
          <w:sz w:val="22"/>
          <w:szCs w:val="22"/>
        </w:rPr>
      </w:pPr>
      <w:hyperlink r:id="rId52" w:history="1">
        <w:r w:rsidR="002F55FE">
          <w:rPr>
            <w:rStyle w:val="Hyperlink"/>
            <w:rFonts w:asciiTheme="minorHAnsi" w:hAnsiTheme="minorHAnsi" w:cstheme="minorHAnsi"/>
            <w:sz w:val="22"/>
            <w:szCs w:val="22"/>
          </w:rPr>
          <w:t>Lea</w:t>
        </w:r>
        <w:r w:rsidR="002F55FE" w:rsidRPr="004E1326">
          <w:rPr>
            <w:rStyle w:val="Hyperlink"/>
            <w:rFonts w:asciiTheme="minorHAnsi" w:hAnsiTheme="minorHAnsi" w:cstheme="minorHAnsi"/>
            <w:sz w:val="22"/>
            <w:szCs w:val="22"/>
          </w:rPr>
          <w:t>rn more about the SPP/APR Indicators</w:t>
        </w:r>
      </w:hyperlink>
    </w:p>
    <w:p w14:paraId="7EDC794F" w14:textId="77777777" w:rsidR="002F55FE" w:rsidRPr="004E1326" w:rsidRDefault="00000000" w:rsidP="002F55FE">
      <w:pPr>
        <w:pStyle w:val="ListParagraph"/>
        <w:numPr>
          <w:ilvl w:val="0"/>
          <w:numId w:val="7"/>
        </w:numPr>
        <w:rPr>
          <w:rFonts w:cstheme="minorHAnsi"/>
          <w:color w:val="000000"/>
          <w:shd w:val="clear" w:color="auto" w:fill="FFFFFF"/>
        </w:rPr>
      </w:pPr>
      <w:hyperlink r:id="rId53" w:history="1">
        <w:r w:rsidR="002F55FE" w:rsidRPr="004E1326">
          <w:rPr>
            <w:rStyle w:val="Hyperlink"/>
            <w:rFonts w:asciiTheme="minorHAnsi" w:hAnsiTheme="minorHAnsi" w:cstheme="minorHAnsi"/>
            <w:sz w:val="22"/>
            <w:szCs w:val="22"/>
          </w:rPr>
          <w:t>State Performance Plan (MA SPP) and Annual Performance Reports (MA APR)</w:t>
        </w:r>
        <w:bookmarkStart w:id="15" w:name="_Significant_Disproportionality_Data"/>
        <w:bookmarkStart w:id="16" w:name="_Significant_Disproportionality"/>
        <w:bookmarkEnd w:id="15"/>
        <w:bookmarkEnd w:id="16"/>
      </w:hyperlink>
      <w:bookmarkStart w:id="17" w:name="_Hlk115875933"/>
    </w:p>
    <w:p w14:paraId="6B26C980" w14:textId="77777777" w:rsidR="002F55FE" w:rsidRPr="00685005" w:rsidRDefault="002F55FE" w:rsidP="002F55FE">
      <w:pPr>
        <w:pStyle w:val="ListParagraph"/>
        <w:numPr>
          <w:ilvl w:val="0"/>
          <w:numId w:val="7"/>
        </w:numPr>
        <w:spacing w:after="240"/>
        <w:rPr>
          <w:rFonts w:cstheme="minorHAnsi"/>
          <w:color w:val="000000"/>
          <w:shd w:val="clear" w:color="auto" w:fill="FFFFFF"/>
        </w:rPr>
      </w:pPr>
      <w:r w:rsidRPr="03C077EC">
        <w:rPr>
          <w:rFonts w:asciiTheme="minorHAnsi" w:hAnsiTheme="minorHAnsi" w:cstheme="minorBidi"/>
          <w:sz w:val="22"/>
          <w:szCs w:val="22"/>
        </w:rPr>
        <w:t xml:space="preserve">Contact </w:t>
      </w:r>
      <w:hyperlink r:id="rId54">
        <w:r w:rsidRPr="03C077EC">
          <w:rPr>
            <w:rStyle w:val="Hyperlink"/>
            <w:rFonts w:asciiTheme="minorHAnsi" w:hAnsiTheme="minorHAnsi" w:cstheme="minorBidi"/>
            <w:sz w:val="22"/>
            <w:szCs w:val="22"/>
          </w:rPr>
          <w:t>Special Education Planning and Policy Development</w:t>
        </w:r>
      </w:hyperlink>
      <w:r w:rsidRPr="03C077EC">
        <w:rPr>
          <w:rFonts w:asciiTheme="minorHAnsi" w:hAnsiTheme="minorHAnsi" w:cstheme="minorBidi"/>
          <w:sz w:val="22"/>
          <w:szCs w:val="22"/>
        </w:rPr>
        <w:t xml:space="preserve"> </w:t>
      </w:r>
    </w:p>
    <w:p w14:paraId="4921BE66" w14:textId="10DF4B0B" w:rsidR="00A728F3" w:rsidRDefault="00A728F3" w:rsidP="00A728F3">
      <w:pPr>
        <w:pStyle w:val="Heading2"/>
        <w:rPr>
          <w:rStyle w:val="eop"/>
          <w:b/>
          <w:bCs/>
        </w:rPr>
      </w:pPr>
      <w:bookmarkStart w:id="18" w:name="_Compliance_Indicators_Used"/>
      <w:bookmarkEnd w:id="17"/>
      <w:bookmarkEnd w:id="18"/>
      <w:r>
        <w:rPr>
          <w:rStyle w:val="eop"/>
          <w:b/>
          <w:bCs/>
        </w:rPr>
        <w:t>Compliance Indicators Used in the LEA Determination</w:t>
      </w:r>
    </w:p>
    <w:p w14:paraId="35B2F75E" w14:textId="36617641" w:rsidR="00A728F3" w:rsidRDefault="00A728F3" w:rsidP="00A728F3">
      <w:pPr>
        <w:pStyle w:val="Heading2"/>
        <w:rPr>
          <w:rStyle w:val="eop"/>
          <w:b/>
          <w:bCs/>
        </w:rPr>
      </w:pPr>
      <w:r w:rsidRPr="00797253">
        <w:rPr>
          <w:rStyle w:val="eop"/>
          <w:b/>
          <w:bCs/>
        </w:rPr>
        <w:t>SPP/APR Compliance Indicators 4B, 9, &amp; 10</w:t>
      </w:r>
    </w:p>
    <w:p w14:paraId="2DC89DBA" w14:textId="77777777" w:rsidR="00A728F3" w:rsidRDefault="00A728F3" w:rsidP="00A728F3">
      <w:pPr>
        <w:spacing w:before="240" w:after="0"/>
        <w:ind w:left="720"/>
        <w:rPr>
          <w:rFonts w:cstheme="minorHAnsi"/>
          <w:b/>
          <w:bCs/>
        </w:rPr>
      </w:pPr>
      <w:r>
        <w:rPr>
          <w:rFonts w:cstheme="minorHAnsi"/>
          <w:b/>
          <w:bCs/>
        </w:rPr>
        <w:t>Is this the same measurement as last year?</w:t>
      </w:r>
    </w:p>
    <w:p w14:paraId="0457B47A" w14:textId="77777777" w:rsidR="00A728F3" w:rsidRDefault="00A728F3" w:rsidP="00A728F3">
      <w:pPr>
        <w:ind w:left="1440"/>
        <w:rPr>
          <w:rFonts w:cstheme="minorHAnsi"/>
        </w:rPr>
      </w:pPr>
      <w:r w:rsidRPr="00C81FE9">
        <w:rPr>
          <w:rFonts w:cstheme="minorHAnsi"/>
        </w:rPr>
        <w:t>Yes, only the school year has changed.</w:t>
      </w:r>
    </w:p>
    <w:p w14:paraId="33B35FDF" w14:textId="77777777" w:rsidR="00A728F3" w:rsidRPr="000176E2" w:rsidRDefault="00A728F3" w:rsidP="00A728F3">
      <w:pPr>
        <w:spacing w:before="240"/>
        <w:ind w:left="720"/>
        <w:rPr>
          <w:rFonts w:eastAsia="Times New Roman" w:cstheme="minorHAnsi"/>
          <w:b/>
          <w:bCs/>
        </w:rPr>
      </w:pPr>
      <w:r w:rsidRPr="00A739B2">
        <w:rPr>
          <w:rFonts w:eastAsia="Times New Roman" w:cstheme="minorHAnsi"/>
          <w:b/>
          <w:bCs/>
        </w:rPr>
        <w:t>What resources are available to help me better understand this data?</w:t>
      </w:r>
    </w:p>
    <w:p w14:paraId="0371C6A8" w14:textId="77777777" w:rsidR="00A728F3" w:rsidRPr="0079269D" w:rsidRDefault="00A728F3" w:rsidP="00A728F3">
      <w:pPr>
        <w:pStyle w:val="ListParagraph"/>
        <w:numPr>
          <w:ilvl w:val="0"/>
          <w:numId w:val="7"/>
        </w:numPr>
        <w:rPr>
          <w:rFonts w:asciiTheme="minorHAnsi" w:hAnsiTheme="minorHAnsi" w:cstheme="minorHAnsi"/>
          <w:sz w:val="22"/>
          <w:szCs w:val="22"/>
        </w:rPr>
      </w:pPr>
      <w:r w:rsidRPr="009A081C">
        <w:rPr>
          <w:rFonts w:asciiTheme="minorHAnsi" w:hAnsiTheme="minorHAnsi" w:cstheme="minorHAnsi"/>
          <w:sz w:val="22"/>
          <w:szCs w:val="22"/>
        </w:rPr>
        <w:t>Public reporting</w:t>
      </w:r>
      <w:r w:rsidRPr="0079269D" w:rsidDel="00FB5C33">
        <w:rPr>
          <w:rFonts w:asciiTheme="minorHAnsi" w:hAnsiTheme="minorHAnsi" w:cstheme="minorHAnsi"/>
          <w:sz w:val="22"/>
          <w:szCs w:val="22"/>
        </w:rPr>
        <w:t xml:space="preserve"> </w:t>
      </w:r>
      <w:r w:rsidRPr="0079269D">
        <w:rPr>
          <w:rFonts w:asciiTheme="minorHAnsi" w:hAnsiTheme="minorHAnsi" w:cstheme="minorHAnsi"/>
          <w:sz w:val="22"/>
          <w:szCs w:val="22"/>
        </w:rPr>
        <w:t xml:space="preserve">on </w:t>
      </w:r>
      <w:hyperlink r:id="rId55" w:history="1">
        <w:r w:rsidRPr="009A081C">
          <w:rPr>
            <w:rStyle w:val="Hyperlink"/>
            <w:rFonts w:asciiTheme="minorHAnsi" w:hAnsiTheme="minorHAnsi" w:cstheme="minorHAnsi"/>
            <w:sz w:val="22"/>
            <w:szCs w:val="22"/>
          </w:rPr>
          <w:t>School and District Profiles</w:t>
        </w:r>
      </w:hyperlink>
    </w:p>
    <w:p w14:paraId="3EDEC9F0" w14:textId="77777777" w:rsidR="00A728F3" w:rsidRPr="004E1326" w:rsidRDefault="00000000" w:rsidP="00A728F3">
      <w:pPr>
        <w:pStyle w:val="ListParagraph"/>
        <w:numPr>
          <w:ilvl w:val="0"/>
          <w:numId w:val="7"/>
        </w:numPr>
        <w:rPr>
          <w:rFonts w:cstheme="minorHAnsi"/>
          <w:color w:val="000000"/>
          <w:shd w:val="clear" w:color="auto" w:fill="FFFFFF"/>
        </w:rPr>
      </w:pPr>
      <w:hyperlink r:id="rId56" w:history="1">
        <w:r w:rsidR="00A728F3" w:rsidRPr="004E1326">
          <w:rPr>
            <w:rStyle w:val="Hyperlink"/>
            <w:rFonts w:asciiTheme="minorHAnsi" w:hAnsiTheme="minorHAnsi" w:cstheme="minorHAnsi"/>
            <w:sz w:val="22"/>
            <w:szCs w:val="22"/>
          </w:rPr>
          <w:t>State Performance Plan (MA SPP) and Annual Performance Reports (MA APR)</w:t>
        </w:r>
      </w:hyperlink>
    </w:p>
    <w:p w14:paraId="03F5CACB" w14:textId="77777777" w:rsidR="00A728F3" w:rsidRPr="00F42124" w:rsidRDefault="00000000" w:rsidP="00A728F3">
      <w:pPr>
        <w:pStyle w:val="ListParagraph"/>
        <w:numPr>
          <w:ilvl w:val="0"/>
          <w:numId w:val="7"/>
        </w:numPr>
        <w:rPr>
          <w:rFonts w:asciiTheme="minorHAnsi" w:hAnsiTheme="minorHAnsi" w:cstheme="minorHAnsi"/>
          <w:color w:val="000000"/>
          <w:sz w:val="22"/>
          <w:szCs w:val="22"/>
          <w:shd w:val="clear" w:color="auto" w:fill="FFFFFF"/>
        </w:rPr>
      </w:pPr>
      <w:hyperlink r:id="rId57" w:anchor="search=%22discipline%22" w:history="1">
        <w:r w:rsidR="00A728F3" w:rsidRPr="00F42124">
          <w:rPr>
            <w:rStyle w:val="Hyperlink"/>
            <w:rFonts w:asciiTheme="minorHAnsi" w:hAnsiTheme="minorHAnsi" w:cstheme="minorHAnsi"/>
            <w:sz w:val="22"/>
            <w:szCs w:val="22"/>
            <w:shd w:val="clear" w:color="auto" w:fill="FFFFFF"/>
          </w:rPr>
          <w:t>Rethinking Discipline, Significant Disproportionality, and Indicators 4, 9, and 10</w:t>
        </w:r>
      </w:hyperlink>
    </w:p>
    <w:p w14:paraId="07716F9E" w14:textId="77777777" w:rsidR="00A728F3" w:rsidRPr="00685005" w:rsidRDefault="00A728F3" w:rsidP="00A728F3">
      <w:pPr>
        <w:pStyle w:val="ListParagraph"/>
        <w:numPr>
          <w:ilvl w:val="0"/>
          <w:numId w:val="7"/>
        </w:numPr>
        <w:spacing w:after="240"/>
        <w:rPr>
          <w:rFonts w:cstheme="minorHAnsi"/>
          <w:color w:val="000000"/>
          <w:shd w:val="clear" w:color="auto" w:fill="FFFFFF"/>
        </w:rPr>
      </w:pPr>
      <w:r>
        <w:rPr>
          <w:rFonts w:asciiTheme="minorHAnsi" w:hAnsiTheme="minorHAnsi" w:cstheme="minorHAnsi"/>
          <w:sz w:val="22"/>
          <w:szCs w:val="22"/>
        </w:rPr>
        <w:t xml:space="preserve">Contact </w:t>
      </w:r>
      <w:hyperlink r:id="rId58" w:history="1">
        <w:r w:rsidRPr="009F60DC">
          <w:rPr>
            <w:rStyle w:val="Hyperlink"/>
            <w:rFonts w:asciiTheme="minorHAnsi" w:hAnsiTheme="minorHAnsi" w:cstheme="minorHAnsi"/>
            <w:sz w:val="22"/>
            <w:szCs w:val="22"/>
          </w:rPr>
          <w:t>Special Education Planning and Policy Development</w:t>
        </w:r>
      </w:hyperlink>
      <w:r>
        <w:rPr>
          <w:rFonts w:asciiTheme="minorHAnsi" w:hAnsiTheme="minorHAnsi" w:cstheme="minorHAnsi"/>
          <w:sz w:val="22"/>
          <w:szCs w:val="22"/>
        </w:rPr>
        <w:t xml:space="preserve"> </w:t>
      </w:r>
    </w:p>
    <w:p w14:paraId="2836091D" w14:textId="5FB17ED3" w:rsidR="002F55FE" w:rsidRDefault="00A728F3" w:rsidP="00F47A5E">
      <w:pPr>
        <w:pStyle w:val="Heading2"/>
        <w:rPr>
          <w:rStyle w:val="eop"/>
          <w:b/>
          <w:bCs/>
        </w:rPr>
      </w:pPr>
      <w:bookmarkStart w:id="19" w:name="_SPP/APR_Compliance_Indicators_1"/>
      <w:bookmarkEnd w:id="19"/>
      <w:r>
        <w:rPr>
          <w:rStyle w:val="eop"/>
          <w:b/>
          <w:bCs/>
        </w:rPr>
        <w:t>SPP/APR Compliance Indicators 11, 12, and 13</w:t>
      </w:r>
      <w:r w:rsidR="00184C2F">
        <w:rPr>
          <w:rStyle w:val="eop"/>
          <w:b/>
          <w:bCs/>
        </w:rPr>
        <w:t xml:space="preserve"> - NEW</w:t>
      </w:r>
    </w:p>
    <w:p w14:paraId="01744C06" w14:textId="57504C85" w:rsidR="00A728F3" w:rsidRDefault="00184C2F" w:rsidP="008F144C">
      <w:pPr>
        <w:ind w:left="720"/>
      </w:pPr>
      <w:r>
        <w:t xml:space="preserve">Previously compliance Indicators 11 (Child Find), 12 (Part C to Part B Transition), and Indicator 13 (Secondary Transition) were included in the </w:t>
      </w:r>
      <w:proofErr w:type="gramStart"/>
      <w:r>
        <w:t>Public School</w:t>
      </w:r>
      <w:proofErr w:type="gramEnd"/>
      <w:r>
        <w:t xml:space="preserve"> Monitoring Compliance column in </w:t>
      </w:r>
      <w:r w:rsidR="00653C68">
        <w:t>an LEAs Determination Rating. As required by the Office of Special Education Programs (OSEP) a State must include all compliance Indicators as part of their annual LEA Determinations</w:t>
      </w:r>
      <w:r w:rsidR="009D6918">
        <w:rPr>
          <w:rStyle w:val="FootnoteReference"/>
        </w:rPr>
        <w:footnoteReference w:id="3"/>
      </w:r>
      <w:r w:rsidR="00653C68">
        <w:t xml:space="preserve">. </w:t>
      </w:r>
      <w:r w:rsidR="001B5337">
        <w:t>Therefore,</w:t>
      </w:r>
      <w:r w:rsidR="00E00BF7">
        <w:t xml:space="preserve"> </w:t>
      </w:r>
      <w:r w:rsidR="004F3DEC">
        <w:t>they are their own category</w:t>
      </w:r>
      <w:r w:rsidR="00C94C36">
        <w:t xml:space="preserve"> in</w:t>
      </w:r>
      <w:r w:rsidR="004F3DEC">
        <w:t xml:space="preserve"> </w:t>
      </w:r>
      <w:r w:rsidR="00356823">
        <w:t>this year</w:t>
      </w:r>
      <w:r w:rsidR="00C94C36">
        <w:t>’s LEA Determinations</w:t>
      </w:r>
      <w:r w:rsidR="00356823">
        <w:t>.</w:t>
      </w:r>
    </w:p>
    <w:p w14:paraId="45DD7C30" w14:textId="216E0B41" w:rsidR="00356823" w:rsidRPr="008F144C" w:rsidRDefault="00356823" w:rsidP="008F144C">
      <w:pPr>
        <w:ind w:left="720"/>
        <w:rPr>
          <w:b/>
          <w:bCs/>
        </w:rPr>
      </w:pPr>
      <w:r w:rsidRPr="008F144C">
        <w:rPr>
          <w:b/>
          <w:bCs/>
        </w:rPr>
        <w:t>What data is included in this category?</w:t>
      </w:r>
    </w:p>
    <w:p w14:paraId="79943340" w14:textId="3E945E63" w:rsidR="00356823" w:rsidRDefault="00356823" w:rsidP="008F144C">
      <w:pPr>
        <w:ind w:left="1440"/>
      </w:pPr>
      <w:r>
        <w:t xml:space="preserve">When a district goes through Tiered Focus Monitoring Group A, they submit their Indicators 11-13 data to the Department through a Web Based Monitoring System (WBMS). The data is analyzed by Monitoring Specialists at the Department and compliance for each record for all three Indicators is determined. </w:t>
      </w:r>
      <w:r w:rsidR="00460CF2">
        <w:t>A compliance percentage, by Indicator, is then calculated and is used for this category.</w:t>
      </w:r>
      <w:r w:rsidR="001B5337">
        <w:t xml:space="preserve"> </w:t>
      </w:r>
    </w:p>
    <w:p w14:paraId="082A5D77" w14:textId="2C77A661" w:rsidR="00B648F8" w:rsidRPr="00B648F8" w:rsidRDefault="00B648F8" w:rsidP="00B648F8">
      <w:pPr>
        <w:ind w:left="720"/>
        <w:rPr>
          <w:b/>
          <w:bCs/>
        </w:rPr>
      </w:pPr>
      <w:r w:rsidRPr="00B648F8">
        <w:rPr>
          <w:b/>
          <w:bCs/>
        </w:rPr>
        <w:lastRenderedPageBreak/>
        <w:t>How is Compliance Calculated?</w:t>
      </w:r>
    </w:p>
    <w:p w14:paraId="53331F84" w14:textId="2323FD5F" w:rsidR="00B648F8" w:rsidRDefault="00B648F8" w:rsidP="002A0837">
      <w:pPr>
        <w:ind w:left="1440"/>
      </w:pPr>
      <w:r>
        <w:t xml:space="preserve">Each Indicator has a slightly different calculation and takes into consideration </w:t>
      </w:r>
      <w:proofErr w:type="gramStart"/>
      <w:r>
        <w:t>a number of</w:t>
      </w:r>
      <w:proofErr w:type="gramEnd"/>
      <w:r>
        <w:t xml:space="preserve"> factors, but largely compliance is calculated by dividing the number of records that were compliant with IDEA regulations by the total number of records in the data set. For more information about each </w:t>
      </w:r>
      <w:proofErr w:type="gramStart"/>
      <w:r>
        <w:t>Indicator</w:t>
      </w:r>
      <w:proofErr w:type="gramEnd"/>
      <w:r>
        <w:t xml:space="preserve"> you can visit:</w:t>
      </w:r>
    </w:p>
    <w:p w14:paraId="2EF392BC" w14:textId="77122AFC" w:rsidR="002A0837" w:rsidRPr="001C7C9E" w:rsidRDefault="00000000" w:rsidP="001C7C9E">
      <w:pPr>
        <w:pStyle w:val="ListParagraph"/>
        <w:numPr>
          <w:ilvl w:val="0"/>
          <w:numId w:val="15"/>
        </w:numPr>
        <w:rPr>
          <w:rFonts w:asciiTheme="minorHAnsi" w:hAnsiTheme="minorHAnsi" w:cstheme="minorHAnsi"/>
          <w:sz w:val="22"/>
          <w:szCs w:val="22"/>
        </w:rPr>
      </w:pPr>
      <w:hyperlink r:id="rId59" w:history="1">
        <w:r w:rsidR="002A0837" w:rsidRPr="001C7C9E">
          <w:rPr>
            <w:rStyle w:val="Hyperlink"/>
            <w:rFonts w:asciiTheme="minorHAnsi" w:hAnsiTheme="minorHAnsi" w:cstheme="minorHAnsi"/>
            <w:sz w:val="22"/>
            <w:szCs w:val="22"/>
          </w:rPr>
          <w:t>Indicator 11 Quick Reference Guide</w:t>
        </w:r>
      </w:hyperlink>
    </w:p>
    <w:p w14:paraId="3CEA3807" w14:textId="1E87DF49" w:rsidR="002A0837" w:rsidRPr="001C7C9E" w:rsidRDefault="00000000" w:rsidP="001C7C9E">
      <w:pPr>
        <w:pStyle w:val="ListParagraph"/>
        <w:numPr>
          <w:ilvl w:val="0"/>
          <w:numId w:val="15"/>
        </w:numPr>
        <w:rPr>
          <w:rFonts w:asciiTheme="minorHAnsi" w:hAnsiTheme="minorHAnsi" w:cstheme="minorHAnsi"/>
          <w:sz w:val="22"/>
          <w:szCs w:val="22"/>
        </w:rPr>
      </w:pPr>
      <w:hyperlink r:id="rId60" w:history="1">
        <w:r w:rsidR="002A0837" w:rsidRPr="001C7C9E">
          <w:rPr>
            <w:rStyle w:val="Hyperlink"/>
            <w:rFonts w:asciiTheme="minorHAnsi" w:hAnsiTheme="minorHAnsi" w:cstheme="minorHAnsi"/>
            <w:sz w:val="22"/>
            <w:szCs w:val="22"/>
          </w:rPr>
          <w:t>Indicator 12 Quick Reference Guide</w:t>
        </w:r>
      </w:hyperlink>
    </w:p>
    <w:p w14:paraId="2512688C" w14:textId="7FCEDBA8" w:rsidR="002A0837" w:rsidRDefault="00000000" w:rsidP="001C7C9E">
      <w:pPr>
        <w:pStyle w:val="ListParagraph"/>
        <w:numPr>
          <w:ilvl w:val="0"/>
          <w:numId w:val="15"/>
        </w:numPr>
        <w:rPr>
          <w:rFonts w:asciiTheme="minorHAnsi" w:hAnsiTheme="minorHAnsi" w:cstheme="minorHAnsi"/>
          <w:sz w:val="22"/>
          <w:szCs w:val="22"/>
        </w:rPr>
      </w:pPr>
      <w:hyperlink r:id="rId61" w:history="1">
        <w:r w:rsidR="002A0837" w:rsidRPr="001C7C9E">
          <w:rPr>
            <w:rStyle w:val="Hyperlink"/>
            <w:rFonts w:asciiTheme="minorHAnsi" w:hAnsiTheme="minorHAnsi" w:cstheme="minorHAnsi"/>
            <w:sz w:val="22"/>
            <w:szCs w:val="22"/>
          </w:rPr>
          <w:t>Indicator 13 Quick Reference Guide</w:t>
        </w:r>
      </w:hyperlink>
    </w:p>
    <w:p w14:paraId="4BA49D54" w14:textId="77777777" w:rsidR="001C7C9E" w:rsidRPr="001C7C9E" w:rsidRDefault="001C7C9E" w:rsidP="001C7C9E">
      <w:pPr>
        <w:pStyle w:val="ListParagraph"/>
        <w:ind w:left="2160"/>
        <w:rPr>
          <w:rFonts w:asciiTheme="minorHAnsi" w:hAnsiTheme="minorHAnsi" w:cstheme="minorHAnsi"/>
          <w:sz w:val="22"/>
          <w:szCs w:val="22"/>
        </w:rPr>
      </w:pPr>
    </w:p>
    <w:p w14:paraId="78A0D401" w14:textId="2C201ED2" w:rsidR="00460CF2" w:rsidRPr="008F144C" w:rsidRDefault="006F4320" w:rsidP="008F144C">
      <w:pPr>
        <w:ind w:left="720"/>
        <w:rPr>
          <w:b/>
          <w:bCs/>
        </w:rPr>
      </w:pPr>
      <w:r w:rsidRPr="008F144C">
        <w:rPr>
          <w:b/>
          <w:bCs/>
        </w:rPr>
        <w:t>What if my district did not get monitored for Group A TFM?</w:t>
      </w:r>
    </w:p>
    <w:p w14:paraId="478D8B83" w14:textId="16400F47" w:rsidR="006F4320" w:rsidRPr="00A728F3" w:rsidRDefault="006F4320" w:rsidP="008F144C">
      <w:pPr>
        <w:ind w:left="1440"/>
      </w:pPr>
      <w:r>
        <w:t xml:space="preserve">There would be no compliance data to report and this category would not count towards your Determination rating for this year. </w:t>
      </w:r>
    </w:p>
    <w:p w14:paraId="2AA8176F" w14:textId="660B3B85" w:rsidR="008F144C" w:rsidRDefault="008F144C" w:rsidP="00F47A5E">
      <w:pPr>
        <w:pStyle w:val="Heading2"/>
        <w:rPr>
          <w:rStyle w:val="eop"/>
          <w:b/>
          <w:bCs/>
        </w:rPr>
      </w:pPr>
      <w:bookmarkStart w:id="20" w:name="_Identification_of_Non-Compliance"/>
      <w:bookmarkEnd w:id="20"/>
      <w:r>
        <w:rPr>
          <w:rStyle w:val="eop"/>
          <w:b/>
          <w:bCs/>
        </w:rPr>
        <w:t>Identification of Non-Compliance</w:t>
      </w:r>
      <w:r w:rsidR="009A45C5">
        <w:rPr>
          <w:rStyle w:val="eop"/>
          <w:b/>
          <w:bCs/>
        </w:rPr>
        <w:t xml:space="preserve"> # of Findings </w:t>
      </w:r>
      <w:r w:rsidR="000F6756">
        <w:rPr>
          <w:rStyle w:val="eop"/>
          <w:b/>
          <w:bCs/>
        </w:rPr>
        <w:t>–</w:t>
      </w:r>
      <w:r w:rsidR="009A45C5">
        <w:rPr>
          <w:rStyle w:val="eop"/>
          <w:b/>
          <w:bCs/>
        </w:rPr>
        <w:t xml:space="preserve"> </w:t>
      </w:r>
      <w:r w:rsidR="000F6756">
        <w:rPr>
          <w:rStyle w:val="eop"/>
          <w:b/>
          <w:bCs/>
        </w:rPr>
        <w:t>NEW</w:t>
      </w:r>
    </w:p>
    <w:p w14:paraId="40FCD19A" w14:textId="0C2B32F9" w:rsidR="000F6756" w:rsidRDefault="000F6756" w:rsidP="00514901">
      <w:pPr>
        <w:ind w:left="720"/>
      </w:pPr>
      <w:r>
        <w:t xml:space="preserve">For this year, </w:t>
      </w:r>
      <w:r w:rsidR="00100FB3">
        <w:t>the number of findings of special education non-compliance found either through Public School Monitoring’s</w:t>
      </w:r>
      <w:r w:rsidR="00637344">
        <w:t xml:space="preserve"> (PSM)</w:t>
      </w:r>
      <w:r w:rsidR="00100FB3">
        <w:t xml:space="preserve"> Tiered Focus Monitoring (Group A and Group B) or through Problem Resolution Systems </w:t>
      </w:r>
      <w:r w:rsidR="00637344">
        <w:t xml:space="preserve">(PRS) </w:t>
      </w:r>
      <w:r w:rsidR="00100FB3">
        <w:t xml:space="preserve">is </w:t>
      </w:r>
      <w:r w:rsidR="00F77CE9">
        <w:t xml:space="preserve">combined </w:t>
      </w:r>
      <w:r w:rsidR="00942D21">
        <w:t>into a single category.</w:t>
      </w:r>
    </w:p>
    <w:p w14:paraId="2C59E3AB" w14:textId="44027441" w:rsidR="00942D21" w:rsidRPr="00514901" w:rsidRDefault="00942D21" w:rsidP="00514901">
      <w:pPr>
        <w:ind w:left="720"/>
        <w:rPr>
          <w:b/>
          <w:bCs/>
        </w:rPr>
      </w:pPr>
      <w:r w:rsidRPr="00514901">
        <w:rPr>
          <w:b/>
          <w:bCs/>
        </w:rPr>
        <w:t>Is this the same measurement as last year?</w:t>
      </w:r>
    </w:p>
    <w:p w14:paraId="0EC9BD41" w14:textId="5D1EEC55" w:rsidR="00942D21" w:rsidRDefault="00942D21" w:rsidP="00514901">
      <w:pPr>
        <w:ind w:left="1440"/>
      </w:pPr>
      <w:r>
        <w:t>The short answer is ‘Yes’ and ‘No’. The Department is using the same data points as last year, but combining both</w:t>
      </w:r>
      <w:r w:rsidR="00637344">
        <w:t xml:space="preserve"> PSM and PRS</w:t>
      </w:r>
      <w:r w:rsidR="007F74AC">
        <w:t xml:space="preserve"> into a single category</w:t>
      </w:r>
      <w:r w:rsidR="00637344">
        <w:t xml:space="preserve"> </w:t>
      </w:r>
      <w:r>
        <w:t xml:space="preserve">and the measurement is </w:t>
      </w:r>
      <w:r w:rsidR="007F74AC">
        <w:t xml:space="preserve">still </w:t>
      </w:r>
      <w:r>
        <w:t xml:space="preserve">calculated per 1000 students with disabilities to better account for the district size. The calculation includes all special education findings and complaints resulting in a non-compliance finding during the determination cycle, regardless of when the complaint is </w:t>
      </w:r>
      <w:r w:rsidR="00514901">
        <w:t xml:space="preserve">presently open pending corrective action implementation or has been closed. </w:t>
      </w:r>
    </w:p>
    <w:p w14:paraId="4E0C5A08" w14:textId="77777777" w:rsidR="00514901" w:rsidRPr="000E68B7" w:rsidRDefault="00514901" w:rsidP="00514901">
      <w:pPr>
        <w:spacing w:before="240" w:after="0"/>
        <w:ind w:left="720"/>
        <w:rPr>
          <w:b/>
          <w:bCs/>
        </w:rPr>
      </w:pPr>
      <w:r w:rsidRPr="000E68B7">
        <w:rPr>
          <w:b/>
          <w:bCs/>
        </w:rPr>
        <w:t xml:space="preserve">Why is </w:t>
      </w:r>
      <w:r>
        <w:rPr>
          <w:b/>
          <w:bCs/>
        </w:rPr>
        <w:t>my LEA</w:t>
      </w:r>
      <w:r w:rsidRPr="000E68B7">
        <w:rPr>
          <w:b/>
          <w:bCs/>
        </w:rPr>
        <w:t xml:space="preserve"> </w:t>
      </w:r>
      <w:r>
        <w:rPr>
          <w:rFonts w:cstheme="minorHAnsi"/>
          <w:b/>
          <w:bCs/>
        </w:rPr>
        <w:t>determination</w:t>
      </w:r>
      <w:r>
        <w:rPr>
          <w:b/>
          <w:bCs/>
        </w:rPr>
        <w:t xml:space="preserve"> data showing more/less findings than the district received</w:t>
      </w:r>
      <w:r w:rsidRPr="000E68B7">
        <w:rPr>
          <w:b/>
          <w:bCs/>
        </w:rPr>
        <w:t>?</w:t>
      </w:r>
    </w:p>
    <w:p w14:paraId="4AE6D35A" w14:textId="77777777" w:rsidR="00514901" w:rsidRDefault="00514901" w:rsidP="00514901">
      <w:pPr>
        <w:ind w:left="1440"/>
        <w:rPr>
          <w:rFonts w:cstheme="minorHAnsi"/>
        </w:rPr>
      </w:pPr>
      <w:r w:rsidRPr="000E68B7">
        <w:rPr>
          <w:rFonts w:cstheme="minorHAnsi"/>
        </w:rPr>
        <w:t xml:space="preserve">This is a rate, not a count. It standardizes the way we think about complaints. Getting 5 complaints in a small </w:t>
      </w:r>
      <w:r>
        <w:rPr>
          <w:rFonts w:cstheme="minorHAnsi"/>
        </w:rPr>
        <w:t>district</w:t>
      </w:r>
      <w:r w:rsidRPr="000E68B7">
        <w:rPr>
          <w:rFonts w:cstheme="minorHAnsi"/>
        </w:rPr>
        <w:t xml:space="preserve"> is different from getting 5 complaints in a very large </w:t>
      </w:r>
      <w:r>
        <w:rPr>
          <w:rFonts w:cstheme="minorHAnsi"/>
        </w:rPr>
        <w:t>district</w:t>
      </w:r>
      <w:r w:rsidRPr="000E68B7">
        <w:rPr>
          <w:rFonts w:cstheme="minorHAnsi"/>
        </w:rPr>
        <w:t xml:space="preserve">. </w:t>
      </w:r>
    </w:p>
    <w:p w14:paraId="1CB300EC" w14:textId="28C87482" w:rsidR="00514901" w:rsidRPr="00514901" w:rsidRDefault="00514901" w:rsidP="00514901">
      <w:pPr>
        <w:ind w:left="720"/>
        <w:rPr>
          <w:b/>
          <w:bCs/>
        </w:rPr>
      </w:pPr>
      <w:r w:rsidRPr="00514901">
        <w:rPr>
          <w:b/>
          <w:bCs/>
        </w:rPr>
        <w:t>What resources are available to help me better understand the PSM data?</w:t>
      </w:r>
    </w:p>
    <w:p w14:paraId="6F576746" w14:textId="77777777" w:rsidR="00514901" w:rsidRPr="00C02F27" w:rsidRDefault="00000000" w:rsidP="00514901">
      <w:pPr>
        <w:pStyle w:val="ListParagraph"/>
        <w:numPr>
          <w:ilvl w:val="0"/>
          <w:numId w:val="5"/>
        </w:numPr>
        <w:rPr>
          <w:rFonts w:asciiTheme="minorHAnsi" w:hAnsiTheme="minorHAnsi" w:cstheme="minorHAnsi"/>
          <w:sz w:val="22"/>
          <w:szCs w:val="22"/>
        </w:rPr>
      </w:pPr>
      <w:hyperlink r:id="rId62" w:history="1">
        <w:r w:rsidR="00514901" w:rsidRPr="00C02F27">
          <w:rPr>
            <w:rStyle w:val="Hyperlink"/>
            <w:rFonts w:asciiTheme="minorHAnsi" w:hAnsiTheme="minorHAnsi" w:cstheme="minorHAnsi"/>
            <w:sz w:val="22"/>
            <w:szCs w:val="22"/>
          </w:rPr>
          <w:t>PSM Webpage</w:t>
        </w:r>
      </w:hyperlink>
      <w:r w:rsidR="00514901" w:rsidRPr="00C02F27">
        <w:rPr>
          <w:rFonts w:asciiTheme="minorHAnsi" w:hAnsiTheme="minorHAnsi" w:cstheme="minorHAnsi"/>
          <w:sz w:val="22"/>
          <w:szCs w:val="22"/>
        </w:rPr>
        <w:t> </w:t>
      </w:r>
    </w:p>
    <w:p w14:paraId="0721D9BA" w14:textId="77777777" w:rsidR="00514901" w:rsidRPr="00C02F27" w:rsidRDefault="00000000" w:rsidP="00514901">
      <w:pPr>
        <w:pStyle w:val="ListParagraph"/>
        <w:numPr>
          <w:ilvl w:val="0"/>
          <w:numId w:val="5"/>
        </w:numPr>
        <w:rPr>
          <w:rFonts w:asciiTheme="minorHAnsi" w:hAnsiTheme="minorHAnsi" w:cstheme="minorBidi"/>
          <w:sz w:val="22"/>
          <w:szCs w:val="22"/>
        </w:rPr>
      </w:pPr>
      <w:hyperlink r:id="rId63">
        <w:r w:rsidR="00514901" w:rsidRPr="6F4FDB4D">
          <w:rPr>
            <w:rStyle w:val="Hyperlink"/>
            <w:rFonts w:asciiTheme="minorHAnsi" w:hAnsiTheme="minorHAnsi" w:cstheme="minorBidi"/>
            <w:sz w:val="22"/>
            <w:szCs w:val="22"/>
          </w:rPr>
          <w:t>TFM Toolkit</w:t>
        </w:r>
      </w:hyperlink>
      <w:r w:rsidR="00514901" w:rsidRPr="6F4FDB4D">
        <w:rPr>
          <w:rFonts w:asciiTheme="minorHAnsi" w:hAnsiTheme="minorHAnsi" w:cstheme="minorBidi"/>
          <w:sz w:val="22"/>
          <w:szCs w:val="22"/>
        </w:rPr>
        <w:t> </w:t>
      </w:r>
    </w:p>
    <w:p w14:paraId="38AA5A43" w14:textId="77777777" w:rsidR="00514901" w:rsidRDefault="00000000" w:rsidP="00514901">
      <w:pPr>
        <w:pStyle w:val="ListParagraph"/>
        <w:numPr>
          <w:ilvl w:val="0"/>
          <w:numId w:val="5"/>
        </w:numPr>
        <w:rPr>
          <w:sz w:val="22"/>
          <w:szCs w:val="22"/>
        </w:rPr>
      </w:pPr>
      <w:hyperlink r:id="rId64" w:history="1">
        <w:r w:rsidR="00514901">
          <w:rPr>
            <w:rStyle w:val="Hyperlink"/>
            <w:rFonts w:asciiTheme="minorHAnsi" w:eastAsia="Calibri" w:hAnsiTheme="minorHAnsi" w:cstheme="minorBidi"/>
            <w:sz w:val="22"/>
            <w:szCs w:val="22"/>
          </w:rPr>
          <w:t>TFM Reports</w:t>
        </w:r>
      </w:hyperlink>
      <w:r w:rsidR="00514901" w:rsidRPr="6F4FDB4D">
        <w:rPr>
          <w:rFonts w:asciiTheme="minorHAnsi" w:eastAsia="Calibri" w:hAnsiTheme="minorHAnsi" w:cstheme="minorBidi"/>
          <w:sz w:val="22"/>
          <w:szCs w:val="22"/>
        </w:rPr>
        <w:t xml:space="preserve"> </w:t>
      </w:r>
    </w:p>
    <w:p w14:paraId="05BD3E23" w14:textId="42905830" w:rsidR="00514901" w:rsidRPr="000176E2" w:rsidRDefault="00514901" w:rsidP="00514901">
      <w:pPr>
        <w:spacing w:before="240"/>
        <w:ind w:left="720"/>
        <w:rPr>
          <w:rFonts w:eastAsia="Times New Roman" w:cstheme="minorHAnsi"/>
          <w:b/>
          <w:bCs/>
        </w:rPr>
      </w:pPr>
      <w:r w:rsidRPr="00A34222">
        <w:rPr>
          <w:rFonts w:eastAsia="Times New Roman" w:cstheme="minorHAnsi"/>
          <w:b/>
          <w:bCs/>
        </w:rPr>
        <w:t xml:space="preserve">What resources are available to help me better understand </w:t>
      </w:r>
      <w:r>
        <w:rPr>
          <w:rFonts w:eastAsia="Times New Roman" w:cstheme="minorHAnsi"/>
          <w:b/>
          <w:bCs/>
        </w:rPr>
        <w:t>the PRS</w:t>
      </w:r>
      <w:r w:rsidRPr="00A34222">
        <w:rPr>
          <w:rFonts w:eastAsia="Times New Roman" w:cstheme="minorHAnsi"/>
          <w:b/>
          <w:bCs/>
        </w:rPr>
        <w:t xml:space="preserve"> data?</w:t>
      </w:r>
    </w:p>
    <w:p w14:paraId="48056D8D" w14:textId="77777777" w:rsidR="00514901" w:rsidRDefault="00000000" w:rsidP="00514901">
      <w:pPr>
        <w:pStyle w:val="ListParagraph"/>
        <w:numPr>
          <w:ilvl w:val="0"/>
          <w:numId w:val="6"/>
        </w:numPr>
        <w:rPr>
          <w:rFonts w:asciiTheme="minorHAnsi" w:hAnsiTheme="minorHAnsi" w:cstheme="minorHAnsi"/>
          <w:sz w:val="22"/>
          <w:szCs w:val="22"/>
        </w:rPr>
      </w:pPr>
      <w:hyperlink r:id="rId65" w:history="1">
        <w:r w:rsidR="00514901" w:rsidRPr="00A22FF0">
          <w:rPr>
            <w:rStyle w:val="Hyperlink"/>
            <w:rFonts w:asciiTheme="minorHAnsi" w:hAnsiTheme="minorHAnsi" w:cstheme="minorHAnsi"/>
            <w:sz w:val="22"/>
            <w:szCs w:val="22"/>
          </w:rPr>
          <w:t>PRS website</w:t>
        </w:r>
      </w:hyperlink>
      <w:r w:rsidR="00514901" w:rsidRPr="00A22FF0">
        <w:rPr>
          <w:rFonts w:asciiTheme="minorHAnsi" w:hAnsiTheme="minorHAnsi" w:cstheme="minorHAnsi"/>
          <w:sz w:val="22"/>
          <w:szCs w:val="22"/>
        </w:rPr>
        <w:t xml:space="preserve"> </w:t>
      </w:r>
    </w:p>
    <w:p w14:paraId="134893D7" w14:textId="77777777" w:rsidR="00514901" w:rsidRDefault="00000000" w:rsidP="00514901">
      <w:pPr>
        <w:pStyle w:val="ListParagraph"/>
        <w:numPr>
          <w:ilvl w:val="0"/>
          <w:numId w:val="6"/>
        </w:numPr>
        <w:rPr>
          <w:rFonts w:asciiTheme="minorHAnsi" w:hAnsiTheme="minorHAnsi" w:cstheme="minorHAnsi"/>
          <w:sz w:val="22"/>
          <w:szCs w:val="22"/>
        </w:rPr>
      </w:pPr>
      <w:hyperlink r:id="rId66" w:history="1">
        <w:r w:rsidR="00514901" w:rsidRPr="00BC2902">
          <w:rPr>
            <w:rStyle w:val="Hyperlink"/>
            <w:rFonts w:asciiTheme="minorHAnsi" w:hAnsiTheme="minorHAnsi" w:cstheme="minorHAnsi"/>
            <w:sz w:val="22"/>
            <w:szCs w:val="22"/>
          </w:rPr>
          <w:t xml:space="preserve">PRS </w:t>
        </w:r>
        <w:r w:rsidR="00514901">
          <w:rPr>
            <w:rStyle w:val="Hyperlink"/>
            <w:rFonts w:asciiTheme="minorHAnsi" w:hAnsiTheme="minorHAnsi" w:cstheme="minorHAnsi"/>
            <w:sz w:val="22"/>
            <w:szCs w:val="22"/>
          </w:rPr>
          <w:t>L</w:t>
        </w:r>
        <w:r w:rsidR="00514901" w:rsidRPr="00BC2902">
          <w:rPr>
            <w:rStyle w:val="Hyperlink"/>
            <w:rFonts w:asciiTheme="minorHAnsi" w:hAnsiTheme="minorHAnsi" w:cstheme="minorHAnsi"/>
            <w:sz w:val="22"/>
            <w:szCs w:val="22"/>
          </w:rPr>
          <w:t>iaisons</w:t>
        </w:r>
      </w:hyperlink>
    </w:p>
    <w:p w14:paraId="625C5BDF" w14:textId="77777777" w:rsidR="00514901" w:rsidRPr="00BC2902" w:rsidRDefault="00000000" w:rsidP="00514901">
      <w:pPr>
        <w:pStyle w:val="ListParagraph"/>
        <w:numPr>
          <w:ilvl w:val="0"/>
          <w:numId w:val="6"/>
        </w:numPr>
        <w:rPr>
          <w:rFonts w:asciiTheme="minorHAnsi" w:hAnsiTheme="minorHAnsi" w:cstheme="minorHAnsi"/>
          <w:sz w:val="22"/>
          <w:szCs w:val="22"/>
        </w:rPr>
      </w:pPr>
      <w:hyperlink r:id="rId67" w:history="1">
        <w:r w:rsidR="00514901" w:rsidRPr="00BC2902">
          <w:rPr>
            <w:rStyle w:val="Hyperlink"/>
            <w:rFonts w:asciiTheme="minorHAnsi" w:hAnsiTheme="minorHAnsi" w:cstheme="minorHAnsi"/>
            <w:sz w:val="22"/>
            <w:szCs w:val="22"/>
          </w:rPr>
          <w:t>PRS Information Guide</w:t>
        </w:r>
      </w:hyperlink>
      <w:r w:rsidR="00514901" w:rsidRPr="00BC2902">
        <w:rPr>
          <w:rFonts w:asciiTheme="minorHAnsi" w:hAnsiTheme="minorHAnsi" w:cstheme="minorHAnsi"/>
          <w:sz w:val="22"/>
          <w:szCs w:val="22"/>
        </w:rPr>
        <w:t xml:space="preserve"> </w:t>
      </w:r>
    </w:p>
    <w:p w14:paraId="0C3D5FC5" w14:textId="77777777" w:rsidR="00514901" w:rsidRPr="00050A7C" w:rsidRDefault="00514901" w:rsidP="00514901">
      <w:pPr>
        <w:pStyle w:val="ListParagraph"/>
        <w:numPr>
          <w:ilvl w:val="0"/>
          <w:numId w:val="6"/>
        </w:numPr>
        <w:spacing w:after="240"/>
        <w:rPr>
          <w:rFonts w:asciiTheme="minorHAnsi" w:hAnsiTheme="minorHAnsi" w:cstheme="minorHAnsi"/>
          <w:sz w:val="22"/>
          <w:szCs w:val="22"/>
        </w:rPr>
      </w:pPr>
      <w:r>
        <w:rPr>
          <w:rFonts w:asciiTheme="minorHAnsi" w:hAnsiTheme="minorHAnsi" w:cstheme="minorHAnsi"/>
          <w:sz w:val="22"/>
          <w:szCs w:val="22"/>
        </w:rPr>
        <w:t xml:space="preserve">Contact the </w:t>
      </w:r>
      <w:hyperlink r:id="rId68" w:history="1">
        <w:r w:rsidRPr="00123EDD">
          <w:rPr>
            <w:rStyle w:val="Hyperlink"/>
            <w:rFonts w:asciiTheme="minorHAnsi" w:hAnsiTheme="minorHAnsi" w:cstheme="minorHAnsi"/>
            <w:sz w:val="22"/>
            <w:szCs w:val="22"/>
          </w:rPr>
          <w:t>Problem Resolution System Office</w:t>
        </w:r>
      </w:hyperlink>
      <w:r w:rsidRPr="00050A7C">
        <w:rPr>
          <w:rFonts w:asciiTheme="minorHAnsi" w:hAnsiTheme="minorHAnsi" w:cstheme="minorHAnsi"/>
          <w:sz w:val="22"/>
          <w:szCs w:val="22"/>
        </w:rPr>
        <w:t xml:space="preserve">  </w:t>
      </w:r>
      <w:r w:rsidRPr="00050A7C">
        <w:t xml:space="preserve"> </w:t>
      </w:r>
    </w:p>
    <w:p w14:paraId="645649A5" w14:textId="73641B47" w:rsidR="00514901" w:rsidRDefault="00514901" w:rsidP="00CC7AFD">
      <w:pPr>
        <w:pStyle w:val="Heading2"/>
        <w:rPr>
          <w:rStyle w:val="eop"/>
          <w:b/>
          <w:bCs/>
        </w:rPr>
      </w:pPr>
      <w:bookmarkStart w:id="21" w:name="_SPP/APR_Compliance_Indicators"/>
      <w:bookmarkStart w:id="22" w:name="_SPP/APR_Performance_Indicators"/>
      <w:bookmarkStart w:id="23" w:name="_MOE"/>
      <w:bookmarkStart w:id="24" w:name="_Maintenance_of_Effort"/>
      <w:bookmarkStart w:id="25" w:name="_Timely_Submission/Verified_Correcti"/>
      <w:bookmarkEnd w:id="21"/>
      <w:bookmarkEnd w:id="22"/>
      <w:bookmarkEnd w:id="23"/>
      <w:bookmarkEnd w:id="24"/>
      <w:bookmarkEnd w:id="25"/>
      <w:r>
        <w:rPr>
          <w:rStyle w:val="eop"/>
          <w:b/>
          <w:bCs/>
        </w:rPr>
        <w:lastRenderedPageBreak/>
        <w:t>Timely Submission/Verifi</w:t>
      </w:r>
      <w:r w:rsidR="007751B7">
        <w:rPr>
          <w:rStyle w:val="eop"/>
          <w:b/>
          <w:bCs/>
        </w:rPr>
        <w:t>ed Correction of Non-Compliance – NEW</w:t>
      </w:r>
    </w:p>
    <w:p w14:paraId="6707D20B" w14:textId="71AA4B7E" w:rsidR="007751B7" w:rsidRDefault="00DA481E" w:rsidP="00637344">
      <w:pPr>
        <w:ind w:left="720"/>
      </w:pPr>
      <w:r>
        <w:t xml:space="preserve">Consistent with OSEP Memo 23-01, a state must use valid, reliable, and timely data and the verification of correction of non-compliance when determining a LEAs Determination rating. </w:t>
      </w:r>
      <w:r w:rsidR="007751B7">
        <w:t xml:space="preserve">Once a finding of non-compliance has been issued to a district, they have one year from date of notification, to correct the issues </w:t>
      </w:r>
      <w:r>
        <w:t>pertaining to</w:t>
      </w:r>
      <w:r w:rsidR="007751B7">
        <w:t xml:space="preserve"> non-compliance. Within this category, the Department is using </w:t>
      </w:r>
      <w:r w:rsidR="009D4EF8">
        <w:t>any outstanding findings of non-compliance that have not been corrected within the one-year timeframe and/or the district did not supply the Department with the necessary documentation</w:t>
      </w:r>
      <w:r>
        <w:t xml:space="preserve"> related to non-compliance</w:t>
      </w:r>
      <w:r w:rsidR="009D4EF8">
        <w:t xml:space="preserve"> within a timely manner. </w:t>
      </w:r>
    </w:p>
    <w:p w14:paraId="33175DF5" w14:textId="4EB7E363" w:rsidR="009D4EF8" w:rsidRPr="007751B7" w:rsidRDefault="00B21A69" w:rsidP="00637344">
      <w:pPr>
        <w:ind w:left="720"/>
      </w:pPr>
      <w:r>
        <w:t>Similarly,</w:t>
      </w:r>
      <w:r w:rsidR="009D4EF8">
        <w:t xml:space="preserve"> to the Identification of Non-Compliance, this is a rate, not a count. It standardizes the way we think about </w:t>
      </w:r>
      <w:r>
        <w:t>the correction and submission of data to the Department. Uncorrected findings</w:t>
      </w:r>
      <w:r w:rsidR="00DA481E">
        <w:t xml:space="preserve"> or </w:t>
      </w:r>
      <w:r w:rsidR="00A61DAD">
        <w:t>data not submitted in a timely manner</w:t>
      </w:r>
      <w:r>
        <w:t xml:space="preserve"> in this category are lag data and come from the previous school</w:t>
      </w:r>
      <w:r w:rsidR="004E20B9">
        <w:t xml:space="preserve"> year (2021-2022). </w:t>
      </w:r>
    </w:p>
    <w:p w14:paraId="71733C5C" w14:textId="74AE789E" w:rsidR="00C63C72" w:rsidRPr="00377F8D" w:rsidRDefault="00806125" w:rsidP="00CC7AFD">
      <w:pPr>
        <w:pStyle w:val="Heading2"/>
        <w:rPr>
          <w:rStyle w:val="eop"/>
          <w:b/>
          <w:bCs/>
        </w:rPr>
      </w:pPr>
      <w:r w:rsidRPr="03C077EC">
        <w:rPr>
          <w:rStyle w:val="eop"/>
          <w:b/>
          <w:bCs/>
        </w:rPr>
        <w:t>Maintenance of Effort (</w:t>
      </w:r>
      <w:r w:rsidR="00C63C72" w:rsidRPr="03C077EC">
        <w:rPr>
          <w:rStyle w:val="eop"/>
          <w:b/>
          <w:bCs/>
        </w:rPr>
        <w:t>MOE</w:t>
      </w:r>
      <w:r w:rsidRPr="03C077EC">
        <w:rPr>
          <w:rStyle w:val="eop"/>
          <w:b/>
          <w:bCs/>
        </w:rPr>
        <w:t>)</w:t>
      </w:r>
    </w:p>
    <w:p w14:paraId="68734F50" w14:textId="7C166B44" w:rsidR="0051343B" w:rsidRPr="00E579D7" w:rsidRDefault="66B7525D" w:rsidP="03C077EC">
      <w:pPr>
        <w:spacing w:before="240" w:after="240"/>
        <w:ind w:left="720"/>
        <w:rPr>
          <w:rFonts w:eastAsia="Times New Roman"/>
          <w:b/>
          <w:bCs/>
        </w:rPr>
      </w:pPr>
      <w:r w:rsidRPr="03C077EC">
        <w:rPr>
          <w:b/>
          <w:bCs/>
        </w:rPr>
        <w:t>The</w:t>
      </w:r>
      <w:r w:rsidR="0051343B" w:rsidRPr="03C077EC">
        <w:rPr>
          <w:b/>
          <w:bCs/>
        </w:rPr>
        <w:t xml:space="preserve"> </w:t>
      </w:r>
      <w:r w:rsidR="00D304A0" w:rsidRPr="03C077EC">
        <w:rPr>
          <w:b/>
          <w:bCs/>
        </w:rPr>
        <w:t xml:space="preserve">LEA </w:t>
      </w:r>
      <w:r w:rsidR="004705CC" w:rsidRPr="03C077EC">
        <w:rPr>
          <w:b/>
          <w:bCs/>
        </w:rPr>
        <w:t>determination</w:t>
      </w:r>
      <w:r w:rsidR="0051343B" w:rsidRPr="03C077EC">
        <w:rPr>
          <w:b/>
          <w:bCs/>
        </w:rPr>
        <w:t xml:space="preserve"> letter</w:t>
      </w:r>
      <w:r w:rsidR="00CD252C" w:rsidRPr="03C077EC">
        <w:rPr>
          <w:b/>
          <w:bCs/>
        </w:rPr>
        <w:t xml:space="preserve"> for my </w:t>
      </w:r>
      <w:r w:rsidR="00982D26" w:rsidRPr="03C077EC">
        <w:rPr>
          <w:b/>
          <w:bCs/>
        </w:rPr>
        <w:t>district</w:t>
      </w:r>
      <w:r w:rsidR="0051343B" w:rsidRPr="03C077EC">
        <w:rPr>
          <w:b/>
          <w:bCs/>
        </w:rPr>
        <w:t xml:space="preserve"> talked about MOE; can you tell me more about that?</w:t>
      </w:r>
      <w:r w:rsidR="0051343B" w:rsidRPr="03C077EC">
        <w:rPr>
          <w:rFonts w:eastAsia="Times New Roman"/>
          <w:b/>
          <w:bCs/>
        </w:rPr>
        <w:t> </w:t>
      </w:r>
    </w:p>
    <w:p w14:paraId="2AB69405" w14:textId="4B4A98D7" w:rsidR="0051343B" w:rsidRPr="00E579D7" w:rsidRDefault="003B4724" w:rsidP="00CD6198">
      <w:pPr>
        <w:ind w:left="1440"/>
      </w:pPr>
      <w:r>
        <w:t xml:space="preserve">The </w:t>
      </w:r>
      <w:hyperlink r:id="rId69" w:history="1">
        <w:r w:rsidR="00C33C4B">
          <w:t>maintenance of effort (MOE)</w:t>
        </w:r>
      </w:hyperlink>
      <w:r w:rsidR="00CD252C">
        <w:t xml:space="preserve"> </w:t>
      </w:r>
      <w:r w:rsidR="00016B11">
        <w:t>requirement obligates LEAs</w:t>
      </w:r>
      <w:r w:rsidR="00A54787">
        <w:t xml:space="preserve"> receiving </w:t>
      </w:r>
      <w:r w:rsidR="002D4A62">
        <w:t>funds under IDE</w:t>
      </w:r>
      <w:r w:rsidR="00AA387B">
        <w:t>A</w:t>
      </w:r>
      <w:r w:rsidR="00E563CF">
        <w:t xml:space="preserve"> Part B Section 611</w:t>
      </w:r>
      <w:r w:rsidR="00016B11">
        <w:t xml:space="preserve"> </w:t>
      </w:r>
      <w:r w:rsidR="00FF5634">
        <w:t>(</w:t>
      </w:r>
      <w:r w:rsidR="00016B11">
        <w:t xml:space="preserve">DESE Fund Code 240) and 619 (DESE Fund Code 262) to budget and spend at least the same amount of </w:t>
      </w:r>
      <w:r w:rsidR="000E70DA">
        <w:t>local and state funds</w:t>
      </w:r>
      <w:r w:rsidR="00016B11">
        <w:t xml:space="preserve"> for the education of children with disabilities on a year-to-year basis. </w:t>
      </w:r>
    </w:p>
    <w:p w14:paraId="3071357C" w14:textId="2E308229" w:rsidR="0051343B" w:rsidRPr="00883AFB" w:rsidRDefault="00D10B05" w:rsidP="00E80613">
      <w:pPr>
        <w:spacing w:line="254" w:lineRule="auto"/>
        <w:ind w:left="1440"/>
      </w:pPr>
      <w:r>
        <w:t>District</w:t>
      </w:r>
      <w:r w:rsidR="0051343B">
        <w:t>s receiving NA</w:t>
      </w:r>
      <w:r w:rsidR="00CD252C">
        <w:t xml:space="preserve">, NI, or NSI </w:t>
      </w:r>
      <w:r w:rsidR="0051343B">
        <w:t xml:space="preserve">determinations </w:t>
      </w:r>
      <w:r w:rsidR="00E928AE">
        <w:t xml:space="preserve">must </w:t>
      </w:r>
      <w:r w:rsidR="0051343B">
        <w:t xml:space="preserve">not use the </w:t>
      </w:r>
      <w:r w:rsidR="00045315" w:rsidRPr="03C077EC">
        <w:rPr>
          <w:rStyle w:val="cf01"/>
          <w:rFonts w:asciiTheme="minorHAnsi" w:hAnsiTheme="minorHAnsi" w:cstheme="minorBidi"/>
          <w:sz w:val="22"/>
          <w:szCs w:val="22"/>
        </w:rPr>
        <w:t>MOE adjustment</w:t>
      </w:r>
      <w:r w:rsidR="00045315" w:rsidRPr="03C077EC">
        <w:rPr>
          <w:rStyle w:val="cf01"/>
        </w:rPr>
        <w:t xml:space="preserve"> </w:t>
      </w:r>
      <w:r w:rsidR="0051343B">
        <w:t>flexibility available under IDEA and must budget for special education in 202</w:t>
      </w:r>
      <w:r w:rsidR="1AC8E4BC">
        <w:t>3</w:t>
      </w:r>
      <w:r>
        <w:t>2</w:t>
      </w:r>
      <w:r w:rsidR="0051343B">
        <w:t>-202</w:t>
      </w:r>
      <w:r>
        <w:t>3</w:t>
      </w:r>
      <w:r w:rsidR="0051343B">
        <w:t xml:space="preserve"> at </w:t>
      </w:r>
      <w:r w:rsidR="002A52CE">
        <w:t>lea</w:t>
      </w:r>
      <w:r w:rsidR="0051343B">
        <w:t xml:space="preserve">st as much state and local funds in the aggregate or per pupil as it budgeted </w:t>
      </w:r>
      <w:r w:rsidR="00AA4477">
        <w:t>and</w:t>
      </w:r>
      <w:r w:rsidR="0051343B">
        <w:t xml:space="preserve"> </w:t>
      </w:r>
      <w:r w:rsidR="005120C8" w:rsidRPr="03C077EC">
        <w:rPr>
          <w:rStyle w:val="normaltextrun"/>
          <w:rFonts w:ascii="Calibri" w:hAnsi="Calibri" w:cs="Calibri"/>
        </w:rPr>
        <w:t xml:space="preserve">spent the last </w:t>
      </w:r>
      <w:r w:rsidR="005120C8" w:rsidRPr="03C077EC">
        <w:rPr>
          <w:rStyle w:val="contextualspellingandgrammarerror"/>
          <w:rFonts w:ascii="Calibri" w:hAnsi="Calibri" w:cs="Calibri"/>
        </w:rPr>
        <w:t>year</w:t>
      </w:r>
      <w:r w:rsidR="005120C8" w:rsidRPr="03C077EC">
        <w:rPr>
          <w:rStyle w:val="normaltextrun"/>
          <w:rFonts w:ascii="Calibri" w:hAnsi="Calibri" w:cs="Calibri"/>
        </w:rPr>
        <w:t xml:space="preserve"> </w:t>
      </w:r>
      <w:r w:rsidR="00E72533" w:rsidRPr="03C077EC">
        <w:rPr>
          <w:rStyle w:val="normaltextrun"/>
          <w:rFonts w:ascii="Calibri" w:hAnsi="Calibri" w:cs="Calibri"/>
        </w:rPr>
        <w:t>it</w:t>
      </w:r>
      <w:r w:rsidR="005120C8" w:rsidRPr="03C077EC">
        <w:rPr>
          <w:rStyle w:val="normaltextrun"/>
          <w:rFonts w:ascii="Calibri" w:hAnsi="Calibri" w:cs="Calibri"/>
        </w:rPr>
        <w:t xml:space="preserve"> met </w:t>
      </w:r>
      <w:r w:rsidR="005120C8" w:rsidRPr="03C077EC">
        <w:rPr>
          <w:rStyle w:val="contextualspellingandgrammarerror"/>
          <w:rFonts w:ascii="Calibri" w:hAnsi="Calibri" w:cs="Calibri"/>
        </w:rPr>
        <w:t>MOE</w:t>
      </w:r>
      <w:r w:rsidR="0051343B">
        <w:t xml:space="preserve">. </w:t>
      </w:r>
    </w:p>
    <w:p w14:paraId="14796872" w14:textId="16AAFA27" w:rsidR="000176E2" w:rsidRPr="000176E2" w:rsidRDefault="000176E2" w:rsidP="03C077EC">
      <w:pPr>
        <w:spacing w:before="240"/>
        <w:ind w:left="720"/>
        <w:rPr>
          <w:rFonts w:eastAsia="Times New Roman"/>
          <w:b/>
          <w:bCs/>
        </w:rPr>
      </w:pPr>
      <w:r w:rsidRPr="03C077EC">
        <w:rPr>
          <w:rFonts w:eastAsia="Times New Roman"/>
          <w:b/>
          <w:bCs/>
        </w:rPr>
        <w:t>What resources are available to help me better understand this data?</w:t>
      </w:r>
    </w:p>
    <w:p w14:paraId="04CA8595" w14:textId="21A10BF9" w:rsidR="0051343B" w:rsidRPr="00EB6ED1" w:rsidRDefault="00000000" w:rsidP="00201ABB">
      <w:pPr>
        <w:pStyle w:val="ListParagraph"/>
        <w:numPr>
          <w:ilvl w:val="0"/>
          <w:numId w:val="3"/>
        </w:numPr>
        <w:snapToGrid/>
        <w:spacing w:after="240"/>
        <w:ind w:left="1440"/>
        <w:contextualSpacing/>
        <w:rPr>
          <w:rFonts w:cstheme="minorBidi"/>
        </w:rPr>
      </w:pPr>
      <w:hyperlink r:id="rId70" w:history="1">
        <w:r w:rsidR="000176E2" w:rsidRPr="03C077EC">
          <w:rPr>
            <w:rFonts w:asciiTheme="minorHAnsi" w:eastAsia="Calibri" w:hAnsiTheme="minorHAnsi" w:cstheme="minorBidi"/>
            <w:sz w:val="22"/>
            <w:szCs w:val="22"/>
          </w:rPr>
          <w:t>IDEA Local Educational Agency Maintenance of Effort Quick Reference Guide</w:t>
        </w:r>
      </w:hyperlink>
      <w:r w:rsidR="00C67D9C" w:rsidRPr="03C077EC">
        <w:rPr>
          <w:rFonts w:asciiTheme="minorHAnsi" w:eastAsia="Calibri" w:hAnsiTheme="minorHAnsi" w:cstheme="minorBidi"/>
          <w:sz w:val="22"/>
          <w:szCs w:val="22"/>
        </w:rPr>
        <w:t xml:space="preserve"> </w:t>
      </w:r>
      <w:r w:rsidR="000176E2" w:rsidRPr="03C077EC">
        <w:rPr>
          <w:rFonts w:asciiTheme="minorHAnsi" w:eastAsia="Calibri" w:hAnsiTheme="minorHAnsi" w:cstheme="minorBidi"/>
          <w:sz w:val="22"/>
          <w:szCs w:val="22"/>
        </w:rPr>
        <w:t xml:space="preserve"> </w:t>
      </w:r>
    </w:p>
    <w:p w14:paraId="3B1A04B9" w14:textId="77777777" w:rsidR="00CE5C12" w:rsidRPr="00B40059" w:rsidRDefault="00000000" w:rsidP="00201ABB">
      <w:pPr>
        <w:pStyle w:val="ListParagraph"/>
        <w:numPr>
          <w:ilvl w:val="0"/>
          <w:numId w:val="3"/>
        </w:numPr>
        <w:snapToGrid/>
        <w:spacing w:after="240"/>
        <w:ind w:left="1440"/>
        <w:contextualSpacing/>
        <w:rPr>
          <w:rStyle w:val="Hyperlink"/>
          <w:rFonts w:asciiTheme="minorHAnsi" w:eastAsia="Calibri" w:hAnsiTheme="minorHAnsi" w:cstheme="minorBidi"/>
          <w:sz w:val="22"/>
          <w:szCs w:val="22"/>
        </w:rPr>
      </w:pPr>
      <w:hyperlink r:id="rId71" w:history="1">
        <w:r w:rsidR="00CE5C12" w:rsidRPr="03C077EC">
          <w:rPr>
            <w:rFonts w:asciiTheme="minorHAnsi" w:eastAsia="Calibri" w:hAnsiTheme="minorHAnsi" w:cstheme="minorBidi"/>
            <w:sz w:val="22"/>
            <w:szCs w:val="22"/>
          </w:rPr>
          <w:t>34 CFR §300.203</w:t>
        </w:r>
      </w:hyperlink>
    </w:p>
    <w:p w14:paraId="70340146" w14:textId="77777777" w:rsidR="00CE5C12" w:rsidRPr="00B40059" w:rsidRDefault="00000000" w:rsidP="00201ABB">
      <w:pPr>
        <w:pStyle w:val="ListParagraph"/>
        <w:numPr>
          <w:ilvl w:val="0"/>
          <w:numId w:val="3"/>
        </w:numPr>
        <w:snapToGrid/>
        <w:spacing w:after="240"/>
        <w:ind w:left="1440"/>
        <w:contextualSpacing/>
        <w:rPr>
          <w:rStyle w:val="Hyperlink"/>
          <w:rFonts w:asciiTheme="minorHAnsi" w:eastAsia="Calibri" w:hAnsiTheme="minorHAnsi" w:cstheme="minorBidi"/>
          <w:sz w:val="22"/>
          <w:szCs w:val="22"/>
        </w:rPr>
      </w:pPr>
      <w:hyperlink r:id="rId72" w:history="1">
        <w:r w:rsidR="00CE5C12" w:rsidRPr="03C077EC">
          <w:rPr>
            <w:rFonts w:asciiTheme="minorHAnsi" w:eastAsia="Calibri" w:hAnsiTheme="minorHAnsi" w:cstheme="minorBidi"/>
            <w:sz w:val="22"/>
            <w:szCs w:val="22"/>
          </w:rPr>
          <w:t>34 CFR §300.204</w:t>
        </w:r>
      </w:hyperlink>
    </w:p>
    <w:p w14:paraId="1621D2FE" w14:textId="77777777" w:rsidR="00CE5C12" w:rsidRPr="00B40059" w:rsidRDefault="00000000" w:rsidP="00201ABB">
      <w:pPr>
        <w:pStyle w:val="ListParagraph"/>
        <w:numPr>
          <w:ilvl w:val="0"/>
          <w:numId w:val="3"/>
        </w:numPr>
        <w:snapToGrid/>
        <w:spacing w:after="240"/>
        <w:ind w:left="1440"/>
        <w:contextualSpacing/>
        <w:rPr>
          <w:rStyle w:val="Hyperlink"/>
          <w:rFonts w:asciiTheme="minorHAnsi" w:eastAsia="Calibri" w:hAnsiTheme="minorHAnsi" w:cstheme="minorBidi"/>
          <w:sz w:val="22"/>
          <w:szCs w:val="22"/>
        </w:rPr>
      </w:pPr>
      <w:hyperlink r:id="rId73" w:history="1">
        <w:r w:rsidR="00CE5C12" w:rsidRPr="03C077EC">
          <w:rPr>
            <w:rFonts w:asciiTheme="minorHAnsi" w:eastAsia="Calibri" w:hAnsiTheme="minorHAnsi" w:cstheme="minorBidi"/>
            <w:sz w:val="22"/>
            <w:szCs w:val="22"/>
          </w:rPr>
          <w:t>34 CFR §300.205</w:t>
        </w:r>
      </w:hyperlink>
    </w:p>
    <w:p w14:paraId="285CA26C" w14:textId="2FB962E2" w:rsidR="00EB6ED1" w:rsidRPr="00EB6ED1" w:rsidRDefault="003E146D" w:rsidP="00201ABB">
      <w:pPr>
        <w:pStyle w:val="ListParagraph"/>
        <w:numPr>
          <w:ilvl w:val="0"/>
          <w:numId w:val="3"/>
        </w:numPr>
        <w:snapToGrid/>
        <w:spacing w:after="240"/>
        <w:ind w:left="1440"/>
        <w:contextualSpacing/>
        <w:rPr>
          <w:rStyle w:val="Hyperlink"/>
          <w:rFonts w:asciiTheme="minorHAnsi" w:eastAsia="Calibri" w:hAnsiTheme="minorHAnsi"/>
          <w:sz w:val="22"/>
          <w:szCs w:val="22"/>
        </w:rPr>
      </w:pPr>
      <w:r w:rsidRPr="03C077EC">
        <w:rPr>
          <w:rFonts w:asciiTheme="minorHAnsi" w:hAnsiTheme="minorHAnsi" w:cstheme="minorBidi"/>
          <w:sz w:val="22"/>
          <w:szCs w:val="22"/>
        </w:rPr>
        <w:t>Center for IDEA</w:t>
      </w:r>
      <w:r w:rsidR="00B21237" w:rsidRPr="03C077EC">
        <w:rPr>
          <w:rFonts w:asciiTheme="minorHAnsi" w:hAnsiTheme="minorHAnsi" w:cstheme="minorBidi"/>
          <w:sz w:val="22"/>
          <w:szCs w:val="22"/>
        </w:rPr>
        <w:t xml:space="preserve"> </w:t>
      </w:r>
      <w:r w:rsidR="00963A35" w:rsidRPr="03C077EC">
        <w:rPr>
          <w:rFonts w:asciiTheme="minorHAnsi" w:hAnsiTheme="minorHAnsi" w:cstheme="minorBidi"/>
          <w:sz w:val="22"/>
          <w:szCs w:val="22"/>
        </w:rPr>
        <w:t xml:space="preserve">Fiscal </w:t>
      </w:r>
      <w:r w:rsidR="00403EE7" w:rsidRPr="03C077EC">
        <w:rPr>
          <w:rFonts w:asciiTheme="minorHAnsi" w:hAnsiTheme="minorHAnsi" w:cstheme="minorBidi"/>
          <w:sz w:val="22"/>
          <w:szCs w:val="22"/>
        </w:rPr>
        <w:t>Report</w:t>
      </w:r>
      <w:r w:rsidR="00963A35" w:rsidRPr="03C077EC">
        <w:rPr>
          <w:rFonts w:asciiTheme="minorHAnsi" w:hAnsiTheme="minorHAnsi" w:cstheme="minorBidi"/>
          <w:sz w:val="22"/>
          <w:szCs w:val="22"/>
        </w:rPr>
        <w:t xml:space="preserve">ing </w:t>
      </w:r>
      <w:r w:rsidR="00484F7E" w:rsidRPr="03C077EC">
        <w:rPr>
          <w:rFonts w:asciiTheme="minorHAnsi" w:hAnsiTheme="minorHAnsi" w:cstheme="minorBidi"/>
          <w:sz w:val="22"/>
          <w:szCs w:val="22"/>
        </w:rPr>
        <w:t xml:space="preserve">(CIFR) </w:t>
      </w:r>
      <w:hyperlink r:id="rId74" w:history="1">
        <w:r w:rsidR="00775E3D" w:rsidRPr="03C077EC">
          <w:rPr>
            <w:rFonts w:asciiTheme="minorHAnsi" w:eastAsia="Calibri" w:hAnsiTheme="minorHAnsi" w:cstheme="minorBidi"/>
            <w:sz w:val="22"/>
            <w:szCs w:val="22"/>
          </w:rPr>
          <w:t>LEA MOE Calculator</w:t>
        </w:r>
      </w:hyperlink>
    </w:p>
    <w:p w14:paraId="04CFBEBD" w14:textId="377DD2DA" w:rsidR="00EB6ED1" w:rsidRDefault="00775E3D" w:rsidP="00201ABB">
      <w:pPr>
        <w:pStyle w:val="ListParagraph"/>
        <w:numPr>
          <w:ilvl w:val="0"/>
          <w:numId w:val="3"/>
        </w:numPr>
        <w:snapToGrid/>
        <w:spacing w:after="240"/>
        <w:ind w:left="1440"/>
        <w:contextualSpacing/>
        <w:rPr>
          <w:rStyle w:val="Hyperlink"/>
          <w:rFonts w:asciiTheme="minorHAnsi" w:eastAsia="Calibri" w:hAnsiTheme="minorHAnsi"/>
          <w:sz w:val="22"/>
          <w:szCs w:val="22"/>
        </w:rPr>
      </w:pPr>
      <w:r w:rsidRPr="03C077EC">
        <w:rPr>
          <w:rFonts w:asciiTheme="minorHAnsi" w:hAnsiTheme="minorHAnsi" w:cstheme="minorBidi"/>
          <w:sz w:val="22"/>
          <w:szCs w:val="22"/>
        </w:rPr>
        <w:t xml:space="preserve">Center for IDEA Fiscal Reporting (CIFR) </w:t>
      </w:r>
      <w:hyperlink r:id="rId75" w:history="1">
        <w:r w:rsidRPr="03C077EC">
          <w:rPr>
            <w:rFonts w:asciiTheme="minorHAnsi" w:eastAsia="Calibri" w:hAnsiTheme="minorHAnsi" w:cstheme="minorBidi"/>
            <w:sz w:val="22"/>
            <w:szCs w:val="22"/>
          </w:rPr>
          <w:t>LEA MOE Organizer</w:t>
        </w:r>
      </w:hyperlink>
      <w:r w:rsidR="00EB6ED1" w:rsidRPr="03C077EC">
        <w:rPr>
          <w:rStyle w:val="Hyperlink"/>
          <w:rFonts w:asciiTheme="minorHAnsi" w:eastAsia="Calibri" w:hAnsiTheme="minorHAnsi"/>
          <w:sz w:val="22"/>
          <w:szCs w:val="22"/>
        </w:rPr>
        <w:t> </w:t>
      </w:r>
    </w:p>
    <w:p w14:paraId="515D057B" w14:textId="22EE4191" w:rsidR="00C63C72" w:rsidRPr="00377F8D" w:rsidRDefault="00C63C72" w:rsidP="00CC7AFD">
      <w:pPr>
        <w:pStyle w:val="Heading2"/>
        <w:rPr>
          <w:rStyle w:val="eop"/>
          <w:b/>
          <w:bCs/>
        </w:rPr>
      </w:pPr>
      <w:bookmarkStart w:id="26" w:name="_Assistance"/>
      <w:bookmarkEnd w:id="26"/>
      <w:r w:rsidRPr="00377F8D">
        <w:rPr>
          <w:rStyle w:val="eop"/>
          <w:b/>
          <w:bCs/>
        </w:rPr>
        <w:t>Assistance</w:t>
      </w:r>
    </w:p>
    <w:p w14:paraId="580FF417" w14:textId="4FC99344" w:rsidR="00E707FC" w:rsidRPr="003019B4" w:rsidRDefault="00E707FC" w:rsidP="00C81FE9">
      <w:pPr>
        <w:ind w:left="720"/>
        <w:rPr>
          <w:b/>
          <w:bCs/>
        </w:rPr>
      </w:pPr>
      <w:r w:rsidRPr="003019B4">
        <w:rPr>
          <w:b/>
          <w:bCs/>
        </w:rPr>
        <w:t xml:space="preserve">What </w:t>
      </w:r>
      <w:r w:rsidR="00184AB4">
        <w:rPr>
          <w:b/>
          <w:bCs/>
        </w:rPr>
        <w:t>d</w:t>
      </w:r>
      <w:r>
        <w:rPr>
          <w:b/>
          <w:bCs/>
        </w:rPr>
        <w:t xml:space="preserve">oes a </w:t>
      </w:r>
      <w:r w:rsidR="00DA0743" w:rsidRPr="00DA0743">
        <w:rPr>
          <w:b/>
          <w:bCs/>
        </w:rPr>
        <w:t>district</w:t>
      </w:r>
      <w:r>
        <w:rPr>
          <w:b/>
          <w:bCs/>
        </w:rPr>
        <w:t xml:space="preserve"> </w:t>
      </w:r>
      <w:r w:rsidR="00184AB4">
        <w:rPr>
          <w:b/>
          <w:bCs/>
        </w:rPr>
        <w:t>n</w:t>
      </w:r>
      <w:r>
        <w:rPr>
          <w:b/>
          <w:bCs/>
        </w:rPr>
        <w:t xml:space="preserve">eed to </w:t>
      </w:r>
      <w:r w:rsidR="00184AB4">
        <w:rPr>
          <w:b/>
          <w:bCs/>
        </w:rPr>
        <w:t>d</w:t>
      </w:r>
      <w:r>
        <w:rPr>
          <w:b/>
          <w:bCs/>
        </w:rPr>
        <w:t xml:space="preserve">o if </w:t>
      </w:r>
      <w:r w:rsidR="00184AB4">
        <w:rPr>
          <w:b/>
          <w:bCs/>
        </w:rPr>
        <w:t>d</w:t>
      </w:r>
      <w:r>
        <w:rPr>
          <w:b/>
          <w:bCs/>
        </w:rPr>
        <w:t xml:space="preserve">etermined </w:t>
      </w:r>
      <w:r w:rsidR="00BA2BFA">
        <w:rPr>
          <w:b/>
          <w:bCs/>
        </w:rPr>
        <w:t>to Meet Requirements (</w:t>
      </w:r>
      <w:r>
        <w:rPr>
          <w:b/>
          <w:bCs/>
        </w:rPr>
        <w:t>MR</w:t>
      </w:r>
      <w:r w:rsidR="00BA2BFA">
        <w:rPr>
          <w:b/>
          <w:bCs/>
        </w:rPr>
        <w:t>)</w:t>
      </w:r>
      <w:r>
        <w:rPr>
          <w:b/>
          <w:bCs/>
        </w:rPr>
        <w:t>?</w:t>
      </w:r>
      <w:r w:rsidRPr="003019B4">
        <w:rPr>
          <w:b/>
          <w:bCs/>
        </w:rPr>
        <w:t xml:space="preserve"> </w:t>
      </w:r>
    </w:p>
    <w:p w14:paraId="77140E63" w14:textId="034D1018" w:rsidR="00E707FC" w:rsidRDefault="00E707FC" w:rsidP="00C81FE9">
      <w:pPr>
        <w:spacing w:after="240"/>
        <w:ind w:left="1440"/>
        <w:rPr>
          <w:rFonts w:cstheme="minorHAnsi"/>
        </w:rPr>
      </w:pPr>
      <w:r>
        <w:rPr>
          <w:rFonts w:cstheme="minorHAnsi"/>
        </w:rPr>
        <w:t>There are no activities required.</w:t>
      </w:r>
    </w:p>
    <w:p w14:paraId="45CF15DC" w14:textId="30B48013" w:rsidR="00E80613" w:rsidRPr="003019B4" w:rsidRDefault="00184AB4" w:rsidP="00E80613">
      <w:pPr>
        <w:ind w:left="720"/>
        <w:rPr>
          <w:b/>
          <w:bCs/>
        </w:rPr>
      </w:pPr>
      <w:r w:rsidRPr="003019B4">
        <w:rPr>
          <w:b/>
          <w:bCs/>
        </w:rPr>
        <w:t xml:space="preserve">What </w:t>
      </w:r>
      <w:r>
        <w:rPr>
          <w:b/>
          <w:bCs/>
        </w:rPr>
        <w:t xml:space="preserve">does a </w:t>
      </w:r>
      <w:r w:rsidR="00DA0743" w:rsidRPr="00DA0743">
        <w:rPr>
          <w:b/>
          <w:bCs/>
        </w:rPr>
        <w:t>district</w:t>
      </w:r>
      <w:r>
        <w:rPr>
          <w:b/>
          <w:bCs/>
        </w:rPr>
        <w:t xml:space="preserve"> need to do if determined </w:t>
      </w:r>
      <w:r w:rsidR="00BA2BFA">
        <w:rPr>
          <w:b/>
          <w:bCs/>
        </w:rPr>
        <w:t>to Need Assistance (</w:t>
      </w:r>
      <w:r w:rsidR="00E80613">
        <w:rPr>
          <w:b/>
          <w:bCs/>
        </w:rPr>
        <w:t>N</w:t>
      </w:r>
      <w:r>
        <w:rPr>
          <w:b/>
          <w:bCs/>
        </w:rPr>
        <w:t>A</w:t>
      </w:r>
      <w:r w:rsidR="00BA2BFA">
        <w:rPr>
          <w:b/>
          <w:bCs/>
        </w:rPr>
        <w:t>)</w:t>
      </w:r>
      <w:r w:rsidR="00E80613">
        <w:rPr>
          <w:b/>
          <w:bCs/>
        </w:rPr>
        <w:t>?</w:t>
      </w:r>
      <w:r w:rsidR="00E80613" w:rsidRPr="003019B4">
        <w:rPr>
          <w:b/>
          <w:bCs/>
        </w:rPr>
        <w:t xml:space="preserve"> </w:t>
      </w:r>
    </w:p>
    <w:p w14:paraId="6B542679" w14:textId="09B28CB5" w:rsidR="00583F5E" w:rsidRPr="00D33360" w:rsidRDefault="003F2844" w:rsidP="00201ABB">
      <w:pPr>
        <w:pStyle w:val="ListParagraph"/>
        <w:numPr>
          <w:ilvl w:val="0"/>
          <w:numId w:val="8"/>
        </w:numPr>
        <w:rPr>
          <w:rFonts w:asciiTheme="minorHAnsi" w:hAnsiTheme="minorHAnsi" w:cstheme="minorBidi"/>
          <w:sz w:val="22"/>
          <w:szCs w:val="22"/>
        </w:rPr>
      </w:pPr>
      <w:r w:rsidRPr="03C077EC">
        <w:rPr>
          <w:rFonts w:asciiTheme="minorHAnsi" w:hAnsiTheme="minorHAnsi" w:cstheme="minorBidi"/>
          <w:sz w:val="22"/>
          <w:szCs w:val="22"/>
        </w:rPr>
        <w:t xml:space="preserve">All </w:t>
      </w:r>
      <w:r w:rsidR="00DA0743" w:rsidRPr="03C077EC">
        <w:rPr>
          <w:rFonts w:asciiTheme="minorHAnsi" w:hAnsiTheme="minorHAnsi" w:cstheme="minorBidi"/>
          <w:sz w:val="22"/>
          <w:szCs w:val="22"/>
        </w:rPr>
        <w:t>district</w:t>
      </w:r>
      <w:r w:rsidR="00184AB4" w:rsidRPr="03C077EC">
        <w:rPr>
          <w:rFonts w:asciiTheme="minorHAnsi" w:hAnsiTheme="minorHAnsi" w:cstheme="minorBidi"/>
          <w:sz w:val="22"/>
          <w:szCs w:val="22"/>
        </w:rPr>
        <w:t xml:space="preserve">s </w:t>
      </w:r>
      <w:r w:rsidR="00E43307" w:rsidRPr="03C077EC">
        <w:rPr>
          <w:rFonts w:asciiTheme="minorHAnsi" w:hAnsiTheme="minorHAnsi" w:cstheme="minorBidi"/>
          <w:sz w:val="22"/>
          <w:szCs w:val="22"/>
        </w:rPr>
        <w:t xml:space="preserve">determined NA </w:t>
      </w:r>
      <w:r w:rsidR="00184AB4" w:rsidRPr="03C077EC">
        <w:rPr>
          <w:rFonts w:asciiTheme="minorHAnsi" w:hAnsiTheme="minorHAnsi" w:cstheme="minorBidi"/>
          <w:sz w:val="22"/>
          <w:szCs w:val="22"/>
        </w:rPr>
        <w:t xml:space="preserve">should review </w:t>
      </w:r>
      <w:r w:rsidR="005D632C" w:rsidRPr="03C077EC">
        <w:rPr>
          <w:rFonts w:asciiTheme="minorHAnsi" w:hAnsiTheme="minorHAnsi" w:cstheme="minorBidi"/>
          <w:sz w:val="22"/>
          <w:szCs w:val="22"/>
        </w:rPr>
        <w:t>the</w:t>
      </w:r>
      <w:hyperlink r:id="rId76" w:history="1">
        <w:r w:rsidR="00583F5E" w:rsidRPr="00E25A7C">
          <w:rPr>
            <w:rStyle w:val="Hyperlink"/>
            <w:rFonts w:asciiTheme="minorHAnsi" w:hAnsiTheme="minorHAnsi" w:cstheme="minorBidi"/>
            <w:sz w:val="22"/>
            <w:szCs w:val="22"/>
          </w:rPr>
          <w:t>,</w:t>
        </w:r>
        <w:r w:rsidR="005D632C" w:rsidRPr="00E25A7C">
          <w:rPr>
            <w:rStyle w:val="Hyperlink"/>
            <w:rFonts w:asciiTheme="minorHAnsi" w:hAnsiTheme="minorHAnsi" w:cstheme="minorBidi"/>
            <w:sz w:val="22"/>
            <w:szCs w:val="22"/>
          </w:rPr>
          <w:t xml:space="preserve"> </w:t>
        </w:r>
        <w:r w:rsidR="00E25A7C" w:rsidRPr="00E25A7C">
          <w:rPr>
            <w:rStyle w:val="Hyperlink"/>
            <w:rFonts w:asciiTheme="minorHAnsi" w:hAnsiTheme="minorHAnsi" w:cstheme="minorBidi"/>
            <w:sz w:val="22"/>
            <w:szCs w:val="22"/>
          </w:rPr>
          <w:t>January 31, 2023</w:t>
        </w:r>
        <w:r w:rsidR="00583F5E" w:rsidRPr="00E25A7C">
          <w:rPr>
            <w:rStyle w:val="Hyperlink"/>
            <w:rFonts w:asciiTheme="minorHAnsi" w:hAnsiTheme="minorHAnsi" w:cstheme="minorBidi"/>
            <w:sz w:val="22"/>
            <w:szCs w:val="22"/>
          </w:rPr>
          <w:t>,</w:t>
        </w:r>
        <w:r w:rsidR="00184AB4" w:rsidRPr="00E25A7C">
          <w:rPr>
            <w:rStyle w:val="Hyperlink"/>
            <w:rFonts w:asciiTheme="minorHAnsi" w:hAnsiTheme="minorHAnsi" w:cstheme="minorBidi"/>
            <w:sz w:val="22"/>
            <w:szCs w:val="22"/>
          </w:rPr>
          <w:t xml:space="preserve"> technical assistance webinar</w:t>
        </w:r>
      </w:hyperlink>
      <w:r w:rsidR="00184AB4" w:rsidRPr="03C077EC">
        <w:rPr>
          <w:rFonts w:asciiTheme="minorHAnsi" w:hAnsiTheme="minorHAnsi" w:cstheme="minorBidi"/>
          <w:sz w:val="22"/>
          <w:szCs w:val="22"/>
        </w:rPr>
        <w:t xml:space="preserve"> </w:t>
      </w:r>
      <w:r w:rsidR="00BA2BFA" w:rsidRPr="03C077EC">
        <w:rPr>
          <w:rFonts w:asciiTheme="minorHAnsi" w:hAnsiTheme="minorHAnsi" w:cstheme="minorBidi"/>
          <w:sz w:val="22"/>
          <w:szCs w:val="22"/>
        </w:rPr>
        <w:t>(excluding slides 9-12)</w:t>
      </w:r>
      <w:r w:rsidR="00583F5E" w:rsidRPr="03C077EC">
        <w:rPr>
          <w:rFonts w:asciiTheme="minorHAnsi" w:hAnsiTheme="minorHAnsi" w:cstheme="minorBidi"/>
          <w:sz w:val="22"/>
          <w:szCs w:val="22"/>
        </w:rPr>
        <w:t xml:space="preserve">. </w:t>
      </w:r>
      <w:r w:rsidRPr="03C077EC">
        <w:rPr>
          <w:rFonts w:asciiTheme="minorHAnsi" w:hAnsiTheme="minorHAnsi" w:cstheme="minorBidi"/>
          <w:sz w:val="22"/>
          <w:szCs w:val="22"/>
        </w:rPr>
        <w:t>This resource will help you:</w:t>
      </w:r>
    </w:p>
    <w:p w14:paraId="13C8125E" w14:textId="30F09BD5" w:rsidR="00E86E62" w:rsidRPr="003F2844" w:rsidRDefault="003F2844" w:rsidP="00201ABB">
      <w:pPr>
        <w:pStyle w:val="ListParagraph"/>
        <w:numPr>
          <w:ilvl w:val="2"/>
          <w:numId w:val="3"/>
        </w:numPr>
        <w:rPr>
          <w:rFonts w:asciiTheme="minorHAnsi" w:hAnsiTheme="minorHAnsi" w:cstheme="minorHAnsi"/>
          <w:sz w:val="22"/>
          <w:szCs w:val="22"/>
        </w:rPr>
      </w:pPr>
      <w:r w:rsidRPr="0018652E">
        <w:rPr>
          <w:rFonts w:asciiTheme="minorHAnsi" w:hAnsiTheme="minorHAnsi" w:cstheme="minorHAnsi"/>
          <w:sz w:val="22"/>
          <w:szCs w:val="22"/>
        </w:rPr>
        <w:t xml:space="preserve">Understand the calculations used to make the </w:t>
      </w:r>
      <w:bookmarkStart w:id="27" w:name="_Hlk117855529"/>
      <w:r w:rsidR="008C56C5">
        <w:rPr>
          <w:rFonts w:asciiTheme="minorHAnsi" w:hAnsiTheme="minorHAnsi" w:cstheme="minorHAnsi"/>
          <w:sz w:val="22"/>
          <w:szCs w:val="22"/>
        </w:rPr>
        <w:t xml:space="preserve">LEA </w:t>
      </w:r>
      <w:r w:rsidR="0018652E" w:rsidRPr="00E86E62">
        <w:rPr>
          <w:rFonts w:asciiTheme="minorHAnsi" w:hAnsiTheme="minorHAnsi" w:cstheme="minorHAnsi"/>
          <w:sz w:val="22"/>
          <w:szCs w:val="22"/>
        </w:rPr>
        <w:t>determinations</w:t>
      </w:r>
      <w:r w:rsidR="00D52EA4">
        <w:rPr>
          <w:rFonts w:asciiTheme="minorHAnsi" w:hAnsiTheme="minorHAnsi" w:cstheme="minorHAnsi"/>
          <w:sz w:val="22"/>
          <w:szCs w:val="22"/>
        </w:rPr>
        <w:t xml:space="preserve">. </w:t>
      </w:r>
    </w:p>
    <w:bookmarkEnd w:id="27"/>
    <w:p w14:paraId="6FB7685E" w14:textId="423B9B21" w:rsidR="003F2844" w:rsidRPr="0018652E" w:rsidRDefault="003F2844" w:rsidP="00201ABB">
      <w:pPr>
        <w:pStyle w:val="ListParagraph"/>
        <w:numPr>
          <w:ilvl w:val="2"/>
          <w:numId w:val="3"/>
        </w:numPr>
        <w:rPr>
          <w:rFonts w:asciiTheme="minorHAnsi" w:hAnsiTheme="minorHAnsi" w:cstheme="minorHAnsi"/>
          <w:sz w:val="22"/>
          <w:szCs w:val="22"/>
        </w:rPr>
      </w:pPr>
      <w:r w:rsidRPr="0018652E">
        <w:rPr>
          <w:rFonts w:asciiTheme="minorHAnsi" w:hAnsiTheme="minorHAnsi" w:cstheme="minorHAnsi"/>
          <w:sz w:val="22"/>
          <w:szCs w:val="22"/>
        </w:rPr>
        <w:lastRenderedPageBreak/>
        <w:t>Identify the appropriate DESE office to assist with questions related to the determinations</w:t>
      </w:r>
      <w:r w:rsidR="00657EB9">
        <w:rPr>
          <w:rFonts w:asciiTheme="minorHAnsi" w:hAnsiTheme="minorHAnsi" w:cstheme="minorHAnsi"/>
          <w:sz w:val="22"/>
          <w:szCs w:val="22"/>
        </w:rPr>
        <w:t>.</w:t>
      </w:r>
    </w:p>
    <w:p w14:paraId="2114F74F" w14:textId="77777777" w:rsidR="00B34DCF" w:rsidRDefault="003F2844" w:rsidP="00201ABB">
      <w:pPr>
        <w:pStyle w:val="ListParagraph"/>
        <w:numPr>
          <w:ilvl w:val="2"/>
          <w:numId w:val="3"/>
        </w:numPr>
        <w:rPr>
          <w:rFonts w:asciiTheme="minorHAnsi" w:hAnsiTheme="minorHAnsi" w:cstheme="minorHAnsi"/>
          <w:sz w:val="22"/>
          <w:szCs w:val="22"/>
        </w:rPr>
      </w:pPr>
      <w:r w:rsidRPr="00D52EA4">
        <w:rPr>
          <w:rFonts w:asciiTheme="minorHAnsi" w:hAnsiTheme="minorHAnsi" w:cstheme="minorHAnsi"/>
          <w:sz w:val="22"/>
          <w:szCs w:val="22"/>
        </w:rPr>
        <w:t>Understand the fiscal implications</w:t>
      </w:r>
      <w:r w:rsidR="00B62D25">
        <w:rPr>
          <w:rFonts w:asciiTheme="minorHAnsi" w:hAnsiTheme="minorHAnsi" w:cstheme="minorHAnsi"/>
          <w:sz w:val="22"/>
          <w:szCs w:val="22"/>
        </w:rPr>
        <w:t xml:space="preserve"> of</w:t>
      </w:r>
      <w:r w:rsidRPr="00D52EA4">
        <w:rPr>
          <w:rFonts w:asciiTheme="minorHAnsi" w:hAnsiTheme="minorHAnsi" w:cstheme="minorHAnsi"/>
          <w:sz w:val="22"/>
          <w:szCs w:val="22"/>
        </w:rPr>
        <w:t xml:space="preserve"> </w:t>
      </w:r>
      <w:r w:rsidR="00D52EA4">
        <w:rPr>
          <w:rFonts w:asciiTheme="minorHAnsi" w:hAnsiTheme="minorHAnsi" w:cstheme="minorHAnsi"/>
          <w:sz w:val="22"/>
          <w:szCs w:val="22"/>
        </w:rPr>
        <w:t xml:space="preserve">LEA </w:t>
      </w:r>
      <w:r w:rsidR="00D52EA4" w:rsidRPr="00E86E62">
        <w:rPr>
          <w:rFonts w:asciiTheme="minorHAnsi" w:hAnsiTheme="minorHAnsi" w:cstheme="minorHAnsi"/>
          <w:sz w:val="22"/>
          <w:szCs w:val="22"/>
        </w:rPr>
        <w:t>determinations</w:t>
      </w:r>
      <w:r w:rsidR="00D52EA4">
        <w:rPr>
          <w:rFonts w:asciiTheme="minorHAnsi" w:hAnsiTheme="minorHAnsi" w:cstheme="minorHAnsi"/>
          <w:sz w:val="22"/>
          <w:szCs w:val="22"/>
        </w:rPr>
        <w:t xml:space="preserve">. </w:t>
      </w:r>
    </w:p>
    <w:p w14:paraId="434EA547" w14:textId="77777777" w:rsidR="00E96DD4" w:rsidRDefault="003F2844" w:rsidP="00201ABB">
      <w:pPr>
        <w:pStyle w:val="ListParagraph"/>
        <w:numPr>
          <w:ilvl w:val="2"/>
          <w:numId w:val="3"/>
        </w:numPr>
        <w:rPr>
          <w:rFonts w:asciiTheme="minorHAnsi" w:hAnsiTheme="minorHAnsi" w:cstheme="minorHAnsi"/>
          <w:sz w:val="22"/>
          <w:szCs w:val="22"/>
        </w:rPr>
      </w:pPr>
      <w:r w:rsidRPr="0008042E">
        <w:rPr>
          <w:rFonts w:asciiTheme="minorHAnsi" w:hAnsiTheme="minorHAnsi" w:cstheme="minorHAnsi"/>
          <w:sz w:val="22"/>
          <w:szCs w:val="22"/>
        </w:rPr>
        <w:t xml:space="preserve">Recognize </w:t>
      </w:r>
      <w:r w:rsidR="00D10B05" w:rsidRPr="0008042E">
        <w:rPr>
          <w:rFonts w:asciiTheme="minorHAnsi" w:hAnsiTheme="minorHAnsi" w:cstheme="minorHAnsi"/>
          <w:sz w:val="22"/>
          <w:szCs w:val="22"/>
        </w:rPr>
        <w:t>district</w:t>
      </w:r>
      <w:r w:rsidR="00DA0743" w:rsidRPr="0008042E">
        <w:rPr>
          <w:rFonts w:asciiTheme="minorHAnsi" w:hAnsiTheme="minorHAnsi" w:cstheme="minorHAnsi"/>
          <w:sz w:val="22"/>
          <w:szCs w:val="22"/>
        </w:rPr>
        <w:t xml:space="preserve"> lea</w:t>
      </w:r>
      <w:r w:rsidRPr="0008042E">
        <w:rPr>
          <w:rFonts w:asciiTheme="minorHAnsi" w:hAnsiTheme="minorHAnsi" w:cstheme="minorHAnsi"/>
          <w:sz w:val="22"/>
          <w:szCs w:val="22"/>
        </w:rPr>
        <w:t xml:space="preserve">dership roles related to the </w:t>
      </w:r>
      <w:r w:rsidR="0008042E">
        <w:rPr>
          <w:rFonts w:asciiTheme="minorHAnsi" w:hAnsiTheme="minorHAnsi" w:cstheme="minorHAnsi"/>
          <w:sz w:val="22"/>
          <w:szCs w:val="22"/>
        </w:rPr>
        <w:t xml:space="preserve">LEA </w:t>
      </w:r>
      <w:r w:rsidR="0008042E" w:rsidRPr="00E86E62">
        <w:rPr>
          <w:rFonts w:asciiTheme="minorHAnsi" w:hAnsiTheme="minorHAnsi" w:cstheme="minorHAnsi"/>
          <w:sz w:val="22"/>
          <w:szCs w:val="22"/>
        </w:rPr>
        <w:t>determinations</w:t>
      </w:r>
      <w:r w:rsidR="0008042E">
        <w:rPr>
          <w:rFonts w:asciiTheme="minorHAnsi" w:hAnsiTheme="minorHAnsi" w:cstheme="minorHAnsi"/>
          <w:sz w:val="22"/>
          <w:szCs w:val="22"/>
        </w:rPr>
        <w:t xml:space="preserve">. </w:t>
      </w:r>
    </w:p>
    <w:p w14:paraId="3B6E06E1" w14:textId="415A11E9" w:rsidR="003F2844" w:rsidRPr="0008042E" w:rsidRDefault="003F2844" w:rsidP="00201ABB">
      <w:pPr>
        <w:pStyle w:val="ListParagraph"/>
        <w:numPr>
          <w:ilvl w:val="2"/>
          <w:numId w:val="3"/>
        </w:numPr>
        <w:rPr>
          <w:rFonts w:asciiTheme="minorHAnsi" w:hAnsiTheme="minorHAnsi" w:cstheme="minorHAnsi"/>
          <w:sz w:val="22"/>
          <w:szCs w:val="22"/>
        </w:rPr>
      </w:pPr>
      <w:r w:rsidRPr="0008042E">
        <w:rPr>
          <w:rFonts w:asciiTheme="minorHAnsi" w:hAnsiTheme="minorHAnsi" w:cstheme="minorHAnsi"/>
          <w:sz w:val="22"/>
          <w:szCs w:val="22"/>
        </w:rPr>
        <w:t xml:space="preserve">Integrate data from the </w:t>
      </w:r>
      <w:r w:rsidR="0008042E">
        <w:rPr>
          <w:rFonts w:asciiTheme="minorHAnsi" w:hAnsiTheme="minorHAnsi" w:cstheme="minorHAnsi"/>
          <w:sz w:val="22"/>
          <w:szCs w:val="22"/>
        </w:rPr>
        <w:t xml:space="preserve">LEA </w:t>
      </w:r>
      <w:r w:rsidR="0008042E" w:rsidRPr="00E86E62">
        <w:rPr>
          <w:rFonts w:asciiTheme="minorHAnsi" w:hAnsiTheme="minorHAnsi" w:cstheme="minorHAnsi"/>
          <w:sz w:val="22"/>
          <w:szCs w:val="22"/>
        </w:rPr>
        <w:t>determinations</w:t>
      </w:r>
      <w:r w:rsidR="00E96DD4">
        <w:rPr>
          <w:rFonts w:asciiTheme="minorHAnsi" w:hAnsiTheme="minorHAnsi" w:cstheme="minorHAnsi"/>
          <w:sz w:val="22"/>
          <w:szCs w:val="22"/>
        </w:rPr>
        <w:t xml:space="preserve"> </w:t>
      </w:r>
      <w:r w:rsidRPr="0008042E">
        <w:rPr>
          <w:rFonts w:asciiTheme="minorHAnsi" w:hAnsiTheme="minorHAnsi" w:cstheme="minorHAnsi"/>
          <w:sz w:val="22"/>
          <w:szCs w:val="22"/>
        </w:rPr>
        <w:t xml:space="preserve">in school and </w:t>
      </w:r>
      <w:r w:rsidR="00D10B05" w:rsidRPr="0008042E">
        <w:rPr>
          <w:rFonts w:asciiTheme="minorHAnsi" w:hAnsiTheme="minorHAnsi" w:cstheme="minorHAnsi"/>
          <w:sz w:val="22"/>
          <w:szCs w:val="22"/>
        </w:rPr>
        <w:t>district</w:t>
      </w:r>
      <w:r w:rsidRPr="0008042E">
        <w:rPr>
          <w:rFonts w:asciiTheme="minorHAnsi" w:hAnsiTheme="minorHAnsi" w:cstheme="minorHAnsi"/>
          <w:sz w:val="22"/>
          <w:szCs w:val="22"/>
        </w:rPr>
        <w:t xml:space="preserve"> improvement planning</w:t>
      </w:r>
      <w:r w:rsidR="00657EB9">
        <w:rPr>
          <w:rFonts w:asciiTheme="minorHAnsi" w:hAnsiTheme="minorHAnsi" w:cstheme="minorHAnsi"/>
          <w:sz w:val="22"/>
          <w:szCs w:val="22"/>
        </w:rPr>
        <w:t>.</w:t>
      </w:r>
    </w:p>
    <w:p w14:paraId="070AB4F1" w14:textId="4BBAC931" w:rsidR="003F2844" w:rsidRDefault="003F2844" w:rsidP="00201ABB">
      <w:pPr>
        <w:pStyle w:val="ListParagraph"/>
        <w:numPr>
          <w:ilvl w:val="2"/>
          <w:numId w:val="3"/>
        </w:numPr>
        <w:rPr>
          <w:rFonts w:asciiTheme="minorHAnsi" w:hAnsiTheme="minorHAnsi" w:cstheme="minorHAnsi"/>
          <w:sz w:val="22"/>
          <w:szCs w:val="22"/>
        </w:rPr>
      </w:pPr>
      <w:r w:rsidRPr="003F2844">
        <w:rPr>
          <w:rFonts w:asciiTheme="minorHAnsi" w:hAnsiTheme="minorHAnsi" w:cstheme="minorHAnsi"/>
          <w:sz w:val="22"/>
          <w:szCs w:val="22"/>
        </w:rPr>
        <w:t>Become familiar with various frameworks and evidenced-based practices for improvement planning</w:t>
      </w:r>
      <w:r w:rsidR="00657EB9">
        <w:rPr>
          <w:rFonts w:asciiTheme="minorHAnsi" w:hAnsiTheme="minorHAnsi" w:cstheme="minorHAnsi"/>
          <w:sz w:val="22"/>
          <w:szCs w:val="22"/>
        </w:rPr>
        <w:t>.</w:t>
      </w:r>
    </w:p>
    <w:p w14:paraId="4FB96CBA" w14:textId="715D5E5E" w:rsidR="003F2844" w:rsidRPr="003F2844" w:rsidRDefault="003F2844" w:rsidP="00201ABB">
      <w:pPr>
        <w:pStyle w:val="ListParagraph"/>
        <w:numPr>
          <w:ilvl w:val="2"/>
          <w:numId w:val="3"/>
        </w:numPr>
        <w:rPr>
          <w:rFonts w:asciiTheme="minorHAnsi" w:hAnsiTheme="minorHAnsi" w:cstheme="minorHAnsi"/>
          <w:sz w:val="22"/>
          <w:szCs w:val="22"/>
        </w:rPr>
      </w:pPr>
      <w:r>
        <w:rPr>
          <w:rFonts w:asciiTheme="minorHAnsi" w:hAnsiTheme="minorHAnsi" w:cstheme="minorHAnsi"/>
          <w:sz w:val="22"/>
          <w:szCs w:val="22"/>
        </w:rPr>
        <w:t>Start and/or continue an evidence-based improvement planning process</w:t>
      </w:r>
      <w:r w:rsidR="00657EB9">
        <w:rPr>
          <w:rFonts w:asciiTheme="minorHAnsi" w:hAnsiTheme="minorHAnsi" w:cstheme="minorHAnsi"/>
          <w:sz w:val="22"/>
          <w:szCs w:val="22"/>
        </w:rPr>
        <w:t>.</w:t>
      </w:r>
    </w:p>
    <w:p w14:paraId="38F19DBA" w14:textId="4C46ABD8" w:rsidR="00D33360" w:rsidRPr="00BC50A4" w:rsidRDefault="00D33360" w:rsidP="00201ABB">
      <w:pPr>
        <w:pStyle w:val="ListParagraph"/>
        <w:numPr>
          <w:ilvl w:val="0"/>
          <w:numId w:val="8"/>
        </w:numPr>
        <w:spacing w:line="254" w:lineRule="auto"/>
        <w:rPr>
          <w:rFonts w:asciiTheme="minorHAnsi" w:hAnsiTheme="minorHAnsi" w:cstheme="minorBidi"/>
          <w:sz w:val="22"/>
          <w:szCs w:val="22"/>
        </w:rPr>
      </w:pPr>
      <w:r w:rsidRPr="03C077EC">
        <w:rPr>
          <w:rFonts w:asciiTheme="minorHAnsi" w:hAnsiTheme="minorHAnsi" w:cstheme="minorBidi"/>
          <w:sz w:val="22"/>
          <w:szCs w:val="22"/>
        </w:rPr>
        <w:t xml:space="preserve">NA </w:t>
      </w:r>
      <w:r w:rsidR="00D10B05" w:rsidRPr="03C077EC">
        <w:rPr>
          <w:rFonts w:asciiTheme="minorHAnsi" w:hAnsiTheme="minorHAnsi" w:cstheme="minorBidi"/>
          <w:sz w:val="22"/>
          <w:szCs w:val="22"/>
        </w:rPr>
        <w:t>district</w:t>
      </w:r>
      <w:r w:rsidRPr="03C077EC">
        <w:rPr>
          <w:rFonts w:asciiTheme="minorHAnsi" w:hAnsiTheme="minorHAnsi" w:cstheme="minorBidi"/>
          <w:sz w:val="22"/>
          <w:szCs w:val="22"/>
        </w:rPr>
        <w:t xml:space="preserve">s </w:t>
      </w:r>
      <w:r w:rsidRPr="03C077EC">
        <w:rPr>
          <w:rFonts w:asciiTheme="minorHAnsi" w:hAnsiTheme="minorHAnsi" w:cstheme="minorBidi"/>
          <w:b/>
          <w:bCs/>
          <w:i/>
          <w:iCs/>
          <w:sz w:val="22"/>
          <w:szCs w:val="22"/>
        </w:rPr>
        <w:t xml:space="preserve">must not use the flexibility available under the </w:t>
      </w:r>
      <w:hyperlink w:anchor="_MOE">
        <w:r w:rsidR="00383548" w:rsidRPr="03C077EC">
          <w:rPr>
            <w:rStyle w:val="Hyperlink"/>
            <w:rFonts w:asciiTheme="minorHAnsi" w:hAnsiTheme="minorHAnsi" w:cstheme="minorBidi"/>
            <w:b/>
            <w:bCs/>
            <w:i/>
            <w:iCs/>
            <w:sz w:val="22"/>
            <w:szCs w:val="22"/>
          </w:rPr>
          <w:t>MOE</w:t>
        </w:r>
      </w:hyperlink>
      <w:r w:rsidR="00383548" w:rsidRPr="03C077EC">
        <w:rPr>
          <w:rFonts w:asciiTheme="minorHAnsi" w:hAnsiTheme="minorHAnsi" w:cstheme="minorBidi"/>
          <w:b/>
          <w:bCs/>
          <w:i/>
          <w:iCs/>
          <w:sz w:val="22"/>
          <w:szCs w:val="22"/>
        </w:rPr>
        <w:t xml:space="preserve"> </w:t>
      </w:r>
      <w:r w:rsidRPr="03C077EC">
        <w:rPr>
          <w:rFonts w:asciiTheme="minorHAnsi" w:hAnsiTheme="minorHAnsi" w:cstheme="minorBidi"/>
          <w:b/>
          <w:bCs/>
          <w:i/>
          <w:iCs/>
          <w:sz w:val="22"/>
          <w:szCs w:val="22"/>
        </w:rPr>
        <w:t>provisions of IDEA</w:t>
      </w:r>
      <w:r w:rsidRPr="03C077EC">
        <w:rPr>
          <w:rFonts w:asciiTheme="minorHAnsi" w:hAnsiTheme="minorHAnsi" w:cstheme="minorBidi"/>
          <w:sz w:val="22"/>
          <w:szCs w:val="22"/>
        </w:rPr>
        <w:t xml:space="preserve"> and must budget for special education in 202</w:t>
      </w:r>
      <w:r w:rsidR="479D3CE3" w:rsidRPr="03C077EC">
        <w:rPr>
          <w:rFonts w:asciiTheme="minorHAnsi" w:hAnsiTheme="minorHAnsi" w:cstheme="minorBidi"/>
          <w:sz w:val="22"/>
          <w:szCs w:val="22"/>
        </w:rPr>
        <w:t>3</w:t>
      </w:r>
      <w:r w:rsidRPr="03C077EC">
        <w:rPr>
          <w:rFonts w:asciiTheme="minorHAnsi" w:hAnsiTheme="minorHAnsi" w:cstheme="minorBidi"/>
          <w:sz w:val="22"/>
          <w:szCs w:val="22"/>
        </w:rPr>
        <w:t>-202</w:t>
      </w:r>
      <w:r w:rsidR="50BDB3CF" w:rsidRPr="03C077EC">
        <w:rPr>
          <w:rFonts w:asciiTheme="minorHAnsi" w:hAnsiTheme="minorHAnsi" w:cstheme="minorBidi"/>
          <w:sz w:val="22"/>
          <w:szCs w:val="22"/>
        </w:rPr>
        <w:t>4</w:t>
      </w:r>
      <w:r w:rsidRPr="03C077EC">
        <w:rPr>
          <w:rFonts w:asciiTheme="minorHAnsi" w:hAnsiTheme="minorHAnsi" w:cstheme="minorBidi"/>
          <w:sz w:val="22"/>
          <w:szCs w:val="22"/>
        </w:rPr>
        <w:t xml:space="preserve"> at </w:t>
      </w:r>
      <w:r w:rsidR="002A52CE" w:rsidRPr="03C077EC">
        <w:rPr>
          <w:rFonts w:asciiTheme="minorHAnsi" w:hAnsiTheme="minorHAnsi" w:cstheme="minorBidi"/>
          <w:sz w:val="22"/>
          <w:szCs w:val="22"/>
        </w:rPr>
        <w:t>lea</w:t>
      </w:r>
      <w:r w:rsidRPr="03C077EC">
        <w:rPr>
          <w:rFonts w:asciiTheme="minorHAnsi" w:hAnsiTheme="minorHAnsi" w:cstheme="minorBidi"/>
          <w:sz w:val="22"/>
          <w:szCs w:val="22"/>
        </w:rPr>
        <w:t xml:space="preserve">st as much state and local funds in the aggregate or per pupil as it budgeted </w:t>
      </w:r>
      <w:r w:rsidR="001A5058" w:rsidRPr="03C077EC">
        <w:rPr>
          <w:rFonts w:asciiTheme="minorHAnsi" w:hAnsiTheme="minorHAnsi" w:cstheme="minorBidi"/>
          <w:sz w:val="22"/>
          <w:szCs w:val="22"/>
        </w:rPr>
        <w:t>and spent in the last year it met MOE.</w:t>
      </w:r>
      <w:r w:rsidRPr="03C077EC">
        <w:rPr>
          <w:rFonts w:asciiTheme="minorHAnsi" w:hAnsiTheme="minorHAnsi" w:cstheme="minorBidi"/>
          <w:sz w:val="22"/>
          <w:szCs w:val="22"/>
        </w:rPr>
        <w:t xml:space="preserve"> </w:t>
      </w:r>
    </w:p>
    <w:p w14:paraId="4E5CC857" w14:textId="57D6F536" w:rsidR="00583F5E" w:rsidRPr="00BC50A4" w:rsidRDefault="00D10B05" w:rsidP="00201ABB">
      <w:pPr>
        <w:pStyle w:val="ListParagraph"/>
        <w:numPr>
          <w:ilvl w:val="0"/>
          <w:numId w:val="8"/>
        </w:numPr>
        <w:spacing w:before="240"/>
        <w:rPr>
          <w:rFonts w:asciiTheme="minorHAnsi" w:hAnsiTheme="minorHAnsi" w:cstheme="minorHAnsi"/>
          <w:sz w:val="22"/>
          <w:szCs w:val="22"/>
        </w:rPr>
      </w:pPr>
      <w:r>
        <w:rPr>
          <w:rFonts w:asciiTheme="minorHAnsi" w:hAnsiTheme="minorHAnsi" w:cstheme="minorHAnsi"/>
          <w:sz w:val="22"/>
          <w:szCs w:val="22"/>
        </w:rPr>
        <w:t>District</w:t>
      </w:r>
      <w:r w:rsidR="00BC50A4">
        <w:rPr>
          <w:rFonts w:asciiTheme="minorHAnsi" w:hAnsiTheme="minorHAnsi" w:cstheme="minorHAnsi"/>
          <w:sz w:val="22"/>
          <w:szCs w:val="22"/>
        </w:rPr>
        <w:t>s</w:t>
      </w:r>
      <w:r w:rsidR="00583F5E" w:rsidRPr="00BC50A4">
        <w:rPr>
          <w:rFonts w:asciiTheme="minorHAnsi" w:hAnsiTheme="minorHAnsi" w:cstheme="minorHAnsi"/>
          <w:sz w:val="22"/>
          <w:szCs w:val="22"/>
        </w:rPr>
        <w:t xml:space="preserve"> that are in their second year as NA, should ensure improvement planning is on track based on the process and tools outlined in last year’s webinar. </w:t>
      </w:r>
      <w:r w:rsidR="00E43307" w:rsidRPr="00BC50A4">
        <w:rPr>
          <w:rFonts w:asciiTheme="minorHAnsi" w:hAnsiTheme="minorHAnsi" w:cstheme="minorHAnsi"/>
          <w:sz w:val="22"/>
          <w:szCs w:val="22"/>
        </w:rPr>
        <w:t>This year t</w:t>
      </w:r>
      <w:r w:rsidR="00184AB4" w:rsidRPr="00BC50A4">
        <w:rPr>
          <w:rFonts w:asciiTheme="minorHAnsi" w:hAnsiTheme="minorHAnsi" w:cstheme="minorHAnsi"/>
          <w:sz w:val="22"/>
          <w:szCs w:val="22"/>
        </w:rPr>
        <w:t xml:space="preserve">he Department will provide at </w:t>
      </w:r>
      <w:r w:rsidR="00761561">
        <w:rPr>
          <w:rFonts w:asciiTheme="minorHAnsi" w:hAnsiTheme="minorHAnsi" w:cstheme="minorHAnsi"/>
          <w:sz w:val="22"/>
          <w:szCs w:val="22"/>
        </w:rPr>
        <w:t>lea</w:t>
      </w:r>
      <w:r w:rsidR="00184AB4" w:rsidRPr="00BC50A4">
        <w:rPr>
          <w:rFonts w:asciiTheme="minorHAnsi" w:hAnsiTheme="minorHAnsi" w:cstheme="minorHAnsi"/>
          <w:sz w:val="22"/>
          <w:szCs w:val="22"/>
        </w:rPr>
        <w:t>st one technical assistance webinar that will address next steps</w:t>
      </w:r>
      <w:r w:rsidR="00583F5E" w:rsidRPr="00BC50A4">
        <w:rPr>
          <w:rFonts w:asciiTheme="minorHAnsi" w:hAnsiTheme="minorHAnsi" w:cstheme="minorHAnsi"/>
          <w:sz w:val="22"/>
          <w:szCs w:val="22"/>
        </w:rPr>
        <w:t>:</w:t>
      </w:r>
    </w:p>
    <w:p w14:paraId="238B54F9" w14:textId="3E9E281F" w:rsidR="00583F5E" w:rsidRPr="00583F5E" w:rsidRDefault="00583F5E" w:rsidP="00201ABB">
      <w:pPr>
        <w:pStyle w:val="ListParagraph"/>
        <w:numPr>
          <w:ilvl w:val="2"/>
          <w:numId w:val="3"/>
        </w:numPr>
        <w:rPr>
          <w:rFonts w:asciiTheme="minorHAnsi" w:hAnsiTheme="minorHAnsi" w:cstheme="minorHAnsi"/>
          <w:sz w:val="22"/>
          <w:szCs w:val="22"/>
        </w:rPr>
      </w:pPr>
      <w:r w:rsidRPr="00583F5E">
        <w:rPr>
          <w:rFonts w:asciiTheme="minorHAnsi" w:hAnsiTheme="minorHAnsi" w:cstheme="minorHAnsi"/>
          <w:sz w:val="22"/>
          <w:szCs w:val="22"/>
        </w:rPr>
        <w:t>Develop</w:t>
      </w:r>
      <w:r w:rsidR="007279D3">
        <w:rPr>
          <w:rFonts w:asciiTheme="minorHAnsi" w:hAnsiTheme="minorHAnsi" w:cstheme="minorHAnsi"/>
          <w:sz w:val="22"/>
          <w:szCs w:val="22"/>
        </w:rPr>
        <w:t>ing an</w:t>
      </w:r>
      <w:r w:rsidRPr="00583F5E">
        <w:rPr>
          <w:rFonts w:asciiTheme="minorHAnsi" w:hAnsiTheme="minorHAnsi" w:cstheme="minorHAnsi"/>
          <w:sz w:val="22"/>
          <w:szCs w:val="22"/>
        </w:rPr>
        <w:t xml:space="preserve"> Action Plan</w:t>
      </w:r>
    </w:p>
    <w:p w14:paraId="33479007" w14:textId="25A7435A" w:rsidR="00583F5E" w:rsidRPr="00583F5E" w:rsidRDefault="007279D3" w:rsidP="00201ABB">
      <w:pPr>
        <w:pStyle w:val="ListParagraph"/>
        <w:numPr>
          <w:ilvl w:val="2"/>
          <w:numId w:val="3"/>
        </w:numPr>
        <w:rPr>
          <w:rFonts w:asciiTheme="minorHAnsi" w:hAnsiTheme="minorHAnsi" w:cstheme="minorHAnsi"/>
          <w:sz w:val="22"/>
          <w:szCs w:val="22"/>
        </w:rPr>
      </w:pPr>
      <w:r>
        <w:rPr>
          <w:rFonts w:asciiTheme="minorHAnsi" w:hAnsiTheme="minorHAnsi" w:cstheme="minorHAnsi"/>
          <w:sz w:val="22"/>
          <w:szCs w:val="22"/>
        </w:rPr>
        <w:t>Implementing the</w:t>
      </w:r>
      <w:r w:rsidR="00583F5E" w:rsidRPr="00583F5E">
        <w:rPr>
          <w:rFonts w:asciiTheme="minorHAnsi" w:hAnsiTheme="minorHAnsi" w:cstheme="minorHAnsi"/>
          <w:sz w:val="22"/>
          <w:szCs w:val="22"/>
        </w:rPr>
        <w:t xml:space="preserve"> Plan</w:t>
      </w:r>
    </w:p>
    <w:p w14:paraId="5B6D1F87" w14:textId="7A8C6FC6" w:rsidR="00583F5E" w:rsidRPr="00583F5E" w:rsidRDefault="00583F5E" w:rsidP="00201ABB">
      <w:pPr>
        <w:pStyle w:val="ListParagraph"/>
        <w:numPr>
          <w:ilvl w:val="2"/>
          <w:numId w:val="3"/>
        </w:numPr>
        <w:rPr>
          <w:rFonts w:asciiTheme="minorHAnsi" w:hAnsiTheme="minorHAnsi" w:cstheme="minorHAnsi"/>
          <w:sz w:val="22"/>
          <w:szCs w:val="22"/>
        </w:rPr>
      </w:pPr>
      <w:r w:rsidRPr="00583F5E">
        <w:rPr>
          <w:rFonts w:asciiTheme="minorHAnsi" w:hAnsiTheme="minorHAnsi" w:cstheme="minorHAnsi"/>
          <w:sz w:val="22"/>
          <w:szCs w:val="22"/>
        </w:rPr>
        <w:t>Monitor</w:t>
      </w:r>
      <w:r w:rsidR="007279D3">
        <w:rPr>
          <w:rFonts w:asciiTheme="minorHAnsi" w:hAnsiTheme="minorHAnsi" w:cstheme="minorHAnsi"/>
          <w:sz w:val="22"/>
          <w:szCs w:val="22"/>
        </w:rPr>
        <w:t>ing</w:t>
      </w:r>
      <w:r w:rsidRPr="00583F5E">
        <w:rPr>
          <w:rFonts w:asciiTheme="minorHAnsi" w:hAnsiTheme="minorHAnsi" w:cstheme="minorHAnsi"/>
          <w:sz w:val="22"/>
          <w:szCs w:val="22"/>
        </w:rPr>
        <w:t xml:space="preserve"> Progress</w:t>
      </w:r>
      <w:r w:rsidR="007279D3">
        <w:rPr>
          <w:rFonts w:asciiTheme="minorHAnsi" w:hAnsiTheme="minorHAnsi" w:cstheme="minorHAnsi"/>
          <w:sz w:val="22"/>
          <w:szCs w:val="22"/>
        </w:rPr>
        <w:t xml:space="preserve"> </w:t>
      </w:r>
    </w:p>
    <w:p w14:paraId="49B1F325" w14:textId="5324C840" w:rsidR="00583F5E" w:rsidRPr="00425FD4" w:rsidRDefault="00E43307" w:rsidP="00201ABB">
      <w:pPr>
        <w:pStyle w:val="ListParagraph"/>
        <w:numPr>
          <w:ilvl w:val="0"/>
          <w:numId w:val="8"/>
        </w:numPr>
        <w:spacing w:after="240"/>
        <w:rPr>
          <w:rFonts w:asciiTheme="minorHAnsi" w:hAnsiTheme="minorHAnsi" w:cstheme="minorHAnsi"/>
          <w:i/>
          <w:iCs/>
          <w:sz w:val="22"/>
          <w:szCs w:val="22"/>
        </w:rPr>
      </w:pPr>
      <w:r w:rsidRPr="00F070F1">
        <w:rPr>
          <w:rFonts w:asciiTheme="minorHAnsi" w:hAnsiTheme="minorHAnsi" w:cstheme="minorHAnsi"/>
          <w:sz w:val="22"/>
          <w:szCs w:val="22"/>
        </w:rPr>
        <w:t xml:space="preserve">All </w:t>
      </w:r>
      <w:r w:rsidR="001D0FD4">
        <w:rPr>
          <w:rFonts w:asciiTheme="minorHAnsi" w:hAnsiTheme="minorHAnsi" w:cstheme="minorHAnsi"/>
          <w:sz w:val="22"/>
          <w:szCs w:val="22"/>
        </w:rPr>
        <w:t>district</w:t>
      </w:r>
      <w:r w:rsidRPr="00F070F1">
        <w:rPr>
          <w:rFonts w:asciiTheme="minorHAnsi" w:hAnsiTheme="minorHAnsi" w:cstheme="minorHAnsi"/>
          <w:sz w:val="22"/>
          <w:szCs w:val="22"/>
        </w:rPr>
        <w:t xml:space="preserve">s will be notified about technical assistance opportunities, as all are welcome to participate; however, </w:t>
      </w:r>
      <w:r w:rsidR="005A2B01" w:rsidRPr="00425FD4">
        <w:rPr>
          <w:rFonts w:asciiTheme="minorHAnsi" w:hAnsiTheme="minorHAnsi" w:cstheme="minorHAnsi"/>
          <w:i/>
          <w:iCs/>
          <w:sz w:val="22"/>
          <w:szCs w:val="22"/>
        </w:rPr>
        <w:t>district</w:t>
      </w:r>
      <w:r w:rsidRPr="00425FD4">
        <w:rPr>
          <w:rFonts w:asciiTheme="minorHAnsi" w:hAnsiTheme="minorHAnsi" w:cstheme="minorHAnsi"/>
          <w:i/>
          <w:iCs/>
          <w:sz w:val="22"/>
          <w:szCs w:val="22"/>
        </w:rPr>
        <w:t xml:space="preserve">s that are determined as NA are required to participate. </w:t>
      </w:r>
    </w:p>
    <w:p w14:paraId="5778EBB7" w14:textId="3C79237C" w:rsidR="00E707FC" w:rsidRPr="003019B4" w:rsidRDefault="00184AB4" w:rsidP="00C81FE9">
      <w:pPr>
        <w:ind w:left="720"/>
        <w:rPr>
          <w:b/>
          <w:bCs/>
        </w:rPr>
      </w:pPr>
      <w:r w:rsidRPr="003019B4">
        <w:rPr>
          <w:b/>
          <w:bCs/>
        </w:rPr>
        <w:t xml:space="preserve">What </w:t>
      </w:r>
      <w:r>
        <w:rPr>
          <w:b/>
          <w:bCs/>
        </w:rPr>
        <w:t xml:space="preserve">does a </w:t>
      </w:r>
      <w:r w:rsidR="00830B98" w:rsidRPr="00830B98">
        <w:rPr>
          <w:b/>
          <w:bCs/>
        </w:rPr>
        <w:t>district</w:t>
      </w:r>
      <w:r>
        <w:rPr>
          <w:b/>
          <w:bCs/>
        </w:rPr>
        <w:t xml:space="preserve"> need to do if determined </w:t>
      </w:r>
      <w:r w:rsidR="00E707FC">
        <w:rPr>
          <w:b/>
          <w:bCs/>
        </w:rPr>
        <w:t xml:space="preserve">as </w:t>
      </w:r>
      <w:r w:rsidR="00E80613">
        <w:rPr>
          <w:b/>
          <w:bCs/>
        </w:rPr>
        <w:t>NI or NSI</w:t>
      </w:r>
      <w:r w:rsidR="00E707FC">
        <w:rPr>
          <w:b/>
          <w:bCs/>
        </w:rPr>
        <w:t>?</w:t>
      </w:r>
      <w:r w:rsidR="00E707FC" w:rsidRPr="003019B4">
        <w:rPr>
          <w:b/>
          <w:bCs/>
        </w:rPr>
        <w:t xml:space="preserve"> </w:t>
      </w:r>
    </w:p>
    <w:p w14:paraId="4EEEC189" w14:textId="56ECE6F3" w:rsidR="00641527" w:rsidRPr="00D33360" w:rsidRDefault="00641527" w:rsidP="00201ABB">
      <w:pPr>
        <w:pStyle w:val="ListParagraph"/>
        <w:numPr>
          <w:ilvl w:val="0"/>
          <w:numId w:val="13"/>
        </w:numPr>
        <w:rPr>
          <w:rFonts w:asciiTheme="minorHAnsi" w:hAnsiTheme="minorHAnsi" w:cstheme="minorBidi"/>
          <w:sz w:val="22"/>
          <w:szCs w:val="22"/>
        </w:rPr>
      </w:pPr>
      <w:r w:rsidRPr="03C077EC">
        <w:rPr>
          <w:rFonts w:asciiTheme="minorHAnsi" w:hAnsiTheme="minorHAnsi" w:cstheme="minorBidi"/>
          <w:sz w:val="22"/>
          <w:szCs w:val="22"/>
        </w:rPr>
        <w:t>All districts determined N</w:t>
      </w:r>
      <w:r w:rsidR="00AB3EA2" w:rsidRPr="03C077EC">
        <w:rPr>
          <w:rFonts w:asciiTheme="minorHAnsi" w:hAnsiTheme="minorHAnsi" w:cstheme="minorBidi"/>
          <w:sz w:val="22"/>
          <w:szCs w:val="22"/>
        </w:rPr>
        <w:t>I</w:t>
      </w:r>
      <w:r w:rsidRPr="03C077EC">
        <w:rPr>
          <w:rFonts w:asciiTheme="minorHAnsi" w:hAnsiTheme="minorHAnsi" w:cstheme="minorBidi"/>
          <w:sz w:val="22"/>
          <w:szCs w:val="22"/>
        </w:rPr>
        <w:t xml:space="preserve"> should review the,</w:t>
      </w:r>
      <w:r w:rsidR="00E25A7C">
        <w:rPr>
          <w:rFonts w:asciiTheme="minorHAnsi" w:hAnsiTheme="minorHAnsi" w:cstheme="minorBidi"/>
          <w:sz w:val="22"/>
          <w:szCs w:val="22"/>
        </w:rPr>
        <w:t xml:space="preserve"> </w:t>
      </w:r>
      <w:hyperlink r:id="rId77" w:history="1">
        <w:r w:rsidR="00E25A7C" w:rsidRPr="00E25A7C">
          <w:rPr>
            <w:rStyle w:val="Hyperlink"/>
            <w:rFonts w:asciiTheme="minorHAnsi" w:hAnsiTheme="minorHAnsi" w:cstheme="minorBidi"/>
            <w:sz w:val="22"/>
            <w:szCs w:val="22"/>
          </w:rPr>
          <w:t xml:space="preserve">January 31, </w:t>
        </w:r>
        <w:proofErr w:type="gramStart"/>
        <w:r w:rsidR="00E25A7C" w:rsidRPr="00E25A7C">
          <w:rPr>
            <w:rStyle w:val="Hyperlink"/>
            <w:rFonts w:asciiTheme="minorHAnsi" w:hAnsiTheme="minorHAnsi" w:cstheme="minorBidi"/>
            <w:sz w:val="22"/>
            <w:szCs w:val="22"/>
          </w:rPr>
          <w:t>2023</w:t>
        </w:r>
        <w:proofErr w:type="gramEnd"/>
        <w:r w:rsidR="00E25A7C" w:rsidRPr="00E25A7C">
          <w:rPr>
            <w:rStyle w:val="Hyperlink"/>
            <w:rFonts w:asciiTheme="minorHAnsi" w:hAnsiTheme="minorHAnsi" w:cstheme="minorBidi"/>
            <w:sz w:val="22"/>
            <w:szCs w:val="22"/>
          </w:rPr>
          <w:t xml:space="preserve"> technical assistance webinar</w:t>
        </w:r>
      </w:hyperlink>
      <w:r w:rsidRPr="03C077EC">
        <w:rPr>
          <w:rFonts w:asciiTheme="minorHAnsi" w:hAnsiTheme="minorHAnsi" w:cstheme="minorBidi"/>
          <w:sz w:val="22"/>
          <w:szCs w:val="22"/>
        </w:rPr>
        <w:t xml:space="preserve"> (excluding slides 9-12). This resource will help you:</w:t>
      </w:r>
    </w:p>
    <w:p w14:paraId="3883740B" w14:textId="77777777" w:rsidR="00641527" w:rsidRPr="003F2844" w:rsidRDefault="00641527" w:rsidP="00201ABB">
      <w:pPr>
        <w:pStyle w:val="ListParagraph"/>
        <w:numPr>
          <w:ilvl w:val="2"/>
          <w:numId w:val="3"/>
        </w:numPr>
        <w:rPr>
          <w:rFonts w:asciiTheme="minorHAnsi" w:hAnsiTheme="minorHAnsi" w:cstheme="minorHAnsi"/>
          <w:sz w:val="22"/>
          <w:szCs w:val="22"/>
        </w:rPr>
      </w:pPr>
      <w:r w:rsidRPr="0018652E">
        <w:rPr>
          <w:rFonts w:asciiTheme="minorHAnsi" w:hAnsiTheme="minorHAnsi" w:cstheme="minorHAnsi"/>
          <w:sz w:val="22"/>
          <w:szCs w:val="22"/>
        </w:rPr>
        <w:t xml:space="preserve">Understand the calculations used to make the </w:t>
      </w:r>
      <w:r>
        <w:rPr>
          <w:rFonts w:asciiTheme="minorHAnsi" w:hAnsiTheme="minorHAnsi" w:cstheme="minorHAnsi"/>
          <w:sz w:val="22"/>
          <w:szCs w:val="22"/>
        </w:rPr>
        <w:t xml:space="preserve">LEA </w:t>
      </w:r>
      <w:r w:rsidRPr="00E86E62">
        <w:rPr>
          <w:rFonts w:asciiTheme="minorHAnsi" w:hAnsiTheme="minorHAnsi" w:cstheme="minorHAnsi"/>
          <w:sz w:val="22"/>
          <w:szCs w:val="22"/>
        </w:rPr>
        <w:t>determinations</w:t>
      </w:r>
      <w:r>
        <w:rPr>
          <w:rFonts w:asciiTheme="minorHAnsi" w:hAnsiTheme="minorHAnsi" w:cstheme="minorHAnsi"/>
          <w:sz w:val="22"/>
          <w:szCs w:val="22"/>
        </w:rPr>
        <w:t xml:space="preserve">. </w:t>
      </w:r>
    </w:p>
    <w:p w14:paraId="2607AA95" w14:textId="77777777" w:rsidR="00641527" w:rsidRPr="0018652E" w:rsidRDefault="00641527" w:rsidP="00201ABB">
      <w:pPr>
        <w:pStyle w:val="ListParagraph"/>
        <w:numPr>
          <w:ilvl w:val="2"/>
          <w:numId w:val="3"/>
        </w:numPr>
        <w:rPr>
          <w:rFonts w:asciiTheme="minorHAnsi" w:hAnsiTheme="minorHAnsi" w:cstheme="minorHAnsi"/>
          <w:sz w:val="22"/>
          <w:szCs w:val="22"/>
        </w:rPr>
      </w:pPr>
      <w:r w:rsidRPr="0018652E">
        <w:rPr>
          <w:rFonts w:asciiTheme="minorHAnsi" w:hAnsiTheme="minorHAnsi" w:cstheme="minorHAnsi"/>
          <w:sz w:val="22"/>
          <w:szCs w:val="22"/>
        </w:rPr>
        <w:t>Identify the appropriate DESE office to assist with questions related to the determinations</w:t>
      </w:r>
      <w:r>
        <w:rPr>
          <w:rFonts w:asciiTheme="minorHAnsi" w:hAnsiTheme="minorHAnsi" w:cstheme="minorHAnsi"/>
          <w:sz w:val="22"/>
          <w:szCs w:val="22"/>
        </w:rPr>
        <w:t>.</w:t>
      </w:r>
    </w:p>
    <w:p w14:paraId="0F27CEC7" w14:textId="77777777" w:rsidR="00641527" w:rsidRDefault="00641527" w:rsidP="00201ABB">
      <w:pPr>
        <w:pStyle w:val="ListParagraph"/>
        <w:numPr>
          <w:ilvl w:val="2"/>
          <w:numId w:val="3"/>
        </w:numPr>
        <w:rPr>
          <w:rFonts w:asciiTheme="minorHAnsi" w:hAnsiTheme="minorHAnsi" w:cstheme="minorHAnsi"/>
          <w:sz w:val="22"/>
          <w:szCs w:val="22"/>
        </w:rPr>
      </w:pPr>
      <w:r w:rsidRPr="00D52EA4">
        <w:rPr>
          <w:rFonts w:asciiTheme="minorHAnsi" w:hAnsiTheme="minorHAnsi" w:cstheme="minorHAnsi"/>
          <w:sz w:val="22"/>
          <w:szCs w:val="22"/>
        </w:rPr>
        <w:t>Understand the fiscal implications</w:t>
      </w:r>
      <w:r>
        <w:rPr>
          <w:rFonts w:asciiTheme="minorHAnsi" w:hAnsiTheme="minorHAnsi" w:cstheme="minorHAnsi"/>
          <w:sz w:val="22"/>
          <w:szCs w:val="22"/>
        </w:rPr>
        <w:t xml:space="preserve"> of</w:t>
      </w:r>
      <w:r w:rsidRPr="00D52EA4">
        <w:rPr>
          <w:rFonts w:asciiTheme="minorHAnsi" w:hAnsiTheme="minorHAnsi" w:cstheme="minorHAnsi"/>
          <w:sz w:val="22"/>
          <w:szCs w:val="22"/>
        </w:rPr>
        <w:t xml:space="preserve"> </w:t>
      </w:r>
      <w:r>
        <w:rPr>
          <w:rFonts w:asciiTheme="minorHAnsi" w:hAnsiTheme="minorHAnsi" w:cstheme="minorHAnsi"/>
          <w:sz w:val="22"/>
          <w:szCs w:val="22"/>
        </w:rPr>
        <w:t xml:space="preserve">LEA </w:t>
      </w:r>
      <w:r w:rsidRPr="00E86E62">
        <w:rPr>
          <w:rFonts w:asciiTheme="minorHAnsi" w:hAnsiTheme="minorHAnsi" w:cstheme="minorHAnsi"/>
          <w:sz w:val="22"/>
          <w:szCs w:val="22"/>
        </w:rPr>
        <w:t>determinations</w:t>
      </w:r>
      <w:r>
        <w:rPr>
          <w:rFonts w:asciiTheme="minorHAnsi" w:hAnsiTheme="minorHAnsi" w:cstheme="minorHAnsi"/>
          <w:sz w:val="22"/>
          <w:szCs w:val="22"/>
        </w:rPr>
        <w:t xml:space="preserve">. </w:t>
      </w:r>
    </w:p>
    <w:p w14:paraId="05346810" w14:textId="77777777" w:rsidR="00641527" w:rsidRDefault="00641527" w:rsidP="00201ABB">
      <w:pPr>
        <w:pStyle w:val="ListParagraph"/>
        <w:numPr>
          <w:ilvl w:val="2"/>
          <w:numId w:val="3"/>
        </w:numPr>
        <w:rPr>
          <w:rFonts w:asciiTheme="minorHAnsi" w:hAnsiTheme="minorHAnsi" w:cstheme="minorHAnsi"/>
          <w:sz w:val="22"/>
          <w:szCs w:val="22"/>
        </w:rPr>
      </w:pPr>
      <w:r w:rsidRPr="0008042E">
        <w:rPr>
          <w:rFonts w:asciiTheme="minorHAnsi" w:hAnsiTheme="minorHAnsi" w:cstheme="minorHAnsi"/>
          <w:sz w:val="22"/>
          <w:szCs w:val="22"/>
        </w:rPr>
        <w:t xml:space="preserve">Recognize district leadership roles related to the </w:t>
      </w:r>
      <w:r>
        <w:rPr>
          <w:rFonts w:asciiTheme="minorHAnsi" w:hAnsiTheme="minorHAnsi" w:cstheme="minorHAnsi"/>
          <w:sz w:val="22"/>
          <w:szCs w:val="22"/>
        </w:rPr>
        <w:t xml:space="preserve">LEA </w:t>
      </w:r>
      <w:r w:rsidRPr="00E86E62">
        <w:rPr>
          <w:rFonts w:asciiTheme="minorHAnsi" w:hAnsiTheme="minorHAnsi" w:cstheme="minorHAnsi"/>
          <w:sz w:val="22"/>
          <w:szCs w:val="22"/>
        </w:rPr>
        <w:t>determinations</w:t>
      </w:r>
      <w:r>
        <w:rPr>
          <w:rFonts w:asciiTheme="minorHAnsi" w:hAnsiTheme="minorHAnsi" w:cstheme="minorHAnsi"/>
          <w:sz w:val="22"/>
          <w:szCs w:val="22"/>
        </w:rPr>
        <w:t xml:space="preserve">. </w:t>
      </w:r>
    </w:p>
    <w:p w14:paraId="4688D107" w14:textId="77777777" w:rsidR="00641527" w:rsidRPr="0008042E" w:rsidRDefault="00641527" w:rsidP="00201ABB">
      <w:pPr>
        <w:pStyle w:val="ListParagraph"/>
        <w:numPr>
          <w:ilvl w:val="2"/>
          <w:numId w:val="3"/>
        </w:numPr>
        <w:rPr>
          <w:rFonts w:asciiTheme="minorHAnsi" w:hAnsiTheme="minorHAnsi" w:cstheme="minorHAnsi"/>
          <w:sz w:val="22"/>
          <w:szCs w:val="22"/>
        </w:rPr>
      </w:pPr>
      <w:r w:rsidRPr="0008042E">
        <w:rPr>
          <w:rFonts w:asciiTheme="minorHAnsi" w:hAnsiTheme="minorHAnsi" w:cstheme="minorHAnsi"/>
          <w:sz w:val="22"/>
          <w:szCs w:val="22"/>
        </w:rPr>
        <w:t xml:space="preserve">Integrate data from the </w:t>
      </w:r>
      <w:r>
        <w:rPr>
          <w:rFonts w:asciiTheme="minorHAnsi" w:hAnsiTheme="minorHAnsi" w:cstheme="minorHAnsi"/>
          <w:sz w:val="22"/>
          <w:szCs w:val="22"/>
        </w:rPr>
        <w:t xml:space="preserve">LEA </w:t>
      </w:r>
      <w:r w:rsidRPr="00E86E62">
        <w:rPr>
          <w:rFonts w:asciiTheme="minorHAnsi" w:hAnsiTheme="minorHAnsi" w:cstheme="minorHAnsi"/>
          <w:sz w:val="22"/>
          <w:szCs w:val="22"/>
        </w:rPr>
        <w:t>determinations</w:t>
      </w:r>
      <w:r>
        <w:rPr>
          <w:rFonts w:asciiTheme="minorHAnsi" w:hAnsiTheme="minorHAnsi" w:cstheme="minorHAnsi"/>
          <w:sz w:val="22"/>
          <w:szCs w:val="22"/>
        </w:rPr>
        <w:t xml:space="preserve"> </w:t>
      </w:r>
      <w:r w:rsidRPr="0008042E">
        <w:rPr>
          <w:rFonts w:asciiTheme="minorHAnsi" w:hAnsiTheme="minorHAnsi" w:cstheme="minorHAnsi"/>
          <w:sz w:val="22"/>
          <w:szCs w:val="22"/>
        </w:rPr>
        <w:t>in school and district improvement planning</w:t>
      </w:r>
      <w:r>
        <w:rPr>
          <w:rFonts w:asciiTheme="minorHAnsi" w:hAnsiTheme="minorHAnsi" w:cstheme="minorHAnsi"/>
          <w:sz w:val="22"/>
          <w:szCs w:val="22"/>
        </w:rPr>
        <w:t>.</w:t>
      </w:r>
    </w:p>
    <w:p w14:paraId="09C7E19F" w14:textId="77777777" w:rsidR="00641527" w:rsidRDefault="00641527" w:rsidP="00201ABB">
      <w:pPr>
        <w:pStyle w:val="ListParagraph"/>
        <w:numPr>
          <w:ilvl w:val="2"/>
          <w:numId w:val="3"/>
        </w:numPr>
        <w:rPr>
          <w:rFonts w:asciiTheme="minorHAnsi" w:hAnsiTheme="minorHAnsi" w:cstheme="minorHAnsi"/>
          <w:sz w:val="22"/>
          <w:szCs w:val="22"/>
        </w:rPr>
      </w:pPr>
      <w:r w:rsidRPr="003F2844">
        <w:rPr>
          <w:rFonts w:asciiTheme="minorHAnsi" w:hAnsiTheme="minorHAnsi" w:cstheme="minorHAnsi"/>
          <w:sz w:val="22"/>
          <w:szCs w:val="22"/>
        </w:rPr>
        <w:t>Become familiar with various frameworks and evidenced-based practices for improvement planning</w:t>
      </w:r>
      <w:r>
        <w:rPr>
          <w:rFonts w:asciiTheme="minorHAnsi" w:hAnsiTheme="minorHAnsi" w:cstheme="minorHAnsi"/>
          <w:sz w:val="22"/>
          <w:szCs w:val="22"/>
        </w:rPr>
        <w:t>.</w:t>
      </w:r>
    </w:p>
    <w:p w14:paraId="54274FB3" w14:textId="77777777" w:rsidR="00641527" w:rsidRPr="003F2844" w:rsidRDefault="00641527" w:rsidP="00201ABB">
      <w:pPr>
        <w:pStyle w:val="ListParagraph"/>
        <w:numPr>
          <w:ilvl w:val="2"/>
          <w:numId w:val="3"/>
        </w:numPr>
        <w:spacing w:after="240"/>
        <w:rPr>
          <w:rFonts w:asciiTheme="minorHAnsi" w:hAnsiTheme="minorHAnsi" w:cstheme="minorHAnsi"/>
          <w:sz w:val="22"/>
          <w:szCs w:val="22"/>
        </w:rPr>
      </w:pPr>
      <w:r>
        <w:rPr>
          <w:rFonts w:asciiTheme="minorHAnsi" w:hAnsiTheme="minorHAnsi" w:cstheme="minorHAnsi"/>
          <w:sz w:val="22"/>
          <w:szCs w:val="22"/>
        </w:rPr>
        <w:t>Start and/or continue an evidence-based improvement planning process.</w:t>
      </w:r>
    </w:p>
    <w:p w14:paraId="0329760D" w14:textId="37E54B08" w:rsidR="00641527" w:rsidRPr="00425FD4" w:rsidRDefault="00641527" w:rsidP="00201ABB">
      <w:pPr>
        <w:pStyle w:val="ListParagraph"/>
        <w:numPr>
          <w:ilvl w:val="0"/>
          <w:numId w:val="8"/>
        </w:numPr>
        <w:spacing w:line="254" w:lineRule="auto"/>
        <w:rPr>
          <w:rFonts w:asciiTheme="minorHAnsi" w:hAnsiTheme="minorHAnsi" w:cstheme="minorBidi"/>
          <w:sz w:val="22"/>
          <w:szCs w:val="22"/>
        </w:rPr>
      </w:pPr>
      <w:r w:rsidRPr="03C077EC">
        <w:rPr>
          <w:rFonts w:asciiTheme="minorHAnsi" w:hAnsiTheme="minorHAnsi" w:cstheme="minorBidi"/>
          <w:sz w:val="22"/>
          <w:szCs w:val="22"/>
        </w:rPr>
        <w:t>N</w:t>
      </w:r>
      <w:r w:rsidR="00AB3EA2" w:rsidRPr="03C077EC">
        <w:rPr>
          <w:rFonts w:asciiTheme="minorHAnsi" w:hAnsiTheme="minorHAnsi" w:cstheme="minorBidi"/>
          <w:sz w:val="22"/>
          <w:szCs w:val="22"/>
        </w:rPr>
        <w:t>I</w:t>
      </w:r>
      <w:r w:rsidRPr="03C077EC">
        <w:rPr>
          <w:rFonts w:asciiTheme="minorHAnsi" w:hAnsiTheme="minorHAnsi" w:cstheme="minorBidi"/>
          <w:sz w:val="22"/>
          <w:szCs w:val="22"/>
        </w:rPr>
        <w:t xml:space="preserve"> districts </w:t>
      </w:r>
      <w:r w:rsidRPr="03C077EC">
        <w:rPr>
          <w:rFonts w:asciiTheme="minorHAnsi" w:hAnsiTheme="minorHAnsi" w:cstheme="minorBidi"/>
          <w:b/>
          <w:bCs/>
          <w:i/>
          <w:iCs/>
          <w:sz w:val="22"/>
          <w:szCs w:val="22"/>
        </w:rPr>
        <w:t xml:space="preserve">must not use the flexibility available under the </w:t>
      </w:r>
      <w:hyperlink w:anchor="_Maintenance_of_Effort">
        <w:r w:rsidRPr="03C077EC">
          <w:rPr>
            <w:rStyle w:val="Hyperlink"/>
            <w:rFonts w:asciiTheme="minorHAnsi" w:hAnsiTheme="minorHAnsi" w:cstheme="minorBidi"/>
            <w:b/>
            <w:bCs/>
            <w:i/>
            <w:iCs/>
            <w:sz w:val="22"/>
            <w:szCs w:val="22"/>
          </w:rPr>
          <w:t>MOE</w:t>
        </w:r>
      </w:hyperlink>
      <w:r w:rsidRPr="03C077EC">
        <w:rPr>
          <w:rFonts w:asciiTheme="minorHAnsi" w:hAnsiTheme="minorHAnsi" w:cstheme="minorBidi"/>
          <w:b/>
          <w:bCs/>
          <w:i/>
          <w:iCs/>
          <w:sz w:val="22"/>
          <w:szCs w:val="22"/>
        </w:rPr>
        <w:t xml:space="preserve"> provisions of IDEA</w:t>
      </w:r>
      <w:r w:rsidRPr="03C077EC">
        <w:rPr>
          <w:rFonts w:asciiTheme="minorHAnsi" w:hAnsiTheme="minorHAnsi" w:cstheme="minorBidi"/>
          <w:sz w:val="22"/>
          <w:szCs w:val="22"/>
        </w:rPr>
        <w:t xml:space="preserve"> and must budget for special education in 202</w:t>
      </w:r>
      <w:r w:rsidR="684ACA4A" w:rsidRPr="03C077EC">
        <w:rPr>
          <w:rFonts w:asciiTheme="minorHAnsi" w:hAnsiTheme="minorHAnsi" w:cstheme="minorBidi"/>
          <w:sz w:val="22"/>
          <w:szCs w:val="22"/>
        </w:rPr>
        <w:t>3</w:t>
      </w:r>
      <w:r w:rsidRPr="03C077EC">
        <w:rPr>
          <w:rFonts w:asciiTheme="minorHAnsi" w:hAnsiTheme="minorHAnsi" w:cstheme="minorBidi"/>
          <w:sz w:val="22"/>
          <w:szCs w:val="22"/>
        </w:rPr>
        <w:t>-202</w:t>
      </w:r>
      <w:r w:rsidR="0E3AD2D8" w:rsidRPr="03C077EC">
        <w:rPr>
          <w:rFonts w:asciiTheme="minorHAnsi" w:hAnsiTheme="minorHAnsi" w:cstheme="minorBidi"/>
          <w:sz w:val="22"/>
          <w:szCs w:val="22"/>
        </w:rPr>
        <w:t>4</w:t>
      </w:r>
      <w:r w:rsidRPr="03C077EC">
        <w:rPr>
          <w:rFonts w:asciiTheme="minorHAnsi" w:hAnsiTheme="minorHAnsi" w:cstheme="minorBidi"/>
          <w:sz w:val="22"/>
          <w:szCs w:val="22"/>
        </w:rPr>
        <w:t xml:space="preserve"> at least as much state and local funds in the aggregate or per pupil </w:t>
      </w:r>
      <w:r w:rsidR="00425FD4" w:rsidRPr="03C077EC">
        <w:rPr>
          <w:rFonts w:asciiTheme="minorHAnsi" w:hAnsiTheme="minorHAnsi" w:cstheme="minorBidi"/>
          <w:sz w:val="22"/>
          <w:szCs w:val="22"/>
        </w:rPr>
        <w:t xml:space="preserve">as it budgeted and spent in the last year it met MOE. </w:t>
      </w:r>
    </w:p>
    <w:p w14:paraId="68A2730A" w14:textId="4588CC6B" w:rsidR="00641527" w:rsidRPr="00BC50A4" w:rsidRDefault="00641527" w:rsidP="00201ABB">
      <w:pPr>
        <w:pStyle w:val="ListParagraph"/>
        <w:numPr>
          <w:ilvl w:val="0"/>
          <w:numId w:val="13"/>
        </w:numPr>
        <w:spacing w:before="240"/>
        <w:rPr>
          <w:rFonts w:asciiTheme="minorHAnsi" w:hAnsiTheme="minorHAnsi" w:cstheme="minorHAnsi"/>
          <w:sz w:val="22"/>
          <w:szCs w:val="22"/>
        </w:rPr>
      </w:pPr>
      <w:r>
        <w:rPr>
          <w:rFonts w:asciiTheme="minorHAnsi" w:hAnsiTheme="minorHAnsi" w:cstheme="minorHAnsi"/>
          <w:sz w:val="22"/>
          <w:szCs w:val="22"/>
        </w:rPr>
        <w:t>Districts</w:t>
      </w:r>
      <w:r w:rsidRPr="00BC50A4">
        <w:rPr>
          <w:rFonts w:asciiTheme="minorHAnsi" w:hAnsiTheme="minorHAnsi" w:cstheme="minorHAnsi"/>
          <w:sz w:val="22"/>
          <w:szCs w:val="22"/>
        </w:rPr>
        <w:t xml:space="preserve"> that are in their second year as N</w:t>
      </w:r>
      <w:r w:rsidR="00AB3EA2">
        <w:rPr>
          <w:rFonts w:asciiTheme="minorHAnsi" w:hAnsiTheme="minorHAnsi" w:cstheme="minorHAnsi"/>
          <w:sz w:val="22"/>
          <w:szCs w:val="22"/>
        </w:rPr>
        <w:t>I</w:t>
      </w:r>
      <w:r w:rsidRPr="00BC50A4">
        <w:rPr>
          <w:rFonts w:asciiTheme="minorHAnsi" w:hAnsiTheme="minorHAnsi" w:cstheme="minorHAnsi"/>
          <w:sz w:val="22"/>
          <w:szCs w:val="22"/>
        </w:rPr>
        <w:t xml:space="preserve">, should ensure improvement planning is on track based on the process and tools outlined in last year’s webinar. This year the Department will provide at </w:t>
      </w:r>
      <w:r>
        <w:rPr>
          <w:rFonts w:asciiTheme="minorHAnsi" w:hAnsiTheme="minorHAnsi" w:cstheme="minorHAnsi"/>
          <w:sz w:val="22"/>
          <w:szCs w:val="22"/>
        </w:rPr>
        <w:t>lea</w:t>
      </w:r>
      <w:r w:rsidRPr="00BC50A4">
        <w:rPr>
          <w:rFonts w:asciiTheme="minorHAnsi" w:hAnsiTheme="minorHAnsi" w:cstheme="minorHAnsi"/>
          <w:sz w:val="22"/>
          <w:szCs w:val="22"/>
        </w:rPr>
        <w:t>st one technical assistance webinar that will address next steps:</w:t>
      </w:r>
    </w:p>
    <w:p w14:paraId="3B2427D1" w14:textId="77777777" w:rsidR="00641527" w:rsidRPr="00583F5E" w:rsidRDefault="00641527" w:rsidP="00201ABB">
      <w:pPr>
        <w:pStyle w:val="ListParagraph"/>
        <w:numPr>
          <w:ilvl w:val="2"/>
          <w:numId w:val="3"/>
        </w:numPr>
        <w:rPr>
          <w:rFonts w:asciiTheme="minorHAnsi" w:hAnsiTheme="minorHAnsi" w:cstheme="minorHAnsi"/>
          <w:sz w:val="22"/>
          <w:szCs w:val="22"/>
        </w:rPr>
      </w:pPr>
      <w:r w:rsidRPr="00583F5E">
        <w:rPr>
          <w:rFonts w:asciiTheme="minorHAnsi" w:hAnsiTheme="minorHAnsi" w:cstheme="minorHAnsi"/>
          <w:sz w:val="22"/>
          <w:szCs w:val="22"/>
        </w:rPr>
        <w:lastRenderedPageBreak/>
        <w:t>Develop</w:t>
      </w:r>
      <w:r>
        <w:rPr>
          <w:rFonts w:asciiTheme="minorHAnsi" w:hAnsiTheme="minorHAnsi" w:cstheme="minorHAnsi"/>
          <w:sz w:val="22"/>
          <w:szCs w:val="22"/>
        </w:rPr>
        <w:t>ing an</w:t>
      </w:r>
      <w:r w:rsidRPr="00583F5E">
        <w:rPr>
          <w:rFonts w:asciiTheme="minorHAnsi" w:hAnsiTheme="minorHAnsi" w:cstheme="minorHAnsi"/>
          <w:sz w:val="22"/>
          <w:szCs w:val="22"/>
        </w:rPr>
        <w:t xml:space="preserve"> Action Plan</w:t>
      </w:r>
    </w:p>
    <w:p w14:paraId="75185DF4" w14:textId="77777777" w:rsidR="00641527" w:rsidRPr="00583F5E" w:rsidRDefault="00641527" w:rsidP="00201ABB">
      <w:pPr>
        <w:pStyle w:val="ListParagraph"/>
        <w:numPr>
          <w:ilvl w:val="2"/>
          <w:numId w:val="3"/>
        </w:numPr>
        <w:rPr>
          <w:rFonts w:asciiTheme="minorHAnsi" w:hAnsiTheme="minorHAnsi" w:cstheme="minorHAnsi"/>
          <w:sz w:val="22"/>
          <w:szCs w:val="22"/>
        </w:rPr>
      </w:pPr>
      <w:r>
        <w:rPr>
          <w:rFonts w:asciiTheme="minorHAnsi" w:hAnsiTheme="minorHAnsi" w:cstheme="minorHAnsi"/>
          <w:sz w:val="22"/>
          <w:szCs w:val="22"/>
        </w:rPr>
        <w:t>Implementing the</w:t>
      </w:r>
      <w:r w:rsidRPr="00583F5E">
        <w:rPr>
          <w:rFonts w:asciiTheme="minorHAnsi" w:hAnsiTheme="minorHAnsi" w:cstheme="minorHAnsi"/>
          <w:sz w:val="22"/>
          <w:szCs w:val="22"/>
        </w:rPr>
        <w:t xml:space="preserve"> Plan</w:t>
      </w:r>
    </w:p>
    <w:p w14:paraId="42D96276" w14:textId="77777777" w:rsidR="00641527" w:rsidRPr="00583F5E" w:rsidRDefault="00641527" w:rsidP="00201ABB">
      <w:pPr>
        <w:pStyle w:val="ListParagraph"/>
        <w:numPr>
          <w:ilvl w:val="2"/>
          <w:numId w:val="3"/>
        </w:numPr>
        <w:spacing w:after="240"/>
        <w:rPr>
          <w:rFonts w:asciiTheme="minorHAnsi" w:hAnsiTheme="minorHAnsi" w:cstheme="minorHAnsi"/>
          <w:sz w:val="22"/>
          <w:szCs w:val="22"/>
        </w:rPr>
      </w:pPr>
      <w:r w:rsidRPr="00583F5E">
        <w:rPr>
          <w:rFonts w:asciiTheme="minorHAnsi" w:hAnsiTheme="minorHAnsi" w:cstheme="minorHAnsi"/>
          <w:sz w:val="22"/>
          <w:szCs w:val="22"/>
        </w:rPr>
        <w:t>Monitor</w:t>
      </w:r>
      <w:r>
        <w:rPr>
          <w:rFonts w:asciiTheme="minorHAnsi" w:hAnsiTheme="minorHAnsi" w:cstheme="minorHAnsi"/>
          <w:sz w:val="22"/>
          <w:szCs w:val="22"/>
        </w:rPr>
        <w:t>ing</w:t>
      </w:r>
      <w:r w:rsidRPr="00583F5E">
        <w:rPr>
          <w:rFonts w:asciiTheme="minorHAnsi" w:hAnsiTheme="minorHAnsi" w:cstheme="minorHAnsi"/>
          <w:sz w:val="22"/>
          <w:szCs w:val="22"/>
        </w:rPr>
        <w:t xml:space="preserve"> Progress</w:t>
      </w:r>
      <w:r>
        <w:rPr>
          <w:rFonts w:asciiTheme="minorHAnsi" w:hAnsiTheme="minorHAnsi" w:cstheme="minorHAnsi"/>
          <w:sz w:val="22"/>
          <w:szCs w:val="22"/>
        </w:rPr>
        <w:t xml:space="preserve"> </w:t>
      </w:r>
    </w:p>
    <w:p w14:paraId="28A3166B" w14:textId="2C16FB57" w:rsidR="00641527" w:rsidRPr="00E21631" w:rsidRDefault="00641527" w:rsidP="00201ABB">
      <w:pPr>
        <w:pStyle w:val="ListParagraph"/>
        <w:numPr>
          <w:ilvl w:val="0"/>
          <w:numId w:val="13"/>
        </w:numPr>
        <w:spacing w:after="240"/>
        <w:rPr>
          <w:rFonts w:asciiTheme="minorHAnsi" w:hAnsiTheme="minorHAnsi" w:cstheme="minorHAnsi"/>
          <w:i/>
          <w:iCs/>
          <w:sz w:val="22"/>
          <w:szCs w:val="22"/>
        </w:rPr>
      </w:pPr>
      <w:r w:rsidRPr="00F070F1">
        <w:rPr>
          <w:rFonts w:asciiTheme="minorHAnsi" w:hAnsiTheme="minorHAnsi" w:cstheme="minorHAnsi"/>
          <w:sz w:val="22"/>
          <w:szCs w:val="22"/>
        </w:rPr>
        <w:t xml:space="preserve">All </w:t>
      </w:r>
      <w:r>
        <w:rPr>
          <w:rFonts w:asciiTheme="minorHAnsi" w:hAnsiTheme="minorHAnsi" w:cstheme="minorHAnsi"/>
          <w:sz w:val="22"/>
          <w:szCs w:val="22"/>
        </w:rPr>
        <w:t>district</w:t>
      </w:r>
      <w:r w:rsidRPr="00F070F1">
        <w:rPr>
          <w:rFonts w:asciiTheme="minorHAnsi" w:hAnsiTheme="minorHAnsi" w:cstheme="minorHAnsi"/>
          <w:sz w:val="22"/>
          <w:szCs w:val="22"/>
        </w:rPr>
        <w:t xml:space="preserve">s will be notified about technical assistance opportunities, as all are welcome to participate; however, </w:t>
      </w:r>
      <w:r w:rsidRPr="00E21631">
        <w:rPr>
          <w:rFonts w:asciiTheme="minorHAnsi" w:hAnsiTheme="minorHAnsi" w:cstheme="minorHAnsi"/>
          <w:i/>
          <w:iCs/>
          <w:sz w:val="22"/>
          <w:szCs w:val="22"/>
        </w:rPr>
        <w:t>districts that are determined as N</w:t>
      </w:r>
      <w:r w:rsidR="00F04624" w:rsidRPr="00E21631">
        <w:rPr>
          <w:rFonts w:asciiTheme="minorHAnsi" w:hAnsiTheme="minorHAnsi" w:cstheme="minorHAnsi"/>
          <w:i/>
          <w:iCs/>
          <w:sz w:val="22"/>
          <w:szCs w:val="22"/>
        </w:rPr>
        <w:t>I</w:t>
      </w:r>
      <w:r w:rsidRPr="00E21631">
        <w:rPr>
          <w:rFonts w:asciiTheme="minorHAnsi" w:hAnsiTheme="minorHAnsi" w:cstheme="minorHAnsi"/>
          <w:i/>
          <w:iCs/>
          <w:sz w:val="22"/>
          <w:szCs w:val="22"/>
        </w:rPr>
        <w:t xml:space="preserve"> are required to participate. </w:t>
      </w:r>
    </w:p>
    <w:p w14:paraId="4D7C28F5" w14:textId="6BE66143" w:rsidR="0060781A" w:rsidRDefault="00F35F56" w:rsidP="00201ABB">
      <w:pPr>
        <w:pStyle w:val="ListParagraph"/>
        <w:numPr>
          <w:ilvl w:val="0"/>
          <w:numId w:val="13"/>
        </w:numPr>
        <w:spacing w:after="240"/>
        <w:rPr>
          <w:rStyle w:val="eop"/>
          <w:rFonts w:asciiTheme="minorHAnsi" w:hAnsiTheme="minorHAnsi" w:cstheme="minorHAnsi"/>
          <w:sz w:val="22"/>
          <w:szCs w:val="22"/>
        </w:rPr>
      </w:pPr>
      <w:r>
        <w:rPr>
          <w:rStyle w:val="eop"/>
          <w:rFonts w:asciiTheme="minorHAnsi" w:hAnsiTheme="minorHAnsi" w:cstheme="minorHAnsi"/>
          <w:sz w:val="22"/>
          <w:szCs w:val="22"/>
        </w:rPr>
        <w:t>NI d</w:t>
      </w:r>
      <w:r w:rsidR="0060781A" w:rsidRPr="0060781A">
        <w:rPr>
          <w:rStyle w:val="eop"/>
          <w:rFonts w:asciiTheme="minorHAnsi" w:hAnsiTheme="minorHAnsi" w:cstheme="minorHAnsi"/>
          <w:sz w:val="22"/>
          <w:szCs w:val="22"/>
        </w:rPr>
        <w:t xml:space="preserve">istricts </w:t>
      </w:r>
      <w:r>
        <w:rPr>
          <w:rStyle w:val="eop"/>
          <w:rFonts w:asciiTheme="minorHAnsi" w:hAnsiTheme="minorHAnsi" w:cstheme="minorHAnsi"/>
          <w:sz w:val="22"/>
          <w:szCs w:val="22"/>
        </w:rPr>
        <w:t xml:space="preserve">are </w:t>
      </w:r>
      <w:r w:rsidR="0060781A" w:rsidRPr="0060781A">
        <w:rPr>
          <w:rStyle w:val="eop"/>
          <w:rFonts w:asciiTheme="minorHAnsi" w:hAnsiTheme="minorHAnsi" w:cstheme="minorHAnsi"/>
          <w:sz w:val="22"/>
          <w:szCs w:val="22"/>
        </w:rPr>
        <w:t xml:space="preserve">required to participate in </w:t>
      </w:r>
      <w:hyperlink w:anchor="_Making_Money_Matter" w:history="1">
        <w:r w:rsidR="00E94A21" w:rsidRPr="007678FC">
          <w:rPr>
            <w:rStyle w:val="Hyperlink"/>
            <w:rFonts w:asciiTheme="minorHAnsi" w:hAnsiTheme="minorHAnsi" w:cstheme="minorHAnsi"/>
            <w:sz w:val="22"/>
            <w:szCs w:val="22"/>
          </w:rPr>
          <w:t>Making Money Matter (</w:t>
        </w:r>
        <w:r w:rsidR="0060781A" w:rsidRPr="007678FC">
          <w:rPr>
            <w:rStyle w:val="Hyperlink"/>
            <w:rFonts w:asciiTheme="minorHAnsi" w:hAnsiTheme="minorHAnsi" w:cstheme="minorHAnsi"/>
            <w:sz w:val="22"/>
            <w:szCs w:val="22"/>
          </w:rPr>
          <w:t>M</w:t>
        </w:r>
        <w:r w:rsidR="0060781A" w:rsidRPr="007678FC">
          <w:rPr>
            <w:rStyle w:val="Hyperlink"/>
            <w:rFonts w:asciiTheme="minorHAnsi" w:hAnsiTheme="minorHAnsi" w:cstheme="minorHAnsi"/>
            <w:sz w:val="22"/>
            <w:szCs w:val="22"/>
            <w:vertAlign w:val="superscript"/>
          </w:rPr>
          <w:t>3</w:t>
        </w:r>
        <w:r w:rsidR="000B00D5" w:rsidRPr="007678FC">
          <w:rPr>
            <w:rStyle w:val="Hyperlink"/>
            <w:rFonts w:asciiTheme="minorHAnsi" w:hAnsiTheme="minorHAnsi" w:cstheme="minorHAnsi"/>
            <w:sz w:val="22"/>
            <w:szCs w:val="22"/>
          </w:rPr>
          <w:t>)</w:t>
        </w:r>
      </w:hyperlink>
      <w:r w:rsidR="000B00D5">
        <w:rPr>
          <w:rStyle w:val="eop"/>
          <w:rFonts w:asciiTheme="minorHAnsi" w:hAnsiTheme="minorHAnsi" w:cstheme="minorHAnsi"/>
          <w:sz w:val="22"/>
          <w:szCs w:val="22"/>
        </w:rPr>
        <w:t>.</w:t>
      </w:r>
    </w:p>
    <w:p w14:paraId="158F86B0" w14:textId="7F8381D6" w:rsidR="007279D3" w:rsidRPr="00175C2A" w:rsidRDefault="003935A4" w:rsidP="00201ABB">
      <w:pPr>
        <w:pStyle w:val="ListParagraph"/>
        <w:numPr>
          <w:ilvl w:val="0"/>
          <w:numId w:val="13"/>
        </w:numPr>
        <w:spacing w:after="240"/>
        <w:rPr>
          <w:rStyle w:val="eop"/>
          <w:rFonts w:asciiTheme="minorHAnsi" w:hAnsiTheme="minorHAnsi" w:cstheme="minorHAnsi"/>
          <w:sz w:val="22"/>
          <w:szCs w:val="22"/>
        </w:rPr>
      </w:pPr>
      <w:r>
        <w:rPr>
          <w:rStyle w:val="eop"/>
          <w:rFonts w:asciiTheme="minorHAnsi" w:hAnsiTheme="minorHAnsi" w:cstheme="minorHAnsi"/>
          <w:sz w:val="22"/>
          <w:szCs w:val="22"/>
        </w:rPr>
        <w:t>T</w:t>
      </w:r>
      <w:r w:rsidR="007279D3" w:rsidRPr="00175C2A">
        <w:rPr>
          <w:rStyle w:val="eop"/>
          <w:rFonts w:asciiTheme="minorHAnsi" w:hAnsiTheme="minorHAnsi" w:cstheme="minorHAnsi"/>
          <w:sz w:val="22"/>
          <w:szCs w:val="22"/>
        </w:rPr>
        <w:t xml:space="preserve">he Department will assign </w:t>
      </w:r>
      <w:r w:rsidR="00F52469">
        <w:rPr>
          <w:rStyle w:val="eop"/>
          <w:rFonts w:asciiTheme="minorHAnsi" w:hAnsiTheme="minorHAnsi" w:cstheme="minorHAnsi"/>
          <w:sz w:val="22"/>
          <w:szCs w:val="22"/>
        </w:rPr>
        <w:t>NI</w:t>
      </w:r>
      <w:r w:rsidR="00F52469" w:rsidRPr="00175C2A">
        <w:rPr>
          <w:rStyle w:val="eop"/>
          <w:rFonts w:asciiTheme="minorHAnsi" w:hAnsiTheme="minorHAnsi" w:cstheme="minorHAnsi"/>
          <w:sz w:val="22"/>
          <w:szCs w:val="22"/>
        </w:rPr>
        <w:t xml:space="preserve"> </w:t>
      </w:r>
      <w:r w:rsidR="00830B98" w:rsidRPr="00175C2A">
        <w:rPr>
          <w:rStyle w:val="eop"/>
          <w:rFonts w:asciiTheme="minorHAnsi" w:hAnsiTheme="minorHAnsi" w:cstheme="minorHAnsi"/>
          <w:sz w:val="22"/>
          <w:szCs w:val="22"/>
        </w:rPr>
        <w:t>district</w:t>
      </w:r>
      <w:r w:rsidR="00F52469">
        <w:rPr>
          <w:rStyle w:val="eop"/>
          <w:rFonts w:asciiTheme="minorHAnsi" w:hAnsiTheme="minorHAnsi" w:cstheme="minorHAnsi"/>
          <w:sz w:val="22"/>
          <w:szCs w:val="22"/>
        </w:rPr>
        <w:t>s</w:t>
      </w:r>
      <w:r w:rsidR="007279D3" w:rsidRPr="00175C2A">
        <w:rPr>
          <w:rStyle w:val="eop"/>
          <w:rFonts w:asciiTheme="minorHAnsi" w:hAnsiTheme="minorHAnsi" w:cstheme="minorHAnsi"/>
          <w:sz w:val="22"/>
          <w:szCs w:val="22"/>
        </w:rPr>
        <w:t xml:space="preserve"> a </w:t>
      </w:r>
      <w:r w:rsidR="00175C2A" w:rsidRPr="00175C2A">
        <w:rPr>
          <w:rStyle w:val="eop"/>
          <w:rFonts w:asciiTheme="minorHAnsi" w:hAnsiTheme="minorHAnsi" w:cstheme="minorHAnsi"/>
          <w:sz w:val="22"/>
          <w:szCs w:val="22"/>
        </w:rPr>
        <w:t xml:space="preserve">LEA </w:t>
      </w:r>
      <w:r w:rsidR="00714C54" w:rsidRPr="00175C2A">
        <w:rPr>
          <w:rStyle w:val="eop"/>
          <w:rFonts w:asciiTheme="minorHAnsi" w:hAnsiTheme="minorHAnsi" w:cstheme="minorHAnsi"/>
          <w:sz w:val="22"/>
          <w:szCs w:val="22"/>
        </w:rPr>
        <w:t>determination</w:t>
      </w:r>
      <w:r w:rsidR="007279D3" w:rsidRPr="00175C2A">
        <w:rPr>
          <w:rStyle w:val="eop"/>
          <w:rFonts w:asciiTheme="minorHAnsi" w:hAnsiTheme="minorHAnsi" w:cstheme="minorHAnsi"/>
          <w:sz w:val="22"/>
          <w:szCs w:val="22"/>
        </w:rPr>
        <w:t xml:space="preserve"> liaison, who will contact you. Prior to contacting you, the determination liaison will coordinate with your current assistance liaison (</w:t>
      </w:r>
      <w:proofErr w:type="spellStart"/>
      <w:r w:rsidR="007279D3" w:rsidRPr="00175C2A">
        <w:rPr>
          <w:rStyle w:val="eop"/>
          <w:rFonts w:asciiTheme="minorHAnsi" w:hAnsiTheme="minorHAnsi" w:cstheme="minorHAnsi"/>
          <w:sz w:val="22"/>
          <w:szCs w:val="22"/>
        </w:rPr>
        <w:t>SSoS</w:t>
      </w:r>
      <w:proofErr w:type="spellEnd"/>
      <w:r w:rsidR="007279D3" w:rsidRPr="00175C2A">
        <w:rPr>
          <w:rStyle w:val="eop"/>
          <w:rFonts w:asciiTheme="minorHAnsi" w:hAnsiTheme="minorHAnsi" w:cstheme="minorHAnsi"/>
          <w:sz w:val="22"/>
          <w:szCs w:val="22"/>
        </w:rPr>
        <w:t xml:space="preserve">, OST, Charter, </w:t>
      </w:r>
      <w:r w:rsidR="00E928AE" w:rsidRPr="00175C2A">
        <w:rPr>
          <w:rStyle w:val="eop"/>
          <w:rFonts w:asciiTheme="minorHAnsi" w:hAnsiTheme="minorHAnsi" w:cstheme="minorHAnsi"/>
          <w:sz w:val="22"/>
          <w:szCs w:val="22"/>
        </w:rPr>
        <w:t xml:space="preserve">SEPP, </w:t>
      </w:r>
      <w:r w:rsidR="007279D3" w:rsidRPr="00175C2A">
        <w:rPr>
          <w:rStyle w:val="eop"/>
          <w:rFonts w:asciiTheme="minorHAnsi" w:hAnsiTheme="minorHAnsi" w:cstheme="minorHAnsi"/>
          <w:sz w:val="22"/>
          <w:szCs w:val="22"/>
        </w:rPr>
        <w:t xml:space="preserve">PSM), if any, to ensure there is </w:t>
      </w:r>
      <w:r w:rsidR="003C06E3">
        <w:rPr>
          <w:rStyle w:val="eop"/>
          <w:rFonts w:asciiTheme="minorHAnsi" w:hAnsiTheme="minorHAnsi" w:cstheme="minorHAnsi"/>
          <w:sz w:val="22"/>
          <w:szCs w:val="22"/>
        </w:rPr>
        <w:t xml:space="preserve">a </w:t>
      </w:r>
      <w:r w:rsidR="007279D3" w:rsidRPr="00175C2A">
        <w:rPr>
          <w:rStyle w:val="eop"/>
          <w:rFonts w:asciiTheme="minorHAnsi" w:hAnsiTheme="minorHAnsi" w:cstheme="minorHAnsi"/>
          <w:sz w:val="22"/>
          <w:szCs w:val="22"/>
        </w:rPr>
        <w:t xml:space="preserve">cohesive approach to providing your </w:t>
      </w:r>
      <w:r w:rsidR="006F1F24" w:rsidRPr="00175C2A">
        <w:rPr>
          <w:rStyle w:val="eop"/>
          <w:rFonts w:asciiTheme="minorHAnsi" w:hAnsiTheme="minorHAnsi" w:cstheme="minorHAnsi"/>
          <w:sz w:val="22"/>
          <w:szCs w:val="22"/>
        </w:rPr>
        <w:t>district</w:t>
      </w:r>
      <w:r w:rsidR="007279D3" w:rsidRPr="00175C2A">
        <w:rPr>
          <w:rStyle w:val="eop"/>
          <w:rFonts w:asciiTheme="minorHAnsi" w:hAnsiTheme="minorHAnsi" w:cstheme="minorHAnsi"/>
          <w:sz w:val="22"/>
          <w:szCs w:val="22"/>
        </w:rPr>
        <w:t xml:space="preserve"> with technical assistance, support, and/or intervention.</w:t>
      </w:r>
    </w:p>
    <w:p w14:paraId="64E1D116" w14:textId="2E9286A2" w:rsidR="00EA5EE4" w:rsidRPr="00E579D7" w:rsidRDefault="006C161E" w:rsidP="00EA5EE4">
      <w:pPr>
        <w:ind w:left="720"/>
        <w:rPr>
          <w:rFonts w:cstheme="minorHAnsi"/>
          <w:b/>
          <w:bCs/>
        </w:rPr>
      </w:pPr>
      <w:r w:rsidRPr="00E579D7">
        <w:rPr>
          <w:rFonts w:cstheme="minorHAnsi"/>
          <w:b/>
          <w:bCs/>
        </w:rPr>
        <w:t xml:space="preserve">Is there a list of </w:t>
      </w:r>
      <w:r w:rsidR="00D10B05">
        <w:rPr>
          <w:rFonts w:cstheme="minorHAnsi"/>
          <w:b/>
          <w:bCs/>
        </w:rPr>
        <w:t>district</w:t>
      </w:r>
      <w:r w:rsidRPr="00E579D7">
        <w:rPr>
          <w:rFonts w:cstheme="minorHAnsi"/>
          <w:b/>
          <w:bCs/>
        </w:rPr>
        <w:t>s that have been identified for networking and comparative purposes?</w:t>
      </w:r>
      <w:r w:rsidR="00EA5EE4">
        <w:rPr>
          <w:rFonts w:cstheme="minorHAnsi"/>
          <w:b/>
          <w:bCs/>
        </w:rPr>
        <w:t xml:space="preserve"> Can we access information to</w:t>
      </w:r>
      <w:r w:rsidR="00EA5EE4" w:rsidRPr="00E579D7">
        <w:rPr>
          <w:rFonts w:cstheme="minorHAnsi"/>
          <w:b/>
          <w:bCs/>
        </w:rPr>
        <w:t xml:space="preserve"> identify groups of </w:t>
      </w:r>
      <w:r w:rsidR="00D10B05">
        <w:rPr>
          <w:rFonts w:cstheme="minorHAnsi"/>
          <w:b/>
          <w:bCs/>
        </w:rPr>
        <w:t>district</w:t>
      </w:r>
      <w:r w:rsidR="00EA5EE4" w:rsidRPr="00E579D7">
        <w:rPr>
          <w:rFonts w:cstheme="minorHAnsi"/>
          <w:b/>
          <w:bCs/>
        </w:rPr>
        <w:t>s that have been identified for similar reasons (to attempt share resources/ideas/practices)?</w:t>
      </w:r>
    </w:p>
    <w:p w14:paraId="47FDF86A" w14:textId="1680CE4C" w:rsidR="006C161E" w:rsidRPr="00E579D7" w:rsidRDefault="006C161E" w:rsidP="00C81FE9">
      <w:pPr>
        <w:ind w:left="1440"/>
      </w:pPr>
      <w:r w:rsidRPr="005C1713">
        <w:t xml:space="preserve">No. </w:t>
      </w:r>
      <w:r w:rsidR="00E928AE" w:rsidRPr="005C1713">
        <w:t xml:space="preserve">However, this is being considered as part of the </w:t>
      </w:r>
      <w:hyperlink w:anchor="_Making_Money_Matter" w:history="1">
        <w:r w:rsidR="00E928AE" w:rsidRPr="00AC6406">
          <w:rPr>
            <w:rStyle w:val="Hyperlink"/>
          </w:rPr>
          <w:t>M</w:t>
        </w:r>
        <w:r w:rsidR="00E928AE" w:rsidRPr="00AC6406">
          <w:rPr>
            <w:rStyle w:val="Hyperlink"/>
            <w:vertAlign w:val="superscript"/>
          </w:rPr>
          <w:t>3</w:t>
        </w:r>
      </w:hyperlink>
      <w:r w:rsidR="00E928AE" w:rsidRPr="005C1713">
        <w:t xml:space="preserve"> activities for this year</w:t>
      </w:r>
      <w:r w:rsidR="00EA5EE4" w:rsidRPr="005C1713">
        <w:t xml:space="preserve">. If your </w:t>
      </w:r>
      <w:r w:rsidR="006F1F24" w:rsidRPr="005C1713">
        <w:rPr>
          <w:rStyle w:val="eop"/>
        </w:rPr>
        <w:t>district</w:t>
      </w:r>
      <w:r w:rsidR="00EA5EE4" w:rsidRPr="005C1713">
        <w:t xml:space="preserve"> is interested, p</w:t>
      </w:r>
      <w:r w:rsidR="00761561" w:rsidRPr="005C1713">
        <w:t>lease</w:t>
      </w:r>
      <w:r w:rsidR="00EA5EE4" w:rsidRPr="005C1713">
        <w:t xml:space="preserve"> contact Abi Slayton at </w:t>
      </w:r>
      <w:hyperlink r:id="rId78">
        <w:r w:rsidR="00D14C3C" w:rsidRPr="005C1713">
          <w:rPr>
            <w:rStyle w:val="Hyperlink"/>
          </w:rPr>
          <w:t>Abigail.T.Slayton@mass.gov</w:t>
        </w:r>
      </w:hyperlink>
      <w:r w:rsidR="00EA5EE4" w:rsidRPr="005C1713">
        <w:t xml:space="preserve">. </w:t>
      </w:r>
    </w:p>
    <w:p w14:paraId="305A09E6" w14:textId="050ACB50" w:rsidR="006C161E" w:rsidRDefault="00761561" w:rsidP="00C81FE9">
      <w:pPr>
        <w:ind w:left="1440"/>
        <w:rPr>
          <w:rFonts w:cstheme="minorHAnsi"/>
        </w:rPr>
      </w:pPr>
      <w:r>
        <w:rPr>
          <w:rStyle w:val="eop"/>
          <w:rFonts w:cstheme="minorHAnsi"/>
        </w:rPr>
        <w:t>D</w:t>
      </w:r>
      <w:r w:rsidR="006F1F24" w:rsidRPr="00830B98">
        <w:rPr>
          <w:rStyle w:val="eop"/>
          <w:rFonts w:cstheme="minorHAnsi"/>
        </w:rPr>
        <w:t>istrict</w:t>
      </w:r>
      <w:r w:rsidR="006C161E" w:rsidRPr="00E579D7">
        <w:rPr>
          <w:rFonts w:cstheme="minorHAnsi"/>
        </w:rPr>
        <w:t xml:space="preserve">s may consider using the </w:t>
      </w:r>
      <w:hyperlink r:id="rId79" w:history="1">
        <w:r w:rsidR="006C161E" w:rsidRPr="00F645E3">
          <w:rPr>
            <w:rStyle w:val="Hyperlink"/>
            <w:rFonts w:cstheme="minorHAnsi"/>
          </w:rPr>
          <w:t>special education RADAR report</w:t>
        </w:r>
      </w:hyperlink>
      <w:r w:rsidR="006C161E" w:rsidRPr="00E579D7">
        <w:rPr>
          <w:rFonts w:cstheme="minorHAnsi"/>
        </w:rPr>
        <w:t xml:space="preserve"> to identify similar </w:t>
      </w:r>
      <w:r w:rsidR="00D10B05">
        <w:rPr>
          <w:rFonts w:cstheme="minorHAnsi"/>
        </w:rPr>
        <w:t>district</w:t>
      </w:r>
      <w:r w:rsidR="006C161E" w:rsidRPr="00E579D7">
        <w:rPr>
          <w:rFonts w:cstheme="minorHAnsi"/>
        </w:rPr>
        <w:t xml:space="preserve">s for comparative and networking purposes. </w:t>
      </w:r>
      <w:r w:rsidR="00D10B05">
        <w:rPr>
          <w:rFonts w:cstheme="minorHAnsi"/>
        </w:rPr>
        <w:t>District</w:t>
      </w:r>
      <w:r w:rsidR="006C161E" w:rsidRPr="00E579D7">
        <w:rPr>
          <w:rFonts w:cstheme="minorHAnsi"/>
        </w:rPr>
        <w:t>s are encouraged to work with existing assistance teams (</w:t>
      </w:r>
      <w:proofErr w:type="spellStart"/>
      <w:r w:rsidR="006C161E" w:rsidRPr="00E579D7">
        <w:rPr>
          <w:rFonts w:cstheme="minorHAnsi"/>
        </w:rPr>
        <w:t>SSoS</w:t>
      </w:r>
      <w:proofErr w:type="spellEnd"/>
      <w:r w:rsidR="006C161E" w:rsidRPr="00E579D7">
        <w:rPr>
          <w:rFonts w:cstheme="minorHAnsi"/>
        </w:rPr>
        <w:t>, OST, Charter, PSM</w:t>
      </w:r>
      <w:r w:rsidR="00EA5EE4">
        <w:rPr>
          <w:rFonts w:cstheme="minorHAnsi"/>
        </w:rPr>
        <w:t>, SEPP</w:t>
      </w:r>
      <w:r w:rsidR="006C161E" w:rsidRPr="00E579D7">
        <w:rPr>
          <w:rFonts w:cstheme="minorHAnsi"/>
        </w:rPr>
        <w:t xml:space="preserve">) with their Special Education liaison to align with existing </w:t>
      </w:r>
      <w:r w:rsidR="00F645E3">
        <w:rPr>
          <w:rFonts w:cstheme="minorHAnsi"/>
        </w:rPr>
        <w:t xml:space="preserve">improvement </w:t>
      </w:r>
      <w:r w:rsidR="006C161E" w:rsidRPr="00E579D7">
        <w:rPr>
          <w:rFonts w:cstheme="minorHAnsi"/>
        </w:rPr>
        <w:t>plans.</w:t>
      </w:r>
      <w:r w:rsidR="006F1F24">
        <w:rPr>
          <w:rFonts w:cstheme="minorHAnsi"/>
        </w:rPr>
        <w:t xml:space="preserve"> </w:t>
      </w:r>
    </w:p>
    <w:p w14:paraId="328F9EB4" w14:textId="38088FE7" w:rsidR="00B40D2F" w:rsidRDefault="00B40D2F" w:rsidP="00C81FE9">
      <w:pPr>
        <w:ind w:left="1440"/>
        <w:rPr>
          <w:rFonts w:cstheme="minorHAnsi"/>
        </w:rPr>
      </w:pPr>
      <w:r>
        <w:rPr>
          <w:rFonts w:cstheme="minorHAnsi"/>
        </w:rPr>
        <w:t>A list of</w:t>
      </w:r>
      <w:r w:rsidR="00AF1B74">
        <w:rPr>
          <w:rFonts w:cstheme="minorHAnsi"/>
        </w:rPr>
        <w:t xml:space="preserve"> </w:t>
      </w:r>
      <w:r w:rsidR="004E23CF">
        <w:rPr>
          <w:rFonts w:cstheme="minorHAnsi"/>
        </w:rPr>
        <w:t>all districts’ LEA determinations is</w:t>
      </w:r>
      <w:r w:rsidR="00A51D68">
        <w:rPr>
          <w:rFonts w:cstheme="minorHAnsi"/>
        </w:rPr>
        <w:t xml:space="preserve"> available at </w:t>
      </w:r>
      <w:hyperlink r:id="rId80" w:history="1">
        <w:r w:rsidRPr="00F61017">
          <w:rPr>
            <w:rStyle w:val="Hyperlink"/>
            <w:rFonts w:cstheme="minorHAnsi"/>
          </w:rPr>
          <w:t xml:space="preserve">MA Local Education Agencies' (LEA) </w:t>
        </w:r>
        <w:r w:rsidRPr="00F61017">
          <w:rPr>
            <w:rStyle w:val="Hyperlink"/>
          </w:rPr>
          <w:t>Determinations of Need</w:t>
        </w:r>
      </w:hyperlink>
      <w:r w:rsidRPr="00F61017">
        <w:rPr>
          <w:rFonts w:cstheme="minorHAnsi"/>
        </w:rPr>
        <w:t xml:space="preserve"> webpage</w:t>
      </w:r>
      <w:r w:rsidR="00A51D68">
        <w:rPr>
          <w:rFonts w:cstheme="minorHAnsi"/>
        </w:rPr>
        <w:t>.</w:t>
      </w:r>
    </w:p>
    <w:p w14:paraId="545FE486" w14:textId="77777777" w:rsidR="00806125" w:rsidRPr="000176E2" w:rsidRDefault="00806125" w:rsidP="00806125">
      <w:pPr>
        <w:spacing w:before="240"/>
        <w:ind w:left="720"/>
        <w:rPr>
          <w:rFonts w:eastAsia="Times New Roman" w:cstheme="minorHAnsi"/>
          <w:b/>
          <w:bCs/>
        </w:rPr>
      </w:pPr>
      <w:r w:rsidRPr="00C67D9C">
        <w:rPr>
          <w:rFonts w:eastAsia="Times New Roman" w:cstheme="minorHAnsi"/>
          <w:b/>
          <w:bCs/>
        </w:rPr>
        <w:t>What resources are available to help me better understand this data?</w:t>
      </w:r>
    </w:p>
    <w:p w14:paraId="46A21DD9" w14:textId="7572C19C" w:rsidR="00806125" w:rsidRPr="00E579D7" w:rsidRDefault="00806125" w:rsidP="00806125">
      <w:pPr>
        <w:ind w:left="1440"/>
        <w:rPr>
          <w:rFonts w:cstheme="minorHAnsi"/>
        </w:rPr>
      </w:pPr>
      <w:r w:rsidRPr="00F61017">
        <w:rPr>
          <w:rFonts w:cstheme="minorHAnsi"/>
        </w:rPr>
        <w:t xml:space="preserve">The </w:t>
      </w:r>
      <w:hyperlink r:id="rId81" w:history="1">
        <w:r w:rsidRPr="00F61017">
          <w:rPr>
            <w:rStyle w:val="Hyperlink"/>
            <w:rFonts w:cstheme="minorHAnsi"/>
          </w:rPr>
          <w:t>MA Local Education Agencies' (</w:t>
        </w:r>
        <w:r w:rsidR="00B70A7C" w:rsidRPr="00F61017">
          <w:rPr>
            <w:rStyle w:val="Hyperlink"/>
            <w:rFonts w:cstheme="minorHAnsi"/>
          </w:rPr>
          <w:t>LEA</w:t>
        </w:r>
        <w:r w:rsidRPr="00F61017">
          <w:rPr>
            <w:rStyle w:val="Hyperlink"/>
            <w:rFonts w:cstheme="minorHAnsi"/>
          </w:rPr>
          <w:t xml:space="preserve">) </w:t>
        </w:r>
        <w:r w:rsidR="00177472" w:rsidRPr="00F61017">
          <w:rPr>
            <w:rStyle w:val="Hyperlink"/>
          </w:rPr>
          <w:t>Determinations of Need</w:t>
        </w:r>
      </w:hyperlink>
      <w:r w:rsidRPr="00F61017">
        <w:rPr>
          <w:rFonts w:cstheme="minorHAnsi"/>
        </w:rPr>
        <w:t xml:space="preserve"> webpage has helpful resources.</w:t>
      </w:r>
    </w:p>
    <w:p w14:paraId="0F6EDB4A" w14:textId="5BC6B279" w:rsidR="00C63C72" w:rsidRPr="00377F8D" w:rsidRDefault="00C63C72" w:rsidP="009E485B">
      <w:pPr>
        <w:pStyle w:val="Heading2"/>
        <w:spacing w:after="240"/>
        <w:rPr>
          <w:rStyle w:val="eop"/>
          <w:b/>
          <w:bCs/>
        </w:rPr>
      </w:pPr>
      <w:bookmarkStart w:id="28" w:name="_Making_Money_Matter"/>
      <w:bookmarkEnd w:id="28"/>
      <w:r w:rsidRPr="00377F8D">
        <w:rPr>
          <w:rStyle w:val="eop"/>
          <w:b/>
          <w:bCs/>
        </w:rPr>
        <w:t>Making Money Matter (M</w:t>
      </w:r>
      <w:r w:rsidRPr="003D06AC">
        <w:rPr>
          <w:rStyle w:val="eop"/>
          <w:b/>
          <w:bCs/>
          <w:vertAlign w:val="superscript"/>
        </w:rPr>
        <w:t>3</w:t>
      </w:r>
      <w:r w:rsidRPr="00377F8D">
        <w:rPr>
          <w:rStyle w:val="eop"/>
          <w:b/>
          <w:bCs/>
        </w:rPr>
        <w:t>)</w:t>
      </w:r>
    </w:p>
    <w:p w14:paraId="3E03C114" w14:textId="1FB4F3AB" w:rsidR="00426A73" w:rsidRPr="00426A73" w:rsidRDefault="00426A73" w:rsidP="00426A73">
      <w:pPr>
        <w:ind w:left="720"/>
        <w:rPr>
          <w:rFonts w:cstheme="minorHAnsi"/>
          <w:b/>
          <w:bCs/>
        </w:rPr>
      </w:pPr>
      <w:r w:rsidRPr="00426A73">
        <w:rPr>
          <w:rFonts w:cstheme="minorHAnsi"/>
          <w:b/>
          <w:bCs/>
        </w:rPr>
        <w:t>What is Making Money Matter (M</w:t>
      </w:r>
      <w:r w:rsidRPr="00426A73">
        <w:rPr>
          <w:rFonts w:cstheme="minorHAnsi"/>
          <w:b/>
          <w:bCs/>
          <w:vertAlign w:val="superscript"/>
        </w:rPr>
        <w:t>3</w:t>
      </w:r>
      <w:r w:rsidRPr="00426A73">
        <w:rPr>
          <w:rFonts w:cstheme="minorHAnsi"/>
          <w:b/>
          <w:bCs/>
        </w:rPr>
        <w:t>)?</w:t>
      </w:r>
    </w:p>
    <w:p w14:paraId="08EC1C8F" w14:textId="7718B8EE" w:rsidR="00426A73" w:rsidRDefault="00AC3523" w:rsidP="00426A73">
      <w:pPr>
        <w:ind w:left="1440"/>
        <w:rPr>
          <w:rFonts w:cstheme="minorHAnsi"/>
        </w:rPr>
      </w:pPr>
      <w:r w:rsidRPr="00E579D7">
        <w:rPr>
          <w:rFonts w:cstheme="minorHAnsi"/>
        </w:rPr>
        <w:t xml:space="preserve">The </w:t>
      </w:r>
      <w:hyperlink r:id="rId82" w:history="1">
        <w:r w:rsidRPr="00E579D7">
          <w:rPr>
            <w:rStyle w:val="Hyperlink"/>
            <w:rFonts w:cstheme="minorHAnsi"/>
          </w:rPr>
          <w:t>Making Money Matter</w:t>
        </w:r>
      </w:hyperlink>
      <w:r w:rsidRPr="00E579D7">
        <w:rPr>
          <w:rFonts w:cstheme="minorHAnsi"/>
        </w:rPr>
        <w:t xml:space="preserve"> (M</w:t>
      </w:r>
      <w:r w:rsidRPr="00E579D7">
        <w:rPr>
          <w:rFonts w:cstheme="minorHAnsi"/>
          <w:vertAlign w:val="superscript"/>
        </w:rPr>
        <w:t>3</w:t>
      </w:r>
      <w:r w:rsidRPr="00E579D7">
        <w:rPr>
          <w:rFonts w:cstheme="minorHAnsi"/>
        </w:rPr>
        <w:t xml:space="preserve">, AKA "M-cubed") project, is part of the Massachusetts </w:t>
      </w:r>
      <w:hyperlink r:id="rId83" w:history="1">
        <w:r w:rsidRPr="0081340A">
          <w:rPr>
            <w:rStyle w:val="Hyperlink"/>
            <w:rFonts w:cstheme="minorHAnsi"/>
          </w:rPr>
          <w:t>Results Driven Accountability (RDA)</w:t>
        </w:r>
      </w:hyperlink>
      <w:r w:rsidRPr="00E579D7">
        <w:rPr>
          <w:rFonts w:cstheme="minorHAnsi"/>
        </w:rPr>
        <w:t xml:space="preserve"> initiative. This initiative is intended to promote targeted use of federal special education funds in ways that are designed to </w:t>
      </w:r>
      <w:r w:rsidR="002A52CE">
        <w:rPr>
          <w:rFonts w:cstheme="minorHAnsi"/>
        </w:rPr>
        <w:t>lea</w:t>
      </w:r>
      <w:r w:rsidRPr="00E579D7">
        <w:rPr>
          <w:rFonts w:cstheme="minorHAnsi"/>
        </w:rPr>
        <w:t xml:space="preserve">d to improved outcomes for students with Individualized Education Programs (IEPs). </w:t>
      </w:r>
      <w:r w:rsidR="00D10B05">
        <w:rPr>
          <w:rFonts w:cstheme="minorHAnsi"/>
        </w:rPr>
        <w:t>District</w:t>
      </w:r>
      <w:r w:rsidRPr="00E579D7">
        <w:rPr>
          <w:rFonts w:cstheme="minorHAnsi"/>
        </w:rPr>
        <w:t xml:space="preserve">s </w:t>
      </w:r>
      <w:r w:rsidR="00426A73">
        <w:rPr>
          <w:rFonts w:cstheme="minorHAnsi"/>
        </w:rPr>
        <w:t xml:space="preserve">determined as NI or NSI are </w:t>
      </w:r>
      <w:r w:rsidRPr="00E579D7">
        <w:rPr>
          <w:rFonts w:cstheme="minorHAnsi"/>
        </w:rPr>
        <w:t>identified for M</w:t>
      </w:r>
      <w:r w:rsidRPr="00E579D7">
        <w:rPr>
          <w:rFonts w:cstheme="minorHAnsi"/>
          <w:vertAlign w:val="superscript"/>
        </w:rPr>
        <w:t>3</w:t>
      </w:r>
      <w:r w:rsidRPr="00E579D7">
        <w:rPr>
          <w:rFonts w:cstheme="minorHAnsi"/>
        </w:rPr>
        <w:t xml:space="preserve"> participation </w:t>
      </w:r>
      <w:r w:rsidR="00426A73">
        <w:rPr>
          <w:rFonts w:cstheme="minorHAnsi"/>
        </w:rPr>
        <w:t xml:space="preserve">and </w:t>
      </w:r>
      <w:r w:rsidRPr="00E579D7">
        <w:rPr>
          <w:rFonts w:cstheme="minorHAnsi"/>
        </w:rPr>
        <w:t>are directed to use a portion of the funds made available under the IDEA Part B special education entitlement grant</w:t>
      </w:r>
      <w:r w:rsidR="009E485B">
        <w:rPr>
          <w:rFonts w:cstheme="minorHAnsi"/>
        </w:rPr>
        <w:t>s</w:t>
      </w:r>
      <w:r w:rsidRPr="00E579D7">
        <w:rPr>
          <w:rFonts w:cstheme="minorHAnsi"/>
        </w:rPr>
        <w:t xml:space="preserve">, known as Fund Code (FC) </w:t>
      </w:r>
      <w:r w:rsidRPr="00537FFC">
        <w:rPr>
          <w:rFonts w:cstheme="minorHAnsi"/>
        </w:rPr>
        <w:t>240</w:t>
      </w:r>
      <w:r w:rsidR="00E221D4" w:rsidRPr="00F46ACC">
        <w:rPr>
          <w:rFonts w:cstheme="minorHAnsi"/>
        </w:rPr>
        <w:t xml:space="preserve"> and (FC) 262</w:t>
      </w:r>
      <w:r w:rsidRPr="00E579D7">
        <w:rPr>
          <w:rFonts w:cstheme="minorHAnsi"/>
        </w:rPr>
        <w:t xml:space="preserve">, for the improvement of performance issues identified through </w:t>
      </w:r>
      <w:r w:rsidR="00FA7D40">
        <w:rPr>
          <w:rStyle w:val="eop"/>
          <w:rFonts w:cstheme="minorHAnsi"/>
          <w:color w:val="000000"/>
          <w:shd w:val="clear" w:color="auto" w:fill="FFFFFF"/>
        </w:rPr>
        <w:t xml:space="preserve">LEA </w:t>
      </w:r>
      <w:r w:rsidR="00FA7D40" w:rsidRPr="0077405F">
        <w:rPr>
          <w:rFonts w:cstheme="minorHAnsi"/>
        </w:rPr>
        <w:t>determinations</w:t>
      </w:r>
      <w:r w:rsidR="00FA7D40">
        <w:rPr>
          <w:rStyle w:val="eop"/>
          <w:rFonts w:cstheme="minorHAnsi"/>
          <w:color w:val="000000"/>
          <w:shd w:val="clear" w:color="auto" w:fill="FFFFFF"/>
        </w:rPr>
        <w:t>– the special education accountability and assistance system</w:t>
      </w:r>
      <w:r w:rsidRPr="00E579D7">
        <w:rPr>
          <w:rFonts w:cstheme="minorHAnsi"/>
        </w:rPr>
        <w:t xml:space="preserve">. </w:t>
      </w:r>
    </w:p>
    <w:p w14:paraId="4D6411D3" w14:textId="3F30ED46" w:rsidR="00AA7B0B" w:rsidRPr="00AA7B0B" w:rsidRDefault="00AA7B0B" w:rsidP="00AA7B0B">
      <w:pPr>
        <w:ind w:left="1440"/>
        <w:rPr>
          <w:rFonts w:cstheme="minorHAnsi"/>
        </w:rPr>
      </w:pPr>
      <w:r w:rsidRPr="00AA7B0B">
        <w:rPr>
          <w:rFonts w:cstheme="minorHAnsi"/>
        </w:rPr>
        <w:lastRenderedPageBreak/>
        <w:t>The title of this initiative, Making Money Matter, represents the power of leveraging a small percentage of funds to effect systemic impact on outcomes for students with IEPs. The nomenclature, M</w:t>
      </w:r>
      <w:r w:rsidRPr="005C1713">
        <w:rPr>
          <w:rFonts w:cstheme="minorHAnsi"/>
          <w:vertAlign w:val="superscript"/>
        </w:rPr>
        <w:t>3</w:t>
      </w:r>
      <w:r w:rsidRPr="00AA7B0B">
        <w:rPr>
          <w:rFonts w:cstheme="minorHAnsi"/>
        </w:rPr>
        <w:t> (M cubed) focuses on the exponential benefits districts can obtain with this set aside to outcomes for individual students through system level improvements.</w:t>
      </w:r>
    </w:p>
    <w:p w14:paraId="4861C4A3" w14:textId="2F592086" w:rsidR="00AC3523" w:rsidRDefault="00AC3523" w:rsidP="00426A73">
      <w:pPr>
        <w:ind w:left="1440"/>
        <w:rPr>
          <w:rFonts w:cstheme="minorHAnsi"/>
        </w:rPr>
      </w:pPr>
      <w:r w:rsidRPr="00E579D7">
        <w:rPr>
          <w:rFonts w:cstheme="minorHAnsi"/>
        </w:rPr>
        <w:t>M</w:t>
      </w:r>
      <w:r w:rsidRPr="00E579D7">
        <w:rPr>
          <w:rFonts w:cstheme="minorHAnsi"/>
          <w:vertAlign w:val="superscript"/>
        </w:rPr>
        <w:t>3</w:t>
      </w:r>
      <w:r w:rsidRPr="00E579D7">
        <w:rPr>
          <w:rFonts w:cstheme="minorHAnsi"/>
        </w:rPr>
        <w:t xml:space="preserve"> </w:t>
      </w:r>
      <w:r w:rsidR="00D10B05">
        <w:rPr>
          <w:rFonts w:cstheme="minorHAnsi"/>
        </w:rPr>
        <w:t>district</w:t>
      </w:r>
      <w:r w:rsidRPr="00E579D7">
        <w:rPr>
          <w:rFonts w:cstheme="minorHAnsi"/>
        </w:rPr>
        <w:t xml:space="preserve">s are required to direct at </w:t>
      </w:r>
      <w:r w:rsidR="002A52CE">
        <w:rPr>
          <w:rFonts w:cstheme="minorHAnsi"/>
        </w:rPr>
        <w:t>lea</w:t>
      </w:r>
      <w:r w:rsidRPr="00E579D7">
        <w:rPr>
          <w:rFonts w:cstheme="minorHAnsi"/>
        </w:rPr>
        <w:t xml:space="preserve">st 2% of their total special education entitlement allocation toward </w:t>
      </w:r>
      <w:r w:rsidR="00C20A48" w:rsidRPr="00E579D7">
        <w:rPr>
          <w:rFonts w:cstheme="minorHAnsi"/>
        </w:rPr>
        <w:t xml:space="preserve">targeted </w:t>
      </w:r>
      <w:r w:rsidR="00B0267E" w:rsidRPr="00AC6DE3">
        <w:rPr>
          <w:rFonts w:cstheme="minorHAnsi"/>
        </w:rPr>
        <w:t>systemic improvement of performance outcomes for students with disabilities</w:t>
      </w:r>
      <w:r w:rsidR="00B0267E" w:rsidRPr="00B0267E" w:rsidDel="00B0267E">
        <w:rPr>
          <w:rFonts w:cstheme="minorHAnsi"/>
        </w:rPr>
        <w:t xml:space="preserve"> </w:t>
      </w:r>
      <w:r w:rsidR="00E221D4" w:rsidRPr="002122C1">
        <w:rPr>
          <w:rFonts w:cstheme="minorHAnsi"/>
          <w:i/>
          <w:iCs/>
        </w:rPr>
        <w:t>in the areas of need identified</w:t>
      </w:r>
      <w:r w:rsidR="00E221D4" w:rsidRPr="007A2433">
        <w:rPr>
          <w:rFonts w:cstheme="minorHAnsi"/>
        </w:rPr>
        <w:t xml:space="preserve"> in the </w:t>
      </w:r>
      <w:hyperlink w:anchor="_Rubric" w:history="1">
        <w:r w:rsidR="00317264" w:rsidRPr="00E35BFD">
          <w:rPr>
            <w:rStyle w:val="Hyperlink"/>
            <w:rFonts w:cstheme="minorHAnsi"/>
          </w:rPr>
          <w:t xml:space="preserve">LEA </w:t>
        </w:r>
        <w:r w:rsidR="002C3EF4" w:rsidRPr="00E35BFD">
          <w:rPr>
            <w:rStyle w:val="Hyperlink"/>
            <w:rFonts w:cstheme="minorHAnsi"/>
          </w:rPr>
          <w:t>determination</w:t>
        </w:r>
        <w:r w:rsidR="00E221D4" w:rsidRPr="00E35BFD">
          <w:rPr>
            <w:rStyle w:val="Hyperlink"/>
            <w:rFonts w:cstheme="minorHAnsi"/>
          </w:rPr>
          <w:t xml:space="preserve"> rubric</w:t>
        </w:r>
      </w:hyperlink>
      <w:r w:rsidR="00E221D4" w:rsidRPr="007A2433">
        <w:rPr>
          <w:rFonts w:cstheme="minorHAnsi"/>
        </w:rPr>
        <w:t>.</w:t>
      </w:r>
      <w:r w:rsidRPr="00E579D7">
        <w:rPr>
          <w:rFonts w:cstheme="minorHAnsi"/>
        </w:rPr>
        <w:t xml:space="preserve"> </w:t>
      </w:r>
      <w:r w:rsidR="00D10B05">
        <w:rPr>
          <w:rFonts w:cstheme="minorHAnsi"/>
        </w:rPr>
        <w:t>District</w:t>
      </w:r>
      <w:r w:rsidRPr="00E579D7">
        <w:rPr>
          <w:rFonts w:cstheme="minorHAnsi"/>
        </w:rPr>
        <w:t>s may choose to direct more of their IDEA allocation toward M</w:t>
      </w:r>
      <w:r w:rsidRPr="00426A73">
        <w:rPr>
          <w:rFonts w:cstheme="minorHAnsi"/>
          <w:vertAlign w:val="superscript"/>
        </w:rPr>
        <w:t>3</w:t>
      </w:r>
      <w:r w:rsidRPr="00E579D7">
        <w:rPr>
          <w:rFonts w:cstheme="minorHAnsi"/>
        </w:rPr>
        <w:t xml:space="preserve"> activities </w:t>
      </w:r>
      <w:proofErr w:type="gramStart"/>
      <w:r w:rsidRPr="00E579D7">
        <w:rPr>
          <w:rFonts w:cstheme="minorHAnsi"/>
        </w:rPr>
        <w:t>in order to</w:t>
      </w:r>
      <w:proofErr w:type="gramEnd"/>
      <w:r w:rsidRPr="00E579D7">
        <w:rPr>
          <w:rFonts w:cstheme="minorHAnsi"/>
        </w:rPr>
        <w:t xml:space="preserve"> create meaningful and sustainable systemic change and to accelerate progress for students with IEPs. </w:t>
      </w:r>
    </w:p>
    <w:p w14:paraId="7BAA6D8C" w14:textId="4AB25930" w:rsidR="00AC6DE3" w:rsidRPr="00E579D7" w:rsidRDefault="00AC6DE3" w:rsidP="00426A73">
      <w:pPr>
        <w:ind w:left="1440"/>
        <w:rPr>
          <w:rFonts w:cstheme="minorHAnsi"/>
        </w:rPr>
      </w:pPr>
      <w:r w:rsidRPr="00AC6DE3">
        <w:rPr>
          <w:rFonts w:cstheme="minorHAnsi"/>
        </w:rPr>
        <w:t>All districts participating in M</w:t>
      </w:r>
      <w:r w:rsidRPr="009A5F98">
        <w:rPr>
          <w:rFonts w:cstheme="minorHAnsi"/>
          <w:vertAlign w:val="superscript"/>
        </w:rPr>
        <w:t>3</w:t>
      </w:r>
      <w:r w:rsidRPr="00AC6DE3">
        <w:rPr>
          <w:rFonts w:cstheme="minorHAnsi"/>
        </w:rPr>
        <w:t> must submit the </w:t>
      </w:r>
      <w:hyperlink r:id="rId84" w:history="1">
        <w:r w:rsidRPr="00AC6DE3">
          <w:rPr>
            <w:rStyle w:val="Hyperlink"/>
            <w:rFonts w:cstheme="minorHAnsi"/>
          </w:rPr>
          <w:t>M</w:t>
        </w:r>
        <w:r w:rsidRPr="009A5F98">
          <w:rPr>
            <w:rStyle w:val="Hyperlink"/>
            <w:rFonts w:cstheme="minorHAnsi"/>
            <w:vertAlign w:val="superscript"/>
          </w:rPr>
          <w:t>3</w:t>
        </w:r>
        <w:r w:rsidRPr="00AC6DE3">
          <w:rPr>
            <w:rStyle w:val="Hyperlink"/>
            <w:rFonts w:cstheme="minorHAnsi"/>
          </w:rPr>
          <w:t> Year-end Report </w:t>
        </w:r>
      </w:hyperlink>
      <w:r w:rsidRPr="00AC6DE3">
        <w:rPr>
          <w:rFonts w:cstheme="minorHAnsi"/>
        </w:rPr>
        <w:t>by June 30.</w:t>
      </w:r>
    </w:p>
    <w:p w14:paraId="3EA88647" w14:textId="38AC028C" w:rsidR="00556AD8" w:rsidRDefault="00B37FE1" w:rsidP="00C81FE9">
      <w:pPr>
        <w:ind w:left="1080"/>
        <w:rPr>
          <w:rFonts w:eastAsia="Calibri" w:cstheme="minorHAnsi"/>
          <w:b/>
          <w:bCs/>
        </w:rPr>
      </w:pPr>
      <w:r w:rsidRPr="00B37FE1">
        <w:rPr>
          <w:rFonts w:eastAsia="Calibri" w:cstheme="minorHAnsi"/>
          <w:b/>
          <w:bCs/>
        </w:rPr>
        <w:t>Which districts must participate and for how long?</w:t>
      </w:r>
      <w:r w:rsidR="00556AD8">
        <w:rPr>
          <w:rFonts w:eastAsia="Calibri" w:cstheme="minorHAnsi"/>
          <w:b/>
          <w:bCs/>
        </w:rPr>
        <w:t xml:space="preserve"> </w:t>
      </w:r>
    </w:p>
    <w:p w14:paraId="00BDA12E" w14:textId="61741624" w:rsidR="00630894" w:rsidRPr="00630894" w:rsidRDefault="00630894" w:rsidP="00630894">
      <w:pPr>
        <w:ind w:left="1440"/>
        <w:rPr>
          <w:rFonts w:eastAsia="Calibri" w:cstheme="minorHAnsi"/>
        </w:rPr>
      </w:pPr>
      <w:bookmarkStart w:id="29" w:name="_Hlk117856597"/>
      <w:r w:rsidRPr="00630894">
        <w:rPr>
          <w:rFonts w:eastAsia="Calibri" w:cstheme="minorHAnsi"/>
        </w:rPr>
        <w:t>Districts required to participate in M</w:t>
      </w:r>
      <w:r w:rsidRPr="00D80C78">
        <w:rPr>
          <w:rFonts w:eastAsia="Calibri" w:cstheme="minorHAnsi"/>
          <w:vertAlign w:val="superscript"/>
        </w:rPr>
        <w:t>3</w:t>
      </w:r>
      <w:r w:rsidRPr="00630894">
        <w:rPr>
          <w:rFonts w:eastAsia="Calibri" w:cstheme="minorHAnsi"/>
        </w:rPr>
        <w:t xml:space="preserve"> are those with a </w:t>
      </w:r>
      <w:r w:rsidR="00967DB6">
        <w:rPr>
          <w:rFonts w:eastAsia="Calibri" w:cstheme="minorHAnsi"/>
        </w:rPr>
        <w:t xml:space="preserve">LEA </w:t>
      </w:r>
      <w:r w:rsidR="002C3EF4" w:rsidRPr="007F4AFA">
        <w:rPr>
          <w:rFonts w:eastAsia="Calibri" w:cstheme="minorHAnsi"/>
        </w:rPr>
        <w:t>determination</w:t>
      </w:r>
      <w:r w:rsidRPr="00630894">
        <w:rPr>
          <w:rFonts w:eastAsia="Calibri" w:cstheme="minorHAnsi"/>
        </w:rPr>
        <w:t xml:space="preserve"> level of Needs Intervention (NI)</w:t>
      </w:r>
      <w:r w:rsidR="007D727F">
        <w:rPr>
          <w:rFonts w:eastAsia="Calibri" w:cstheme="minorHAnsi"/>
        </w:rPr>
        <w:t xml:space="preserve"> or </w:t>
      </w:r>
      <w:r w:rsidR="00CD7403">
        <w:rPr>
          <w:rFonts w:eastAsia="Calibri" w:cstheme="minorHAnsi"/>
        </w:rPr>
        <w:t>Need Substantial Intervention (NSI)</w:t>
      </w:r>
      <w:r w:rsidRPr="00630894">
        <w:rPr>
          <w:rFonts w:eastAsia="Calibri" w:cstheme="minorHAnsi"/>
        </w:rPr>
        <w:t>.</w:t>
      </w:r>
    </w:p>
    <w:bookmarkEnd w:id="29"/>
    <w:p w14:paraId="45D63068" w14:textId="79D5A3E1" w:rsidR="00556AD8" w:rsidRDefault="00630894" w:rsidP="004F5BEB">
      <w:pPr>
        <w:ind w:left="1440"/>
        <w:rPr>
          <w:rFonts w:eastAsia="Calibri" w:cstheme="minorHAnsi"/>
        </w:rPr>
      </w:pPr>
      <w:r w:rsidRPr="00630894">
        <w:rPr>
          <w:rFonts w:eastAsia="Calibri" w:cstheme="minorHAnsi"/>
        </w:rPr>
        <w:t>Districts that have been designated for participation previously and have participated for less than 3 years are encouraged to continue so that they can complete the goals of their 3-year strategic improvement plan.</w:t>
      </w:r>
    </w:p>
    <w:p w14:paraId="3F9BEA93" w14:textId="0F0ECAE9" w:rsidR="0051343B" w:rsidRPr="00E579D7" w:rsidRDefault="0051343B" w:rsidP="00C81FE9">
      <w:pPr>
        <w:ind w:left="1080"/>
        <w:rPr>
          <w:rFonts w:eastAsia="Calibri" w:cstheme="minorHAnsi"/>
        </w:rPr>
      </w:pPr>
      <w:r w:rsidRPr="00E579D7">
        <w:rPr>
          <w:rFonts w:eastAsia="Calibri" w:cstheme="minorHAnsi"/>
          <w:b/>
          <w:bCs/>
        </w:rPr>
        <w:t xml:space="preserve">If a </w:t>
      </w:r>
      <w:r w:rsidR="00221516" w:rsidRPr="00221516">
        <w:rPr>
          <w:rFonts w:eastAsia="Calibri" w:cstheme="minorHAnsi"/>
          <w:b/>
          <w:bCs/>
        </w:rPr>
        <w:t>district</w:t>
      </w:r>
      <w:r w:rsidRPr="00E579D7">
        <w:rPr>
          <w:rFonts w:eastAsia="Calibri" w:cstheme="minorHAnsi"/>
          <w:b/>
          <w:bCs/>
        </w:rPr>
        <w:t xml:space="preserve"> received a N</w:t>
      </w:r>
      <w:r w:rsidR="00861A6B">
        <w:rPr>
          <w:rFonts w:eastAsia="Calibri" w:cstheme="minorHAnsi"/>
          <w:b/>
          <w:bCs/>
        </w:rPr>
        <w:t>I</w:t>
      </w:r>
      <w:r w:rsidRPr="00E579D7">
        <w:rPr>
          <w:rFonts w:eastAsia="Calibri" w:cstheme="minorHAnsi"/>
          <w:b/>
          <w:bCs/>
        </w:rPr>
        <w:t xml:space="preserve"> </w:t>
      </w:r>
      <w:r w:rsidR="00861A6B">
        <w:rPr>
          <w:rFonts w:eastAsia="Calibri" w:cstheme="minorHAnsi"/>
          <w:b/>
          <w:bCs/>
        </w:rPr>
        <w:t xml:space="preserve">or NSI </w:t>
      </w:r>
      <w:r w:rsidRPr="00E579D7">
        <w:rPr>
          <w:rFonts w:eastAsia="Calibri" w:cstheme="minorHAnsi"/>
          <w:b/>
          <w:bCs/>
        </w:rPr>
        <w:t>de</w:t>
      </w:r>
      <w:r w:rsidR="00861A6B">
        <w:rPr>
          <w:rFonts w:eastAsia="Calibri" w:cstheme="minorHAnsi"/>
          <w:b/>
          <w:bCs/>
        </w:rPr>
        <w:t xml:space="preserve">termination </w:t>
      </w:r>
      <w:r w:rsidRPr="00E579D7">
        <w:rPr>
          <w:rFonts w:eastAsia="Calibri" w:cstheme="minorHAnsi"/>
          <w:b/>
          <w:bCs/>
        </w:rPr>
        <w:t xml:space="preserve">last year and </w:t>
      </w:r>
      <w:r w:rsidR="00861A6B">
        <w:rPr>
          <w:rFonts w:eastAsia="Calibri" w:cstheme="minorHAnsi"/>
          <w:b/>
          <w:bCs/>
        </w:rPr>
        <w:t>was required</w:t>
      </w:r>
      <w:r w:rsidRPr="00E579D7">
        <w:rPr>
          <w:rFonts w:eastAsia="Calibri" w:cstheme="minorHAnsi"/>
          <w:b/>
          <w:bCs/>
        </w:rPr>
        <w:t xml:space="preserve"> to begin the </w:t>
      </w:r>
      <w:r w:rsidR="00861A6B">
        <w:rPr>
          <w:rFonts w:cstheme="minorHAnsi"/>
          <w:b/>
          <w:bCs/>
        </w:rPr>
        <w:t xml:space="preserve">improvement planning and implementation </w:t>
      </w:r>
      <w:r w:rsidR="00861A6B" w:rsidRPr="00E579D7">
        <w:rPr>
          <w:rFonts w:cstheme="minorHAnsi"/>
          <w:b/>
          <w:bCs/>
        </w:rPr>
        <w:t>process</w:t>
      </w:r>
      <w:r w:rsidR="00861A6B">
        <w:rPr>
          <w:rFonts w:cstheme="minorHAnsi"/>
          <w:b/>
          <w:bCs/>
        </w:rPr>
        <w:t xml:space="preserve"> including </w:t>
      </w:r>
      <w:r w:rsidR="00861A6B">
        <w:rPr>
          <w:rFonts w:eastAsia="Calibri" w:cstheme="minorHAnsi"/>
          <w:b/>
          <w:bCs/>
        </w:rPr>
        <w:t>M</w:t>
      </w:r>
      <w:r w:rsidR="00861A6B" w:rsidRPr="00861A6B">
        <w:rPr>
          <w:rFonts w:eastAsia="Calibri" w:cstheme="minorHAnsi"/>
          <w:b/>
          <w:bCs/>
          <w:vertAlign w:val="superscript"/>
        </w:rPr>
        <w:t>3</w:t>
      </w:r>
      <w:r w:rsidRPr="00E579D7">
        <w:rPr>
          <w:rFonts w:eastAsia="Calibri" w:cstheme="minorHAnsi"/>
          <w:b/>
          <w:bCs/>
        </w:rPr>
        <w:t xml:space="preserve">, but received a </w:t>
      </w:r>
      <w:r w:rsidR="00861A6B">
        <w:rPr>
          <w:rFonts w:eastAsia="Calibri" w:cstheme="minorHAnsi"/>
          <w:b/>
          <w:bCs/>
        </w:rPr>
        <w:t>MR determination</w:t>
      </w:r>
      <w:r w:rsidRPr="00E579D7">
        <w:rPr>
          <w:rFonts w:eastAsia="Calibri" w:cstheme="minorHAnsi"/>
          <w:b/>
          <w:bCs/>
        </w:rPr>
        <w:t xml:space="preserve"> this year, how does that impact Making Money Matter?</w:t>
      </w:r>
    </w:p>
    <w:p w14:paraId="5B82EE2E" w14:textId="556B81CD" w:rsidR="0051343B" w:rsidRPr="00E579D7" w:rsidRDefault="0051343B" w:rsidP="00163231">
      <w:pPr>
        <w:ind w:left="1440"/>
        <w:rPr>
          <w:rFonts w:eastAsia="Calibri" w:cstheme="minorHAnsi"/>
        </w:rPr>
      </w:pPr>
      <w:r w:rsidRPr="00E579D7">
        <w:rPr>
          <w:rFonts w:eastAsia="Calibri" w:cstheme="minorHAnsi"/>
        </w:rPr>
        <w:t xml:space="preserve">If the </w:t>
      </w:r>
      <w:r w:rsidR="00D10B05">
        <w:rPr>
          <w:rFonts w:eastAsia="Calibri" w:cstheme="minorHAnsi"/>
        </w:rPr>
        <w:t>district</w:t>
      </w:r>
      <w:r w:rsidRPr="00E579D7">
        <w:rPr>
          <w:rFonts w:eastAsia="Calibri" w:cstheme="minorHAnsi"/>
        </w:rPr>
        <w:t xml:space="preserve"> has already been an M</w:t>
      </w:r>
      <w:r w:rsidRPr="00D52753">
        <w:rPr>
          <w:rFonts w:eastAsia="Calibri" w:cstheme="minorHAnsi"/>
          <w:vertAlign w:val="superscript"/>
        </w:rPr>
        <w:t>3</w:t>
      </w:r>
      <w:r w:rsidRPr="00E579D7">
        <w:rPr>
          <w:rFonts w:eastAsia="Calibri" w:cstheme="minorHAnsi"/>
        </w:rPr>
        <w:t xml:space="preserve"> participant for at </w:t>
      </w:r>
      <w:r w:rsidR="002A52CE">
        <w:rPr>
          <w:rFonts w:eastAsia="Calibri" w:cstheme="minorHAnsi"/>
        </w:rPr>
        <w:t>lea</w:t>
      </w:r>
      <w:r w:rsidRPr="00E579D7">
        <w:rPr>
          <w:rFonts w:eastAsia="Calibri" w:cstheme="minorHAnsi"/>
        </w:rPr>
        <w:t>st 3 years, they will not be required to participate in M</w:t>
      </w:r>
      <w:r w:rsidRPr="00D52753">
        <w:rPr>
          <w:rFonts w:eastAsia="Calibri" w:cstheme="minorHAnsi"/>
          <w:vertAlign w:val="superscript"/>
        </w:rPr>
        <w:t>3</w:t>
      </w:r>
      <w:r w:rsidRPr="00E579D7">
        <w:rPr>
          <w:rFonts w:eastAsia="Calibri" w:cstheme="minorHAnsi"/>
        </w:rPr>
        <w:t xml:space="preserve"> </w:t>
      </w:r>
      <w:proofErr w:type="gramStart"/>
      <w:r w:rsidRPr="00E579D7">
        <w:rPr>
          <w:rFonts w:eastAsia="Calibri" w:cstheme="minorHAnsi"/>
        </w:rPr>
        <w:t>as long as</w:t>
      </w:r>
      <w:proofErr w:type="gramEnd"/>
      <w:r w:rsidRPr="00E579D7">
        <w:rPr>
          <w:rFonts w:eastAsia="Calibri" w:cstheme="minorHAnsi"/>
        </w:rPr>
        <w:t xml:space="preserve"> their </w:t>
      </w:r>
      <w:r w:rsidR="00BF6A31">
        <w:rPr>
          <w:rFonts w:eastAsia="Calibri" w:cstheme="minorHAnsi"/>
        </w:rPr>
        <w:t xml:space="preserve">LEA </w:t>
      </w:r>
      <w:r w:rsidR="002C3EF4" w:rsidRPr="00BF6A31">
        <w:rPr>
          <w:rFonts w:eastAsia="Calibri" w:cstheme="minorHAnsi"/>
        </w:rPr>
        <w:t>determination</w:t>
      </w:r>
      <w:r w:rsidRPr="00E579D7">
        <w:rPr>
          <w:rFonts w:eastAsia="Calibri" w:cstheme="minorHAnsi"/>
        </w:rPr>
        <w:t xml:space="preserve"> is </w:t>
      </w:r>
      <w:r w:rsidRPr="00FC6602">
        <w:rPr>
          <w:rFonts w:eastAsia="Calibri" w:cstheme="minorHAnsi"/>
        </w:rPr>
        <w:t>Meet</w:t>
      </w:r>
      <w:r w:rsidR="00556AD8" w:rsidRPr="00FC6602">
        <w:rPr>
          <w:rFonts w:eastAsia="Calibri" w:cstheme="minorHAnsi"/>
        </w:rPr>
        <w:t>s</w:t>
      </w:r>
      <w:r w:rsidRPr="00FC6602">
        <w:rPr>
          <w:rFonts w:eastAsia="Calibri" w:cstheme="minorHAnsi"/>
        </w:rPr>
        <w:t xml:space="preserve"> </w:t>
      </w:r>
      <w:r w:rsidR="00556AD8" w:rsidRPr="00FC6602">
        <w:rPr>
          <w:rFonts w:eastAsia="Calibri" w:cstheme="minorHAnsi"/>
        </w:rPr>
        <w:t>Requirements (MR)</w:t>
      </w:r>
      <w:r w:rsidRPr="00FC6602">
        <w:rPr>
          <w:rFonts w:eastAsia="Calibri" w:cstheme="minorHAnsi"/>
        </w:rPr>
        <w:t>.</w:t>
      </w:r>
      <w:r w:rsidRPr="00E579D7">
        <w:rPr>
          <w:rFonts w:eastAsia="Calibri" w:cstheme="minorHAnsi"/>
        </w:rPr>
        <w:t xml:space="preserve"> </w:t>
      </w:r>
    </w:p>
    <w:p w14:paraId="48F84050" w14:textId="56B8153F" w:rsidR="0051343B" w:rsidRDefault="008A4978" w:rsidP="00163231">
      <w:pPr>
        <w:ind w:left="1440"/>
        <w:rPr>
          <w:rFonts w:eastAsia="Calibri" w:cstheme="minorHAnsi"/>
        </w:rPr>
      </w:pPr>
      <w:r>
        <w:rPr>
          <w:rFonts w:eastAsia="Calibri" w:cstheme="minorHAnsi"/>
        </w:rPr>
        <w:t>The Department</w:t>
      </w:r>
      <w:r w:rsidR="0051343B" w:rsidRPr="00E579D7">
        <w:rPr>
          <w:rFonts w:eastAsia="Calibri" w:cstheme="minorHAnsi"/>
        </w:rPr>
        <w:t xml:space="preserve"> encourage</w:t>
      </w:r>
      <w:r>
        <w:rPr>
          <w:rFonts w:eastAsia="Calibri" w:cstheme="minorHAnsi"/>
        </w:rPr>
        <w:t>s</w:t>
      </w:r>
      <w:r w:rsidR="0051343B" w:rsidRPr="00E579D7">
        <w:rPr>
          <w:rFonts w:eastAsia="Calibri" w:cstheme="minorHAnsi"/>
        </w:rPr>
        <w:t xml:space="preserve"> </w:t>
      </w:r>
      <w:r w:rsidR="00D10B05">
        <w:rPr>
          <w:rFonts w:eastAsia="Calibri" w:cstheme="minorHAnsi"/>
        </w:rPr>
        <w:t>district</w:t>
      </w:r>
      <w:r w:rsidR="0051343B" w:rsidRPr="00E579D7">
        <w:rPr>
          <w:rFonts w:eastAsia="Calibri" w:cstheme="minorHAnsi"/>
        </w:rPr>
        <w:t>s that no longer need to participate in M</w:t>
      </w:r>
      <w:r w:rsidR="0051343B" w:rsidRPr="00D52753">
        <w:rPr>
          <w:rFonts w:eastAsia="Calibri" w:cstheme="minorHAnsi"/>
          <w:vertAlign w:val="superscript"/>
        </w:rPr>
        <w:t>3</w:t>
      </w:r>
      <w:r w:rsidR="0051343B" w:rsidRPr="00E579D7">
        <w:rPr>
          <w:rFonts w:eastAsia="Calibri" w:cstheme="minorHAnsi"/>
        </w:rPr>
        <w:t xml:space="preserve"> to continue the activities they began with M</w:t>
      </w:r>
      <w:r w:rsidR="0051343B" w:rsidRPr="00D52753">
        <w:rPr>
          <w:rFonts w:eastAsia="Calibri" w:cstheme="minorHAnsi"/>
          <w:vertAlign w:val="superscript"/>
        </w:rPr>
        <w:t>3</w:t>
      </w:r>
      <w:r w:rsidR="0051343B" w:rsidRPr="00E579D7">
        <w:rPr>
          <w:rFonts w:eastAsia="Calibri" w:cstheme="minorHAnsi"/>
        </w:rPr>
        <w:t xml:space="preserve">. Those </w:t>
      </w:r>
      <w:r w:rsidR="00D10B05">
        <w:rPr>
          <w:rFonts w:eastAsia="Calibri" w:cstheme="minorHAnsi"/>
        </w:rPr>
        <w:t>district</w:t>
      </w:r>
      <w:r w:rsidR="0051343B" w:rsidRPr="00E579D7">
        <w:rPr>
          <w:rFonts w:eastAsia="Calibri" w:cstheme="minorHAnsi"/>
        </w:rPr>
        <w:t>s can continue to use their special education funds for those activities and strategies identified through the M</w:t>
      </w:r>
      <w:r w:rsidR="0051343B" w:rsidRPr="00D52753">
        <w:rPr>
          <w:rFonts w:eastAsia="Calibri" w:cstheme="minorHAnsi"/>
          <w:vertAlign w:val="superscript"/>
        </w:rPr>
        <w:t>3</w:t>
      </w:r>
      <w:r w:rsidR="0051343B" w:rsidRPr="00E579D7">
        <w:rPr>
          <w:rFonts w:eastAsia="Calibri" w:cstheme="minorHAnsi"/>
        </w:rPr>
        <w:t xml:space="preserve"> process at the discretion of the </w:t>
      </w:r>
      <w:r w:rsidR="00D10B05">
        <w:rPr>
          <w:rFonts w:eastAsia="Calibri" w:cstheme="minorHAnsi"/>
        </w:rPr>
        <w:t>district</w:t>
      </w:r>
      <w:r w:rsidR="00E81EB9" w:rsidRPr="00E579D7">
        <w:rPr>
          <w:rFonts w:eastAsia="Calibri" w:cstheme="minorHAnsi"/>
        </w:rPr>
        <w:t xml:space="preserve"> but</w:t>
      </w:r>
      <w:r w:rsidR="0051343B" w:rsidRPr="00E579D7">
        <w:rPr>
          <w:rFonts w:eastAsia="Calibri" w:cstheme="minorHAnsi"/>
        </w:rPr>
        <w:t xml:space="preserve"> are not required to by DESE.</w:t>
      </w:r>
    </w:p>
    <w:p w14:paraId="2EFD3576" w14:textId="1499F64D" w:rsidR="00B47000" w:rsidRPr="00B47000" w:rsidRDefault="00B47000" w:rsidP="00B47000">
      <w:pPr>
        <w:ind w:left="720"/>
        <w:rPr>
          <w:rFonts w:eastAsia="Calibri" w:cstheme="minorHAnsi"/>
          <w:b/>
          <w:bCs/>
        </w:rPr>
      </w:pPr>
      <w:r w:rsidRPr="00B47000">
        <w:rPr>
          <w:rFonts w:eastAsia="Calibri" w:cstheme="minorHAnsi"/>
          <w:b/>
          <w:bCs/>
        </w:rPr>
        <w:t>What are some examples of evidence-based planning frameworks?</w:t>
      </w:r>
    </w:p>
    <w:p w14:paraId="125DCB50" w14:textId="77777777" w:rsidR="00B47000" w:rsidRPr="00B47000" w:rsidRDefault="00000000" w:rsidP="00201ABB">
      <w:pPr>
        <w:pStyle w:val="NormalWeb"/>
        <w:numPr>
          <w:ilvl w:val="0"/>
          <w:numId w:val="9"/>
        </w:numPr>
        <w:spacing w:before="0" w:beforeAutospacing="0"/>
        <w:rPr>
          <w:rStyle w:val="Hyperlink"/>
        </w:rPr>
      </w:pPr>
      <w:hyperlink r:id="rId85" w:history="1">
        <w:r w:rsidR="00B47000" w:rsidRPr="00B47000">
          <w:rPr>
            <w:rStyle w:val="Hyperlink"/>
            <w:rFonts w:asciiTheme="minorHAnsi" w:hAnsiTheme="minorHAnsi" w:cstheme="minorHAnsi"/>
            <w:sz w:val="22"/>
            <w:szCs w:val="22"/>
          </w:rPr>
          <w:t>Planning for Success</w:t>
        </w:r>
      </w:hyperlink>
      <w:r w:rsidR="00B47000" w:rsidRPr="00B47000">
        <w:rPr>
          <w:rStyle w:val="Hyperlink"/>
        </w:rPr>
        <w:t xml:space="preserve"> </w:t>
      </w:r>
    </w:p>
    <w:p w14:paraId="334D7622" w14:textId="77777777" w:rsidR="00B47000" w:rsidRPr="004755DA" w:rsidRDefault="00000000" w:rsidP="00201ABB">
      <w:pPr>
        <w:pStyle w:val="NormalWeb"/>
        <w:numPr>
          <w:ilvl w:val="0"/>
          <w:numId w:val="9"/>
        </w:numPr>
        <w:rPr>
          <w:rFonts w:asciiTheme="minorHAnsi" w:hAnsiTheme="minorHAnsi" w:cstheme="minorHAnsi"/>
          <w:color w:val="222222"/>
          <w:sz w:val="22"/>
          <w:szCs w:val="22"/>
        </w:rPr>
      </w:pPr>
      <w:hyperlink r:id="rId86" w:history="1">
        <w:r w:rsidR="00B47000" w:rsidRPr="004755DA">
          <w:rPr>
            <w:rStyle w:val="Hyperlink"/>
            <w:rFonts w:asciiTheme="minorHAnsi" w:hAnsiTheme="minorHAnsi" w:cstheme="minorHAnsi"/>
            <w:sz w:val="22"/>
            <w:szCs w:val="22"/>
          </w:rPr>
          <w:t>Success Gaps Toolkit: Addressing Equity, Inclusion, and Opportunity</w:t>
        </w:r>
      </w:hyperlink>
      <w:r w:rsidR="00B47000" w:rsidRPr="004755DA">
        <w:rPr>
          <w:rFonts w:asciiTheme="minorHAnsi" w:hAnsiTheme="minorHAnsi" w:cstheme="minorHAnsi"/>
          <w:color w:val="222222"/>
          <w:sz w:val="22"/>
          <w:szCs w:val="22"/>
        </w:rPr>
        <w:t xml:space="preserve"> </w:t>
      </w:r>
    </w:p>
    <w:p w14:paraId="3DB9C76D" w14:textId="6AF3887B" w:rsidR="004755DA" w:rsidRPr="004755DA" w:rsidRDefault="00000000" w:rsidP="00201ABB">
      <w:pPr>
        <w:pStyle w:val="NormalWeb"/>
        <w:numPr>
          <w:ilvl w:val="0"/>
          <w:numId w:val="9"/>
        </w:numPr>
        <w:spacing w:before="0"/>
        <w:rPr>
          <w:rFonts w:asciiTheme="minorHAnsi" w:hAnsiTheme="minorHAnsi" w:cstheme="minorHAnsi"/>
          <w:color w:val="222222"/>
          <w:sz w:val="22"/>
          <w:szCs w:val="22"/>
        </w:rPr>
      </w:pPr>
      <w:hyperlink r:id="rId87" w:history="1">
        <w:r w:rsidR="004755DA" w:rsidRPr="004755DA">
          <w:rPr>
            <w:rStyle w:val="Hyperlink"/>
            <w:rFonts w:asciiTheme="minorHAnsi" w:hAnsiTheme="minorHAnsi" w:cstheme="minorHAnsi"/>
            <w:sz w:val="22"/>
            <w:szCs w:val="22"/>
          </w:rPr>
          <w:t xml:space="preserve">DESE </w:t>
        </w:r>
        <w:r w:rsidR="00D10B05">
          <w:rPr>
            <w:rStyle w:val="Hyperlink"/>
            <w:rFonts w:asciiTheme="minorHAnsi" w:hAnsiTheme="minorHAnsi" w:cstheme="minorHAnsi"/>
            <w:sz w:val="22"/>
            <w:szCs w:val="22"/>
          </w:rPr>
          <w:t>District</w:t>
        </w:r>
        <w:r w:rsidR="004755DA" w:rsidRPr="004755DA">
          <w:rPr>
            <w:rStyle w:val="Hyperlink"/>
            <w:rFonts w:asciiTheme="minorHAnsi" w:hAnsiTheme="minorHAnsi" w:cstheme="minorHAnsi"/>
            <w:sz w:val="22"/>
            <w:szCs w:val="22"/>
          </w:rPr>
          <w:t xml:space="preserve"> Data Team Toolkit</w:t>
        </w:r>
      </w:hyperlink>
    </w:p>
    <w:p w14:paraId="1B24689B" w14:textId="77777777" w:rsidR="00B47000" w:rsidRPr="004755DA" w:rsidRDefault="00000000" w:rsidP="00201ABB">
      <w:pPr>
        <w:pStyle w:val="NormalWeb"/>
        <w:numPr>
          <w:ilvl w:val="0"/>
          <w:numId w:val="9"/>
        </w:numPr>
        <w:spacing w:before="0" w:beforeAutospacing="0"/>
        <w:rPr>
          <w:rFonts w:asciiTheme="minorHAnsi" w:hAnsiTheme="minorHAnsi" w:cstheme="minorHAnsi"/>
          <w:color w:val="222222"/>
          <w:sz w:val="22"/>
          <w:szCs w:val="22"/>
        </w:rPr>
      </w:pPr>
      <w:hyperlink r:id="rId88" w:history="1">
        <w:r w:rsidR="00B47000" w:rsidRPr="004755DA">
          <w:rPr>
            <w:rStyle w:val="Hyperlink"/>
            <w:rFonts w:asciiTheme="minorHAnsi" w:hAnsiTheme="minorHAnsi" w:cstheme="minorHAnsi"/>
            <w:sz w:val="22"/>
            <w:szCs w:val="22"/>
          </w:rPr>
          <w:t>Active Implementation</w:t>
        </w:r>
      </w:hyperlink>
    </w:p>
    <w:p w14:paraId="5ECDCB23" w14:textId="77777777" w:rsidR="00B47000" w:rsidRPr="004755DA" w:rsidRDefault="00000000" w:rsidP="00201ABB">
      <w:pPr>
        <w:pStyle w:val="NormalWeb"/>
        <w:numPr>
          <w:ilvl w:val="0"/>
          <w:numId w:val="9"/>
        </w:numPr>
        <w:spacing w:before="0" w:beforeAutospacing="0"/>
        <w:rPr>
          <w:rFonts w:asciiTheme="minorHAnsi" w:hAnsiTheme="minorHAnsi" w:cstheme="minorHAnsi"/>
          <w:color w:val="222222"/>
          <w:sz w:val="22"/>
          <w:szCs w:val="22"/>
        </w:rPr>
      </w:pPr>
      <w:hyperlink r:id="rId89" w:history="1">
        <w:r w:rsidR="00B47000" w:rsidRPr="004755DA">
          <w:rPr>
            <w:rStyle w:val="Hyperlink"/>
            <w:rFonts w:asciiTheme="minorHAnsi" w:hAnsiTheme="minorHAnsi" w:cstheme="minorHAnsi"/>
            <w:sz w:val="22"/>
            <w:szCs w:val="22"/>
          </w:rPr>
          <w:t>Data Wise</w:t>
        </w:r>
      </w:hyperlink>
    </w:p>
    <w:p w14:paraId="0855B988" w14:textId="1BE6BC32" w:rsidR="00B47000" w:rsidRPr="00B47000" w:rsidRDefault="00B47000" w:rsidP="008C16E8">
      <w:pPr>
        <w:pStyle w:val="ListParagraph"/>
        <w:spacing w:after="240"/>
        <w:rPr>
          <w:rFonts w:asciiTheme="minorHAnsi" w:hAnsiTheme="minorHAnsi" w:cstheme="minorHAnsi"/>
          <w:b/>
          <w:bCs/>
          <w:sz w:val="22"/>
          <w:szCs w:val="22"/>
        </w:rPr>
      </w:pPr>
      <w:r w:rsidRPr="00B47000">
        <w:rPr>
          <w:rFonts w:asciiTheme="minorHAnsi" w:hAnsiTheme="minorHAnsi" w:cstheme="minorHAnsi"/>
          <w:b/>
          <w:bCs/>
          <w:sz w:val="22"/>
          <w:szCs w:val="22"/>
        </w:rPr>
        <w:t>What if the evidence-based planning framework we are using isn’t in that list?</w:t>
      </w:r>
    </w:p>
    <w:p w14:paraId="61AAA2D3" w14:textId="32BB51E0" w:rsidR="00B47000" w:rsidRPr="00B47000" w:rsidRDefault="00B47000" w:rsidP="00B47000">
      <w:pPr>
        <w:ind w:left="1440"/>
        <w:rPr>
          <w:rFonts w:eastAsia="Calibri" w:cstheme="minorHAnsi"/>
        </w:rPr>
      </w:pPr>
      <w:r w:rsidRPr="00B47000">
        <w:rPr>
          <w:rFonts w:eastAsia="Calibri" w:cstheme="minorHAnsi"/>
        </w:rPr>
        <w:t xml:space="preserve">Any other planning frameworks used, </w:t>
      </w:r>
      <w:r w:rsidR="00E303A3">
        <w:rPr>
          <w:rFonts w:eastAsia="Calibri" w:cstheme="minorHAnsi"/>
        </w:rPr>
        <w:t>should</w:t>
      </w:r>
      <w:r w:rsidRPr="00B47000">
        <w:rPr>
          <w:rFonts w:eastAsia="Calibri" w:cstheme="minorHAnsi"/>
        </w:rPr>
        <w:t xml:space="preserve"> include the following essential elements:</w:t>
      </w:r>
    </w:p>
    <w:p w14:paraId="6A35672B" w14:textId="77777777" w:rsidR="00B47000" w:rsidRPr="00B47000" w:rsidRDefault="00B47000" w:rsidP="00201ABB">
      <w:pPr>
        <w:pStyle w:val="ListParagraph"/>
        <w:numPr>
          <w:ilvl w:val="0"/>
          <w:numId w:val="10"/>
        </w:numPr>
        <w:rPr>
          <w:rFonts w:asciiTheme="minorHAnsi" w:eastAsia="Calibri" w:hAnsiTheme="minorHAnsi" w:cstheme="minorHAnsi"/>
          <w:sz w:val="22"/>
          <w:szCs w:val="22"/>
        </w:rPr>
      </w:pPr>
      <w:r w:rsidRPr="00B47000">
        <w:rPr>
          <w:rFonts w:asciiTheme="minorHAnsi" w:eastAsia="Calibri" w:hAnsiTheme="minorHAnsi" w:cstheme="minorHAnsi"/>
          <w:sz w:val="22"/>
          <w:szCs w:val="22"/>
        </w:rPr>
        <w:t>Data-based Decision Making</w:t>
      </w:r>
    </w:p>
    <w:p w14:paraId="1DC3D9C1" w14:textId="77777777" w:rsidR="00B47000" w:rsidRPr="00B47000" w:rsidRDefault="00B47000" w:rsidP="00201ABB">
      <w:pPr>
        <w:pStyle w:val="ListParagraph"/>
        <w:numPr>
          <w:ilvl w:val="0"/>
          <w:numId w:val="10"/>
        </w:numPr>
        <w:rPr>
          <w:rFonts w:asciiTheme="minorHAnsi" w:eastAsia="Calibri" w:hAnsiTheme="minorHAnsi" w:cstheme="minorHAnsi"/>
          <w:sz w:val="22"/>
          <w:szCs w:val="22"/>
        </w:rPr>
      </w:pPr>
      <w:r w:rsidRPr="00B47000">
        <w:rPr>
          <w:rFonts w:asciiTheme="minorHAnsi" w:eastAsia="Calibri" w:hAnsiTheme="minorHAnsi" w:cstheme="minorHAnsi"/>
          <w:sz w:val="22"/>
          <w:szCs w:val="22"/>
        </w:rPr>
        <w:t>Cultural Responsiveness</w:t>
      </w:r>
    </w:p>
    <w:p w14:paraId="7D8581A0" w14:textId="77777777" w:rsidR="00B47000" w:rsidRPr="00B47000" w:rsidRDefault="00B47000" w:rsidP="00201ABB">
      <w:pPr>
        <w:pStyle w:val="ListParagraph"/>
        <w:numPr>
          <w:ilvl w:val="0"/>
          <w:numId w:val="10"/>
        </w:numPr>
        <w:rPr>
          <w:rFonts w:asciiTheme="minorHAnsi" w:eastAsia="Calibri" w:hAnsiTheme="minorHAnsi" w:cstheme="minorHAnsi"/>
          <w:sz w:val="22"/>
          <w:szCs w:val="22"/>
        </w:rPr>
      </w:pPr>
      <w:r w:rsidRPr="00B47000">
        <w:rPr>
          <w:rFonts w:asciiTheme="minorHAnsi" w:eastAsia="Calibri" w:hAnsiTheme="minorHAnsi" w:cstheme="minorHAnsi"/>
          <w:sz w:val="22"/>
          <w:szCs w:val="22"/>
        </w:rPr>
        <w:lastRenderedPageBreak/>
        <w:t>Core Instructional Program</w:t>
      </w:r>
    </w:p>
    <w:p w14:paraId="05CAC007" w14:textId="19B3ACEA" w:rsidR="00B47000" w:rsidRPr="00B47000" w:rsidRDefault="00B47000" w:rsidP="00201ABB">
      <w:pPr>
        <w:pStyle w:val="ListParagraph"/>
        <w:numPr>
          <w:ilvl w:val="0"/>
          <w:numId w:val="10"/>
        </w:numPr>
        <w:rPr>
          <w:rFonts w:asciiTheme="minorHAnsi" w:eastAsia="Calibri" w:hAnsiTheme="minorHAnsi" w:cstheme="minorHAnsi"/>
          <w:sz w:val="22"/>
          <w:szCs w:val="22"/>
        </w:rPr>
      </w:pPr>
      <w:r w:rsidRPr="00B47000">
        <w:rPr>
          <w:rFonts w:asciiTheme="minorHAnsi" w:eastAsia="Calibri" w:hAnsiTheme="minorHAnsi" w:cstheme="minorHAnsi"/>
          <w:sz w:val="22"/>
          <w:szCs w:val="22"/>
        </w:rPr>
        <w:t>Ongoing assessment</w:t>
      </w:r>
      <w:r w:rsidR="00985BF0">
        <w:rPr>
          <w:rFonts w:asciiTheme="minorHAnsi" w:eastAsia="Calibri" w:hAnsiTheme="minorHAnsi" w:cstheme="minorHAnsi"/>
          <w:sz w:val="22"/>
          <w:szCs w:val="22"/>
        </w:rPr>
        <w:t xml:space="preserve"> – </w:t>
      </w:r>
      <w:r w:rsidRPr="00B47000">
        <w:rPr>
          <w:rFonts w:asciiTheme="minorHAnsi" w:eastAsia="Calibri" w:hAnsiTheme="minorHAnsi" w:cstheme="minorHAnsi"/>
          <w:sz w:val="22"/>
          <w:szCs w:val="22"/>
        </w:rPr>
        <w:t>Universal Screening and Progress Monitoring</w:t>
      </w:r>
    </w:p>
    <w:p w14:paraId="4E358B68" w14:textId="77777777" w:rsidR="00B47000" w:rsidRPr="00B47000" w:rsidRDefault="00B47000" w:rsidP="00201ABB">
      <w:pPr>
        <w:pStyle w:val="ListParagraph"/>
        <w:numPr>
          <w:ilvl w:val="0"/>
          <w:numId w:val="10"/>
        </w:numPr>
        <w:rPr>
          <w:rFonts w:asciiTheme="minorHAnsi" w:eastAsia="Calibri" w:hAnsiTheme="minorHAnsi" w:cstheme="minorHAnsi"/>
          <w:sz w:val="22"/>
          <w:szCs w:val="22"/>
        </w:rPr>
      </w:pPr>
      <w:r w:rsidRPr="00B47000">
        <w:rPr>
          <w:rFonts w:asciiTheme="minorHAnsi" w:eastAsia="Calibri" w:hAnsiTheme="minorHAnsi" w:cstheme="minorHAnsi"/>
          <w:sz w:val="22"/>
          <w:szCs w:val="22"/>
        </w:rPr>
        <w:t>Evidenced-Based Instructional and Positive Behavioral Interventions and Supports</w:t>
      </w:r>
    </w:p>
    <w:p w14:paraId="7731FDD4" w14:textId="333757A6" w:rsidR="00B47000" w:rsidRPr="00B47000" w:rsidRDefault="00D10B05" w:rsidP="00201ABB">
      <w:pPr>
        <w:pStyle w:val="ListParagraph"/>
        <w:numPr>
          <w:ilvl w:val="0"/>
          <w:numId w:val="10"/>
        </w:numPr>
        <w:rPr>
          <w:rFonts w:asciiTheme="minorHAnsi" w:eastAsia="Calibri" w:hAnsiTheme="minorHAnsi" w:cstheme="minorHAnsi"/>
          <w:sz w:val="22"/>
          <w:szCs w:val="22"/>
        </w:rPr>
      </w:pPr>
      <w:r>
        <w:rPr>
          <w:rFonts w:asciiTheme="minorHAnsi" w:eastAsia="Calibri" w:hAnsiTheme="minorHAnsi" w:cstheme="minorHAnsi"/>
          <w:sz w:val="22"/>
          <w:szCs w:val="22"/>
        </w:rPr>
        <w:t>District</w:t>
      </w:r>
      <w:r w:rsidR="00B47000" w:rsidRPr="00B47000">
        <w:rPr>
          <w:rFonts w:asciiTheme="minorHAnsi" w:eastAsia="Calibri" w:hAnsiTheme="minorHAnsi" w:cstheme="minorHAnsi"/>
          <w:sz w:val="22"/>
          <w:szCs w:val="22"/>
        </w:rPr>
        <w:t xml:space="preserve">/School </w:t>
      </w:r>
      <w:r w:rsidR="002A52CE">
        <w:rPr>
          <w:rFonts w:asciiTheme="minorHAnsi" w:eastAsia="Calibri" w:hAnsiTheme="minorHAnsi" w:cstheme="minorHAnsi"/>
          <w:sz w:val="22"/>
          <w:szCs w:val="22"/>
        </w:rPr>
        <w:t>Lea</w:t>
      </w:r>
      <w:r w:rsidR="00B47000" w:rsidRPr="00B47000">
        <w:rPr>
          <w:rFonts w:asciiTheme="minorHAnsi" w:eastAsia="Calibri" w:hAnsiTheme="minorHAnsi" w:cstheme="minorHAnsi"/>
          <w:sz w:val="22"/>
          <w:szCs w:val="22"/>
        </w:rPr>
        <w:t>dership that Facilitates Improvement</w:t>
      </w:r>
    </w:p>
    <w:p w14:paraId="5D545BE1" w14:textId="04E439EF" w:rsidR="00B47000" w:rsidRPr="00B47000" w:rsidRDefault="00B47000" w:rsidP="00201ABB">
      <w:pPr>
        <w:pStyle w:val="ListParagraph"/>
        <w:numPr>
          <w:ilvl w:val="0"/>
          <w:numId w:val="10"/>
        </w:numPr>
        <w:rPr>
          <w:rFonts w:asciiTheme="minorHAnsi" w:eastAsia="Calibri" w:hAnsiTheme="minorHAnsi" w:cstheme="minorHAnsi"/>
          <w:sz w:val="22"/>
          <w:szCs w:val="22"/>
        </w:rPr>
      </w:pPr>
      <w:r w:rsidRPr="00B47000">
        <w:rPr>
          <w:rFonts w:asciiTheme="minorHAnsi" w:eastAsia="Calibri" w:hAnsiTheme="minorHAnsi" w:cstheme="minorHAnsi"/>
          <w:sz w:val="22"/>
          <w:szCs w:val="22"/>
        </w:rPr>
        <w:t>Parent/Family Engagement throughout the Educational Process and System</w:t>
      </w:r>
    </w:p>
    <w:p w14:paraId="45B8C0E4" w14:textId="5BE41E51" w:rsidR="005441BF" w:rsidRPr="000176E2" w:rsidRDefault="005441BF" w:rsidP="005441BF">
      <w:pPr>
        <w:spacing w:before="240"/>
        <w:ind w:left="720"/>
        <w:rPr>
          <w:rFonts w:eastAsia="Times New Roman" w:cstheme="minorHAnsi"/>
          <w:b/>
          <w:bCs/>
        </w:rPr>
      </w:pPr>
      <w:r w:rsidRPr="00C67D9C">
        <w:rPr>
          <w:rFonts w:eastAsia="Times New Roman" w:cstheme="minorHAnsi"/>
          <w:b/>
          <w:bCs/>
        </w:rPr>
        <w:t xml:space="preserve">What resources are available to help me better understand </w:t>
      </w:r>
      <w:r>
        <w:rPr>
          <w:rFonts w:eastAsia="Times New Roman" w:cstheme="minorHAnsi"/>
          <w:b/>
          <w:bCs/>
        </w:rPr>
        <w:t>M</w:t>
      </w:r>
      <w:r w:rsidRPr="005441BF">
        <w:rPr>
          <w:rFonts w:eastAsia="Times New Roman" w:cstheme="minorHAnsi"/>
          <w:b/>
          <w:bCs/>
          <w:vertAlign w:val="superscript"/>
        </w:rPr>
        <w:t>3</w:t>
      </w:r>
      <w:r w:rsidRPr="00C67D9C">
        <w:rPr>
          <w:rFonts w:eastAsia="Times New Roman" w:cstheme="minorHAnsi"/>
          <w:b/>
          <w:bCs/>
        </w:rPr>
        <w:t>?</w:t>
      </w:r>
    </w:p>
    <w:p w14:paraId="02244D5E" w14:textId="5EE842BB" w:rsidR="005441BF" w:rsidRPr="009B6170" w:rsidRDefault="00000000" w:rsidP="00201ABB">
      <w:pPr>
        <w:pStyle w:val="ListParagraph"/>
        <w:numPr>
          <w:ilvl w:val="0"/>
          <w:numId w:val="9"/>
        </w:numPr>
        <w:rPr>
          <w:rFonts w:asciiTheme="minorHAnsi" w:eastAsia="Calibri" w:hAnsiTheme="minorHAnsi" w:cstheme="minorHAnsi"/>
          <w:sz w:val="22"/>
          <w:szCs w:val="22"/>
        </w:rPr>
      </w:pPr>
      <w:hyperlink r:id="rId90" w:history="1">
        <w:r w:rsidR="005441BF" w:rsidRPr="009B6170">
          <w:rPr>
            <w:rStyle w:val="Hyperlink"/>
            <w:rFonts w:asciiTheme="minorHAnsi" w:eastAsia="Calibri" w:hAnsiTheme="minorHAnsi" w:cstheme="minorHAnsi"/>
            <w:sz w:val="22"/>
            <w:szCs w:val="22"/>
          </w:rPr>
          <w:t>Making Money Matter (M</w:t>
        </w:r>
        <w:r w:rsidR="005441BF" w:rsidRPr="009B6170">
          <w:rPr>
            <w:rStyle w:val="Hyperlink"/>
            <w:rFonts w:asciiTheme="minorHAnsi" w:eastAsia="Calibri" w:hAnsiTheme="minorHAnsi" w:cstheme="minorHAnsi"/>
            <w:sz w:val="22"/>
            <w:szCs w:val="22"/>
            <w:vertAlign w:val="superscript"/>
          </w:rPr>
          <w:t>3</w:t>
        </w:r>
        <w:r w:rsidR="005441BF" w:rsidRPr="009B6170">
          <w:rPr>
            <w:rStyle w:val="Hyperlink"/>
            <w:rFonts w:asciiTheme="minorHAnsi" w:eastAsia="Calibri" w:hAnsiTheme="minorHAnsi" w:cstheme="minorHAnsi"/>
            <w:sz w:val="22"/>
            <w:szCs w:val="22"/>
          </w:rPr>
          <w:t>)</w:t>
        </w:r>
      </w:hyperlink>
    </w:p>
    <w:p w14:paraId="49E3AE66" w14:textId="77777777" w:rsidR="005441BF" w:rsidRPr="009B6170" w:rsidRDefault="00000000" w:rsidP="00201ABB">
      <w:pPr>
        <w:pStyle w:val="NormalWeb"/>
        <w:numPr>
          <w:ilvl w:val="0"/>
          <w:numId w:val="9"/>
        </w:numPr>
        <w:shd w:val="clear" w:color="auto" w:fill="FFFFFF"/>
        <w:spacing w:before="0" w:beforeAutospacing="0"/>
        <w:rPr>
          <w:rFonts w:asciiTheme="minorHAnsi" w:hAnsiTheme="minorHAnsi" w:cstheme="minorHAnsi"/>
          <w:color w:val="222222"/>
          <w:sz w:val="22"/>
          <w:szCs w:val="22"/>
          <w:u w:val="single"/>
        </w:rPr>
      </w:pPr>
      <w:hyperlink r:id="rId91" w:history="1">
        <w:r w:rsidR="005441BF" w:rsidRPr="009B6170">
          <w:rPr>
            <w:rStyle w:val="Hyperlink"/>
            <w:rFonts w:asciiTheme="minorHAnsi" w:hAnsiTheme="minorHAnsi" w:cstheme="minorHAnsi"/>
            <w:color w:val="0060C7"/>
            <w:sz w:val="22"/>
            <w:szCs w:val="22"/>
          </w:rPr>
          <w:t>M</w:t>
        </w:r>
        <w:r w:rsidR="005441BF" w:rsidRPr="009B6170">
          <w:rPr>
            <w:rStyle w:val="Hyperlink"/>
            <w:rFonts w:asciiTheme="minorHAnsi" w:hAnsiTheme="minorHAnsi" w:cstheme="minorHAnsi"/>
            <w:color w:val="0060C7"/>
            <w:sz w:val="22"/>
            <w:szCs w:val="22"/>
            <w:vertAlign w:val="superscript"/>
          </w:rPr>
          <w:t>3</w:t>
        </w:r>
        <w:r w:rsidR="005441BF" w:rsidRPr="009B6170">
          <w:rPr>
            <w:rStyle w:val="Hyperlink"/>
            <w:rFonts w:asciiTheme="minorHAnsi" w:hAnsiTheme="minorHAnsi" w:cstheme="minorHAnsi"/>
            <w:color w:val="0060C7"/>
            <w:sz w:val="22"/>
            <w:szCs w:val="22"/>
          </w:rPr>
          <w:t> First Year Participation and Planning Year Guide</w:t>
        </w:r>
      </w:hyperlink>
    </w:p>
    <w:p w14:paraId="3EA65D51" w14:textId="77777777" w:rsidR="005441BF" w:rsidRPr="009B6170" w:rsidRDefault="00000000" w:rsidP="00201ABB">
      <w:pPr>
        <w:pStyle w:val="NormalWeb"/>
        <w:numPr>
          <w:ilvl w:val="0"/>
          <w:numId w:val="9"/>
        </w:numPr>
        <w:shd w:val="clear" w:color="auto" w:fill="FFFFFF"/>
        <w:spacing w:before="0" w:beforeAutospacing="0"/>
        <w:rPr>
          <w:rFonts w:asciiTheme="minorHAnsi" w:hAnsiTheme="minorHAnsi" w:cstheme="minorHAnsi"/>
          <w:color w:val="222222"/>
          <w:sz w:val="22"/>
          <w:szCs w:val="22"/>
          <w:u w:val="single"/>
        </w:rPr>
      </w:pPr>
      <w:hyperlink r:id="rId92" w:history="1">
        <w:r w:rsidR="005441BF" w:rsidRPr="009B6170">
          <w:rPr>
            <w:rStyle w:val="Hyperlink"/>
            <w:rFonts w:asciiTheme="minorHAnsi" w:hAnsiTheme="minorHAnsi" w:cstheme="minorHAnsi"/>
            <w:color w:val="0060C7"/>
            <w:sz w:val="22"/>
            <w:szCs w:val="22"/>
          </w:rPr>
          <w:t>M</w:t>
        </w:r>
        <w:r w:rsidR="005441BF" w:rsidRPr="009B6170">
          <w:rPr>
            <w:rStyle w:val="Hyperlink"/>
            <w:rFonts w:asciiTheme="minorHAnsi" w:hAnsiTheme="minorHAnsi" w:cstheme="minorHAnsi"/>
            <w:color w:val="0060C7"/>
            <w:sz w:val="22"/>
            <w:szCs w:val="22"/>
            <w:vertAlign w:val="superscript"/>
          </w:rPr>
          <w:t>3</w:t>
        </w:r>
        <w:r w:rsidR="005441BF" w:rsidRPr="009B6170">
          <w:rPr>
            <w:rStyle w:val="Hyperlink"/>
            <w:rFonts w:asciiTheme="minorHAnsi" w:hAnsiTheme="minorHAnsi" w:cstheme="minorHAnsi"/>
            <w:color w:val="0060C7"/>
            <w:sz w:val="22"/>
            <w:szCs w:val="22"/>
          </w:rPr>
          <w:t> Introduction </w:t>
        </w:r>
      </w:hyperlink>
    </w:p>
    <w:p w14:paraId="6FF751B2" w14:textId="77777777" w:rsidR="005441BF" w:rsidRPr="009B6170" w:rsidRDefault="00000000" w:rsidP="00201ABB">
      <w:pPr>
        <w:pStyle w:val="NormalWeb"/>
        <w:numPr>
          <w:ilvl w:val="0"/>
          <w:numId w:val="9"/>
        </w:numPr>
        <w:shd w:val="clear" w:color="auto" w:fill="FFFFFF"/>
        <w:spacing w:before="0" w:beforeAutospacing="0"/>
        <w:rPr>
          <w:rFonts w:asciiTheme="minorHAnsi" w:hAnsiTheme="minorHAnsi" w:cstheme="minorHAnsi"/>
          <w:color w:val="222222"/>
          <w:sz w:val="22"/>
          <w:szCs w:val="22"/>
          <w:u w:val="single"/>
        </w:rPr>
      </w:pPr>
      <w:hyperlink r:id="rId93" w:history="1">
        <w:r w:rsidR="005441BF" w:rsidRPr="009B6170">
          <w:rPr>
            <w:rStyle w:val="Hyperlink"/>
            <w:rFonts w:asciiTheme="minorHAnsi" w:hAnsiTheme="minorHAnsi" w:cstheme="minorHAnsi"/>
            <w:color w:val="0060C7"/>
            <w:sz w:val="22"/>
            <w:szCs w:val="22"/>
          </w:rPr>
          <w:t>M</w:t>
        </w:r>
        <w:r w:rsidR="005441BF" w:rsidRPr="009B6170">
          <w:rPr>
            <w:rStyle w:val="Hyperlink"/>
            <w:rFonts w:asciiTheme="minorHAnsi" w:hAnsiTheme="minorHAnsi" w:cstheme="minorHAnsi"/>
            <w:color w:val="0060C7"/>
            <w:sz w:val="22"/>
            <w:szCs w:val="22"/>
            <w:vertAlign w:val="superscript"/>
          </w:rPr>
          <w:t>3</w:t>
        </w:r>
        <w:r w:rsidR="005441BF" w:rsidRPr="009B6170">
          <w:rPr>
            <w:rStyle w:val="Hyperlink"/>
            <w:rFonts w:asciiTheme="minorHAnsi" w:hAnsiTheme="minorHAnsi" w:cstheme="minorHAnsi"/>
            <w:color w:val="0060C7"/>
            <w:sz w:val="22"/>
            <w:szCs w:val="22"/>
          </w:rPr>
          <w:t> Video Conference Slides </w:t>
        </w:r>
      </w:hyperlink>
    </w:p>
    <w:p w14:paraId="0C26D13A" w14:textId="3AB46351" w:rsidR="005441BF" w:rsidRPr="009B6170" w:rsidRDefault="00000000" w:rsidP="00201ABB">
      <w:pPr>
        <w:pStyle w:val="NormalWeb"/>
        <w:numPr>
          <w:ilvl w:val="0"/>
          <w:numId w:val="9"/>
        </w:numPr>
        <w:shd w:val="clear" w:color="auto" w:fill="FFFFFF"/>
        <w:spacing w:before="0" w:beforeAutospacing="0"/>
        <w:rPr>
          <w:rFonts w:asciiTheme="minorHAnsi" w:hAnsiTheme="minorHAnsi" w:cstheme="minorHAnsi"/>
          <w:color w:val="222222"/>
          <w:sz w:val="22"/>
          <w:szCs w:val="22"/>
        </w:rPr>
      </w:pPr>
      <w:hyperlink r:id="rId94" w:tgtFrame="_blank" w:tooltip="External Link, Opens in New Window" w:history="1">
        <w:r w:rsidR="005441BF" w:rsidRPr="009B6170">
          <w:rPr>
            <w:rStyle w:val="Hyperlink"/>
            <w:rFonts w:asciiTheme="minorHAnsi" w:hAnsiTheme="minorHAnsi" w:cstheme="minorHAnsi"/>
            <w:i/>
            <w:iCs/>
            <w:color w:val="0060C7"/>
            <w:sz w:val="22"/>
            <w:szCs w:val="22"/>
          </w:rPr>
          <w:t>Equity in Special Education Placement: School Self-Assessment Guide for Culturally Responsive Practice</w:t>
        </w:r>
      </w:hyperlink>
      <w:r w:rsidR="005441BF" w:rsidRPr="009B6170">
        <w:rPr>
          <w:rFonts w:asciiTheme="minorHAnsi" w:hAnsiTheme="minorHAnsi" w:cstheme="minorHAnsi"/>
          <w:color w:val="222222"/>
          <w:sz w:val="22"/>
          <w:szCs w:val="22"/>
        </w:rPr>
        <w:t> by ResearchGate (2005)</w:t>
      </w:r>
    </w:p>
    <w:p w14:paraId="28E30087" w14:textId="29D113C2" w:rsidR="004755DA" w:rsidRPr="009B6170" w:rsidRDefault="00000000" w:rsidP="00201ABB">
      <w:pPr>
        <w:pStyle w:val="NormalWeb"/>
        <w:numPr>
          <w:ilvl w:val="0"/>
          <w:numId w:val="9"/>
        </w:numPr>
        <w:shd w:val="clear" w:color="auto" w:fill="FFFFFF"/>
        <w:spacing w:before="0" w:beforeAutospacing="0"/>
        <w:rPr>
          <w:rFonts w:asciiTheme="minorHAnsi" w:hAnsiTheme="minorHAnsi" w:cstheme="minorHAnsi"/>
          <w:color w:val="222222"/>
          <w:sz w:val="22"/>
          <w:szCs w:val="22"/>
          <w:u w:val="single"/>
        </w:rPr>
      </w:pPr>
      <w:hyperlink r:id="rId95" w:history="1">
        <w:r w:rsidR="004755DA" w:rsidRPr="009B6170">
          <w:rPr>
            <w:rStyle w:val="Hyperlink"/>
            <w:rFonts w:asciiTheme="minorHAnsi" w:hAnsiTheme="minorHAnsi" w:cstheme="minorHAnsi"/>
            <w:color w:val="0060C7"/>
            <w:sz w:val="22"/>
            <w:szCs w:val="22"/>
          </w:rPr>
          <w:t>Results Driven Accountability</w:t>
        </w:r>
      </w:hyperlink>
    </w:p>
    <w:p w14:paraId="54EFBFAF" w14:textId="2EEE6926" w:rsidR="00036FAB" w:rsidRPr="009B6170" w:rsidRDefault="00000000" w:rsidP="00201ABB">
      <w:pPr>
        <w:pStyle w:val="NormalWeb"/>
        <w:numPr>
          <w:ilvl w:val="0"/>
          <w:numId w:val="9"/>
        </w:numPr>
        <w:shd w:val="clear" w:color="auto" w:fill="FFFFFF"/>
        <w:spacing w:before="0" w:beforeAutospacing="0"/>
        <w:rPr>
          <w:rFonts w:asciiTheme="minorHAnsi" w:hAnsiTheme="minorHAnsi" w:cstheme="minorHAnsi"/>
          <w:color w:val="222222"/>
          <w:sz w:val="22"/>
          <w:szCs w:val="22"/>
        </w:rPr>
      </w:pPr>
      <w:hyperlink r:id="rId96" w:history="1">
        <w:r w:rsidR="00036FAB" w:rsidRPr="009B6170">
          <w:rPr>
            <w:rStyle w:val="Hyperlink"/>
            <w:rFonts w:asciiTheme="minorHAnsi" w:hAnsiTheme="minorHAnsi" w:cstheme="minorHAnsi"/>
            <w:sz w:val="22"/>
            <w:szCs w:val="22"/>
          </w:rPr>
          <w:t xml:space="preserve">Special Education Accountability and Assistance Webinar — Support for </w:t>
        </w:r>
        <w:r w:rsidR="00FD3781">
          <w:rPr>
            <w:rStyle w:val="Hyperlink"/>
            <w:rFonts w:asciiTheme="minorHAnsi" w:hAnsiTheme="minorHAnsi" w:cstheme="minorHAnsi"/>
            <w:sz w:val="22"/>
            <w:szCs w:val="22"/>
          </w:rPr>
          <w:t>District</w:t>
        </w:r>
        <w:r w:rsidR="00036FAB" w:rsidRPr="009B6170">
          <w:rPr>
            <w:rStyle w:val="Hyperlink"/>
            <w:rFonts w:asciiTheme="minorHAnsi" w:hAnsiTheme="minorHAnsi" w:cstheme="minorHAnsi"/>
            <w:sz w:val="22"/>
            <w:szCs w:val="22"/>
          </w:rPr>
          <w:t>s with a Determination of Needs Assistance (NA) and Needs Intervention (NI)</w:t>
        </w:r>
      </w:hyperlink>
    </w:p>
    <w:p w14:paraId="78F43280" w14:textId="7727150C" w:rsidR="00C81FE9" w:rsidRDefault="0042638E" w:rsidP="000D3751">
      <w:pPr>
        <w:pStyle w:val="Heading2"/>
        <w:spacing w:after="240"/>
        <w:rPr>
          <w:rStyle w:val="eop"/>
          <w:b/>
          <w:bCs/>
        </w:rPr>
      </w:pPr>
      <w:bookmarkStart w:id="30" w:name="_Additional_Questions"/>
      <w:bookmarkEnd w:id="30"/>
      <w:r>
        <w:rPr>
          <w:rStyle w:val="eop"/>
          <w:b/>
          <w:bCs/>
        </w:rPr>
        <w:t>Additional Questions</w:t>
      </w:r>
    </w:p>
    <w:p w14:paraId="044124F2" w14:textId="77777777" w:rsidR="00CB52BB" w:rsidRPr="00E52B5E" w:rsidRDefault="00CB52BB" w:rsidP="00CB52BB">
      <w:pPr>
        <w:pStyle w:val="ListParagraph"/>
        <w:rPr>
          <w:rFonts w:asciiTheme="minorHAnsi" w:hAnsiTheme="minorHAnsi" w:cstheme="minorHAnsi"/>
          <w:b/>
          <w:bCs/>
          <w:sz w:val="22"/>
          <w:szCs w:val="22"/>
        </w:rPr>
      </w:pPr>
      <w:r w:rsidRPr="00E52B5E">
        <w:rPr>
          <w:rFonts w:asciiTheme="minorHAnsi" w:hAnsiTheme="minorHAnsi" w:cstheme="minorHAnsi"/>
          <w:b/>
          <w:bCs/>
          <w:sz w:val="22"/>
          <w:szCs w:val="22"/>
        </w:rPr>
        <w:t xml:space="preserve">Why </w:t>
      </w:r>
      <w:r>
        <w:rPr>
          <w:rFonts w:asciiTheme="minorHAnsi" w:hAnsiTheme="minorHAnsi" w:cstheme="minorHAnsi"/>
          <w:b/>
          <w:bCs/>
          <w:sz w:val="22"/>
          <w:szCs w:val="22"/>
        </w:rPr>
        <w:t xml:space="preserve">have some of the </w:t>
      </w:r>
      <w:r w:rsidRPr="00E52B5E">
        <w:rPr>
          <w:rFonts w:asciiTheme="minorHAnsi" w:hAnsiTheme="minorHAnsi" w:cstheme="minorHAnsi"/>
          <w:b/>
          <w:bCs/>
          <w:sz w:val="22"/>
          <w:szCs w:val="22"/>
        </w:rPr>
        <w:t>calculations chang</w:t>
      </w:r>
      <w:r>
        <w:rPr>
          <w:rFonts w:asciiTheme="minorHAnsi" w:hAnsiTheme="minorHAnsi" w:cstheme="minorHAnsi"/>
          <w:b/>
          <w:bCs/>
          <w:sz w:val="22"/>
          <w:szCs w:val="22"/>
        </w:rPr>
        <w:t>ed</w:t>
      </w:r>
      <w:r w:rsidRPr="00E52B5E">
        <w:rPr>
          <w:rFonts w:asciiTheme="minorHAnsi" w:hAnsiTheme="minorHAnsi" w:cstheme="minorHAnsi"/>
          <w:b/>
          <w:bCs/>
          <w:sz w:val="22"/>
          <w:szCs w:val="22"/>
        </w:rPr>
        <w:t>?</w:t>
      </w:r>
    </w:p>
    <w:p w14:paraId="52330339" w14:textId="24CD2DF9" w:rsidR="00CB52BB" w:rsidRDefault="00CB52BB" w:rsidP="00CB52BB">
      <w:pPr>
        <w:pStyle w:val="ListParagraph"/>
        <w:spacing w:before="240" w:after="240"/>
        <w:ind w:left="1440"/>
        <w:rPr>
          <w:rFonts w:asciiTheme="minorHAnsi" w:hAnsiTheme="minorHAnsi" w:cstheme="minorHAnsi"/>
          <w:sz w:val="22"/>
          <w:szCs w:val="22"/>
        </w:rPr>
      </w:pPr>
      <w:r w:rsidRPr="00E52B5E">
        <w:rPr>
          <w:rFonts w:asciiTheme="minorHAnsi" w:hAnsiTheme="minorHAnsi" w:cstheme="minorHAnsi"/>
          <w:sz w:val="22"/>
          <w:szCs w:val="22"/>
        </w:rPr>
        <w:t xml:space="preserve">We are </w:t>
      </w:r>
      <w:r>
        <w:rPr>
          <w:rFonts w:asciiTheme="minorHAnsi" w:hAnsiTheme="minorHAnsi" w:cstheme="minorHAnsi"/>
          <w:sz w:val="22"/>
          <w:szCs w:val="22"/>
        </w:rPr>
        <w:t xml:space="preserve">committed to improving the </w:t>
      </w:r>
      <w:r w:rsidR="00245B6E">
        <w:rPr>
          <w:rFonts w:asciiTheme="minorHAnsi" w:hAnsiTheme="minorHAnsi" w:cstheme="minorHAnsi"/>
          <w:sz w:val="22"/>
          <w:szCs w:val="22"/>
        </w:rPr>
        <w:t xml:space="preserve">LEA </w:t>
      </w:r>
      <w:r>
        <w:rPr>
          <w:rFonts w:asciiTheme="minorHAnsi" w:hAnsiTheme="minorHAnsi" w:cstheme="minorHAnsi"/>
          <w:sz w:val="22"/>
          <w:szCs w:val="22"/>
        </w:rPr>
        <w:t xml:space="preserve">determination process. </w:t>
      </w:r>
      <w:r w:rsidRPr="00E52B5E">
        <w:rPr>
          <w:rFonts w:asciiTheme="minorHAnsi" w:hAnsiTheme="minorHAnsi" w:cstheme="minorHAnsi"/>
          <w:sz w:val="22"/>
          <w:szCs w:val="22"/>
        </w:rPr>
        <w:t xml:space="preserve">This is a work in progress and the Department appreciates feedback. </w:t>
      </w:r>
    </w:p>
    <w:p w14:paraId="315F6BEA" w14:textId="60757EE7" w:rsidR="0042638E" w:rsidRPr="0042638E" w:rsidRDefault="0042638E" w:rsidP="009F167B">
      <w:pPr>
        <w:ind w:left="720"/>
        <w:rPr>
          <w:b/>
          <w:bCs/>
        </w:rPr>
      </w:pPr>
      <w:r w:rsidRPr="0042638E">
        <w:rPr>
          <w:b/>
          <w:bCs/>
        </w:rPr>
        <w:t>Where can I find data resources?</w:t>
      </w:r>
    </w:p>
    <w:tbl>
      <w:tblPr>
        <w:tblW w:w="8815" w:type="dxa"/>
        <w:tblInd w:w="1291" w:type="dxa"/>
        <w:tblLayout w:type="fixed"/>
        <w:tblCellMar>
          <w:left w:w="0" w:type="dxa"/>
          <w:right w:w="0" w:type="dxa"/>
        </w:tblCellMar>
        <w:tblLook w:val="0420" w:firstRow="1" w:lastRow="0" w:firstColumn="0" w:lastColumn="0" w:noHBand="0" w:noVBand="1"/>
      </w:tblPr>
      <w:tblGrid>
        <w:gridCol w:w="2414"/>
        <w:gridCol w:w="6401"/>
      </w:tblGrid>
      <w:tr w:rsidR="00DF38EA" w:rsidRPr="00DF38EA" w14:paraId="0950D986" w14:textId="77777777" w:rsidTr="00163231">
        <w:trPr>
          <w:trHeight w:val="584"/>
        </w:trPr>
        <w:tc>
          <w:tcPr>
            <w:tcW w:w="2414" w:type="dxa"/>
            <w:tcBorders>
              <w:top w:val="single" w:sz="4" w:space="0" w:color="203B6A"/>
              <w:left w:val="single" w:sz="4" w:space="0" w:color="203B6A"/>
              <w:bottom w:val="single" w:sz="8" w:space="0" w:color="203B6A"/>
              <w:right w:val="single" w:sz="8" w:space="0" w:color="203B6A"/>
            </w:tcBorders>
            <w:shd w:val="clear" w:color="auto" w:fill="C6D4EE"/>
            <w:tcMar>
              <w:top w:w="72" w:type="dxa"/>
              <w:left w:w="144" w:type="dxa"/>
              <w:bottom w:w="72" w:type="dxa"/>
              <w:right w:w="144" w:type="dxa"/>
            </w:tcMar>
            <w:hideMark/>
          </w:tcPr>
          <w:p w14:paraId="67A9AAE7" w14:textId="77777777" w:rsidR="00DF38EA" w:rsidRPr="00DF38EA" w:rsidRDefault="00DF38EA" w:rsidP="00336DC5">
            <w:pPr>
              <w:rPr>
                <w:rFonts w:cstheme="minorHAnsi"/>
                <w:b/>
                <w:bCs/>
              </w:rPr>
            </w:pPr>
            <w:r w:rsidRPr="00DF38EA">
              <w:rPr>
                <w:rFonts w:cstheme="minorHAnsi"/>
                <w:b/>
                <w:bCs/>
              </w:rPr>
              <w:t>Measure</w:t>
            </w:r>
          </w:p>
        </w:tc>
        <w:tc>
          <w:tcPr>
            <w:tcW w:w="6401" w:type="dxa"/>
            <w:tcBorders>
              <w:top w:val="single" w:sz="4" w:space="0" w:color="203B6A"/>
              <w:left w:val="single" w:sz="8" w:space="0" w:color="203B6A"/>
              <w:bottom w:val="single" w:sz="8" w:space="0" w:color="203B6A"/>
              <w:right w:val="single" w:sz="4" w:space="0" w:color="203B6A"/>
            </w:tcBorders>
            <w:shd w:val="clear" w:color="auto" w:fill="C6D4EE"/>
            <w:tcMar>
              <w:top w:w="72" w:type="dxa"/>
              <w:left w:w="144" w:type="dxa"/>
              <w:bottom w:w="72" w:type="dxa"/>
              <w:right w:w="144" w:type="dxa"/>
            </w:tcMar>
            <w:hideMark/>
          </w:tcPr>
          <w:p w14:paraId="730E5E9E" w14:textId="77777777" w:rsidR="00DF38EA" w:rsidRPr="00DF38EA" w:rsidRDefault="00DF38EA" w:rsidP="00336DC5">
            <w:pPr>
              <w:rPr>
                <w:rFonts w:cstheme="minorHAnsi"/>
                <w:b/>
                <w:bCs/>
              </w:rPr>
            </w:pPr>
            <w:r w:rsidRPr="00DF38EA">
              <w:rPr>
                <w:rFonts w:cstheme="minorHAnsi"/>
                <w:b/>
                <w:bCs/>
              </w:rPr>
              <w:t>Resources/Reports</w:t>
            </w:r>
          </w:p>
        </w:tc>
      </w:tr>
      <w:tr w:rsidR="00DF38EA" w:rsidRPr="00DF38EA" w14:paraId="02F4DBBA" w14:textId="77777777" w:rsidTr="00163231">
        <w:trPr>
          <w:trHeight w:val="584"/>
        </w:trPr>
        <w:tc>
          <w:tcPr>
            <w:tcW w:w="2414" w:type="dxa"/>
            <w:tcBorders>
              <w:top w:val="single" w:sz="8" w:space="0" w:color="203B6A"/>
              <w:left w:val="single" w:sz="4" w:space="0" w:color="203B6A"/>
              <w:bottom w:val="single" w:sz="8" w:space="0" w:color="203B6A"/>
              <w:right w:val="single" w:sz="8" w:space="0" w:color="203B6A"/>
            </w:tcBorders>
            <w:shd w:val="clear" w:color="auto" w:fill="auto"/>
            <w:tcMar>
              <w:top w:w="72" w:type="dxa"/>
              <w:left w:w="144" w:type="dxa"/>
              <w:bottom w:w="72" w:type="dxa"/>
              <w:right w:w="144" w:type="dxa"/>
            </w:tcMar>
            <w:hideMark/>
          </w:tcPr>
          <w:p w14:paraId="7DB5A28C" w14:textId="77777777" w:rsidR="00DF38EA" w:rsidRPr="00DF38EA" w:rsidRDefault="00DF38EA" w:rsidP="00336DC5">
            <w:pPr>
              <w:rPr>
                <w:rFonts w:cstheme="minorHAnsi"/>
                <w:b/>
                <w:bCs/>
              </w:rPr>
            </w:pPr>
            <w:r w:rsidRPr="00DF38EA">
              <w:rPr>
                <w:rFonts w:cstheme="minorHAnsi"/>
                <w:b/>
                <w:bCs/>
              </w:rPr>
              <w:t>Annual Dropout Rate</w:t>
            </w:r>
          </w:p>
        </w:tc>
        <w:tc>
          <w:tcPr>
            <w:tcW w:w="6401" w:type="dxa"/>
            <w:tcBorders>
              <w:top w:val="single" w:sz="8" w:space="0" w:color="203B6A"/>
              <w:left w:val="single" w:sz="8" w:space="0" w:color="203B6A"/>
              <w:bottom w:val="single" w:sz="8" w:space="0" w:color="203B6A"/>
              <w:right w:val="single" w:sz="4" w:space="0" w:color="203B6A"/>
            </w:tcBorders>
            <w:shd w:val="clear" w:color="auto" w:fill="auto"/>
            <w:tcMar>
              <w:top w:w="72" w:type="dxa"/>
              <w:left w:w="144" w:type="dxa"/>
              <w:bottom w:w="72" w:type="dxa"/>
              <w:right w:w="144" w:type="dxa"/>
            </w:tcMar>
            <w:hideMark/>
          </w:tcPr>
          <w:p w14:paraId="3C29CFE4" w14:textId="77777777" w:rsidR="00DF38EA" w:rsidRPr="0045346A" w:rsidRDefault="00DF38EA" w:rsidP="009F167B">
            <w:pPr>
              <w:rPr>
                <w:rFonts w:cstheme="minorHAnsi"/>
                <w:lang w:val="fr-FR"/>
              </w:rPr>
            </w:pPr>
            <w:r w:rsidRPr="0045346A">
              <w:rPr>
                <w:rFonts w:cstheme="minorHAnsi"/>
                <w:lang w:val="fr-FR"/>
              </w:rPr>
              <w:t xml:space="preserve">Profiles: </w:t>
            </w:r>
            <w:hyperlink r:id="rId97" w:history="1">
              <w:r w:rsidRPr="0045346A">
                <w:rPr>
                  <w:rStyle w:val="Hyperlink"/>
                  <w:rFonts w:cstheme="minorHAnsi"/>
                  <w:lang w:val="fr-FR"/>
                </w:rPr>
                <w:t>https://profiles.doe.mass.edu/statereport/dropout.aspx</w:t>
              </w:r>
            </w:hyperlink>
          </w:p>
          <w:p w14:paraId="2B19418F" w14:textId="28768A8D" w:rsidR="00DF38EA" w:rsidRPr="00DF38EA" w:rsidRDefault="00000000" w:rsidP="009F167B">
            <w:pPr>
              <w:rPr>
                <w:rFonts w:cstheme="minorHAnsi"/>
              </w:rPr>
            </w:pPr>
            <w:hyperlink r:id="rId98" w:history="1">
              <w:r w:rsidR="00DF656E" w:rsidRPr="00926417">
                <w:rPr>
                  <w:rStyle w:val="Hyperlink"/>
                  <w:rFonts w:cstheme="minorHAnsi"/>
                </w:rPr>
                <w:t>Security Portal</w:t>
              </w:r>
            </w:hyperlink>
            <w:r w:rsidR="00DF656E" w:rsidRPr="00DF38EA">
              <w:rPr>
                <w:rFonts w:cstheme="minorHAnsi"/>
              </w:rPr>
              <w:t xml:space="preserve">: </w:t>
            </w:r>
            <w:r w:rsidR="00DF38EA" w:rsidRPr="00DF38EA">
              <w:rPr>
                <w:rFonts w:cstheme="minorHAnsi"/>
              </w:rPr>
              <w:t>Dropout Data Summary Report</w:t>
            </w:r>
          </w:p>
        </w:tc>
      </w:tr>
      <w:tr w:rsidR="00DF38EA" w:rsidRPr="00DF38EA" w14:paraId="61FCAE66" w14:textId="77777777" w:rsidTr="00163231">
        <w:trPr>
          <w:trHeight w:val="584"/>
        </w:trPr>
        <w:tc>
          <w:tcPr>
            <w:tcW w:w="2414" w:type="dxa"/>
            <w:tcBorders>
              <w:top w:val="single" w:sz="8" w:space="0" w:color="203B6A"/>
              <w:left w:val="single" w:sz="4" w:space="0" w:color="203B6A"/>
              <w:bottom w:val="single" w:sz="8" w:space="0" w:color="203B6A"/>
              <w:right w:val="single" w:sz="8" w:space="0" w:color="203B6A"/>
            </w:tcBorders>
            <w:shd w:val="clear" w:color="auto" w:fill="auto"/>
            <w:tcMar>
              <w:top w:w="72" w:type="dxa"/>
              <w:left w:w="144" w:type="dxa"/>
              <w:bottom w:w="72" w:type="dxa"/>
              <w:right w:w="144" w:type="dxa"/>
            </w:tcMar>
            <w:hideMark/>
          </w:tcPr>
          <w:p w14:paraId="069E1AB5" w14:textId="77777777" w:rsidR="00DF38EA" w:rsidRPr="00DF38EA" w:rsidRDefault="00DF38EA" w:rsidP="00336DC5">
            <w:pPr>
              <w:rPr>
                <w:rFonts w:cstheme="minorHAnsi"/>
                <w:b/>
                <w:bCs/>
              </w:rPr>
            </w:pPr>
            <w:r w:rsidRPr="00DF38EA">
              <w:rPr>
                <w:rFonts w:cstheme="minorHAnsi"/>
                <w:b/>
                <w:bCs/>
              </w:rPr>
              <w:t>Graduation Rate</w:t>
            </w:r>
          </w:p>
        </w:tc>
        <w:tc>
          <w:tcPr>
            <w:tcW w:w="6401" w:type="dxa"/>
            <w:tcBorders>
              <w:top w:val="single" w:sz="8" w:space="0" w:color="203B6A"/>
              <w:left w:val="single" w:sz="8" w:space="0" w:color="203B6A"/>
              <w:bottom w:val="single" w:sz="8" w:space="0" w:color="203B6A"/>
              <w:right w:val="single" w:sz="4" w:space="0" w:color="203B6A"/>
            </w:tcBorders>
            <w:shd w:val="clear" w:color="auto" w:fill="auto"/>
            <w:tcMar>
              <w:top w:w="72" w:type="dxa"/>
              <w:left w:w="144" w:type="dxa"/>
              <w:bottom w:w="72" w:type="dxa"/>
              <w:right w:w="144" w:type="dxa"/>
            </w:tcMar>
            <w:hideMark/>
          </w:tcPr>
          <w:p w14:paraId="7A7344B4" w14:textId="77777777" w:rsidR="00DF38EA" w:rsidRPr="0045346A" w:rsidRDefault="00DF38EA" w:rsidP="009F167B">
            <w:pPr>
              <w:rPr>
                <w:rFonts w:cstheme="minorHAnsi"/>
                <w:lang w:val="fr-FR"/>
              </w:rPr>
            </w:pPr>
            <w:r w:rsidRPr="0045346A">
              <w:rPr>
                <w:rFonts w:cstheme="minorHAnsi"/>
                <w:lang w:val="fr-FR"/>
              </w:rPr>
              <w:t xml:space="preserve">Profiles: </w:t>
            </w:r>
            <w:hyperlink r:id="rId99" w:history="1">
              <w:r w:rsidRPr="0045346A">
                <w:rPr>
                  <w:rStyle w:val="Hyperlink"/>
                  <w:rFonts w:cstheme="minorHAnsi"/>
                  <w:lang w:val="fr-FR"/>
                </w:rPr>
                <w:t>https://profiles.doe.mass.edu/statereport/gradrates.aspx</w:t>
              </w:r>
            </w:hyperlink>
            <w:r w:rsidRPr="0045346A">
              <w:rPr>
                <w:rFonts w:cstheme="minorHAnsi"/>
                <w:lang w:val="fr-FR"/>
              </w:rPr>
              <w:t> </w:t>
            </w:r>
          </w:p>
          <w:p w14:paraId="331FB201" w14:textId="79530310" w:rsidR="00DF38EA" w:rsidRPr="00DF38EA" w:rsidRDefault="00000000" w:rsidP="009F167B">
            <w:pPr>
              <w:rPr>
                <w:rFonts w:cstheme="minorHAnsi"/>
              </w:rPr>
            </w:pPr>
            <w:hyperlink r:id="rId100" w:history="1">
              <w:r w:rsidR="00DF38EA" w:rsidRPr="00926417">
                <w:rPr>
                  <w:rStyle w:val="Hyperlink"/>
                  <w:rFonts w:cstheme="minorHAnsi"/>
                </w:rPr>
                <w:t>Security Portal</w:t>
              </w:r>
            </w:hyperlink>
            <w:r w:rsidR="00DF38EA" w:rsidRPr="00DF38EA">
              <w:rPr>
                <w:rFonts w:cstheme="minorHAnsi"/>
              </w:rPr>
              <w:t>: Graduation Rate Reports</w:t>
            </w:r>
          </w:p>
        </w:tc>
      </w:tr>
      <w:tr w:rsidR="00E25A7C" w:rsidRPr="00DF38EA" w14:paraId="269D5EF3" w14:textId="77777777" w:rsidTr="00163231">
        <w:trPr>
          <w:trHeight w:val="584"/>
        </w:trPr>
        <w:tc>
          <w:tcPr>
            <w:tcW w:w="2414" w:type="dxa"/>
            <w:tcBorders>
              <w:top w:val="single" w:sz="8" w:space="0" w:color="203B6A"/>
              <w:left w:val="single" w:sz="4" w:space="0" w:color="203B6A"/>
              <w:bottom w:val="single" w:sz="8" w:space="0" w:color="203B6A"/>
              <w:right w:val="single" w:sz="8" w:space="0" w:color="203B6A"/>
            </w:tcBorders>
            <w:shd w:val="clear" w:color="auto" w:fill="auto"/>
            <w:tcMar>
              <w:top w:w="72" w:type="dxa"/>
              <w:left w:w="144" w:type="dxa"/>
              <w:bottom w:w="72" w:type="dxa"/>
              <w:right w:w="144" w:type="dxa"/>
            </w:tcMar>
          </w:tcPr>
          <w:p w14:paraId="6BAEA9FE" w14:textId="4492CD25" w:rsidR="00E25A7C" w:rsidRPr="00DF38EA" w:rsidRDefault="00E25A7C" w:rsidP="00336DC5">
            <w:pPr>
              <w:rPr>
                <w:rFonts w:cstheme="minorHAnsi"/>
                <w:b/>
                <w:bCs/>
              </w:rPr>
            </w:pPr>
            <w:r>
              <w:rPr>
                <w:rFonts w:cstheme="minorHAnsi"/>
                <w:b/>
                <w:bCs/>
              </w:rPr>
              <w:t>SPP/APR Indicator 3 – Grade 8 Reading Gap in Proficiency Rates</w:t>
            </w:r>
          </w:p>
        </w:tc>
        <w:tc>
          <w:tcPr>
            <w:tcW w:w="6401" w:type="dxa"/>
            <w:tcBorders>
              <w:top w:val="single" w:sz="8" w:space="0" w:color="203B6A"/>
              <w:left w:val="single" w:sz="8" w:space="0" w:color="203B6A"/>
              <w:bottom w:val="single" w:sz="8" w:space="0" w:color="203B6A"/>
              <w:right w:val="single" w:sz="4" w:space="0" w:color="203B6A"/>
            </w:tcBorders>
            <w:shd w:val="clear" w:color="auto" w:fill="auto"/>
            <w:tcMar>
              <w:top w:w="72" w:type="dxa"/>
              <w:left w:w="144" w:type="dxa"/>
              <w:bottom w:w="72" w:type="dxa"/>
              <w:right w:w="144" w:type="dxa"/>
            </w:tcMar>
          </w:tcPr>
          <w:p w14:paraId="0648572D" w14:textId="77777777" w:rsidR="00E25A7C" w:rsidRPr="0045346A" w:rsidRDefault="00DF656E" w:rsidP="009F167B">
            <w:pPr>
              <w:rPr>
                <w:rFonts w:cstheme="minorHAnsi"/>
                <w:lang w:val="fr-FR"/>
              </w:rPr>
            </w:pPr>
            <w:r w:rsidRPr="0045346A">
              <w:rPr>
                <w:rFonts w:cstheme="minorHAnsi"/>
                <w:lang w:val="fr-FR"/>
              </w:rPr>
              <w:t xml:space="preserve">Profiles: </w:t>
            </w:r>
            <w:hyperlink r:id="rId101" w:history="1">
              <w:r w:rsidRPr="0045346A">
                <w:rPr>
                  <w:rStyle w:val="Hyperlink"/>
                  <w:rFonts w:cstheme="minorHAnsi"/>
                  <w:lang w:val="fr-FR"/>
                </w:rPr>
                <w:t>https://profiles.doe.mass.edu/statereport/nextgenmcas.aspx</w:t>
              </w:r>
            </w:hyperlink>
            <w:r w:rsidRPr="0045346A">
              <w:rPr>
                <w:rFonts w:cstheme="minorHAnsi"/>
                <w:lang w:val="fr-FR"/>
              </w:rPr>
              <w:t xml:space="preserve"> </w:t>
            </w:r>
          </w:p>
          <w:p w14:paraId="26BC733B" w14:textId="57916704" w:rsidR="006A50E1" w:rsidRPr="00DF38EA" w:rsidRDefault="00000000" w:rsidP="009F167B">
            <w:pPr>
              <w:rPr>
                <w:rFonts w:cstheme="minorHAnsi"/>
              </w:rPr>
            </w:pPr>
            <w:hyperlink r:id="rId102" w:history="1">
              <w:r w:rsidR="006A50E1" w:rsidRPr="00926417">
                <w:rPr>
                  <w:rStyle w:val="Hyperlink"/>
                  <w:rFonts w:cstheme="minorHAnsi"/>
                </w:rPr>
                <w:t>Security Portal</w:t>
              </w:r>
            </w:hyperlink>
            <w:r w:rsidR="006A50E1">
              <w:rPr>
                <w:rStyle w:val="Hyperlink"/>
                <w:rFonts w:cstheme="minorHAnsi"/>
              </w:rPr>
              <w:t xml:space="preserve">: </w:t>
            </w:r>
            <w:r w:rsidR="006A50E1">
              <w:rPr>
                <w:rFonts w:cstheme="minorHAnsi"/>
              </w:rPr>
              <w:t>Assessment – Achievement Analysis</w:t>
            </w:r>
          </w:p>
        </w:tc>
      </w:tr>
      <w:tr w:rsidR="00E25A7C" w:rsidRPr="00DF38EA" w14:paraId="5DC8069C" w14:textId="77777777" w:rsidTr="00163231">
        <w:trPr>
          <w:trHeight w:val="584"/>
        </w:trPr>
        <w:tc>
          <w:tcPr>
            <w:tcW w:w="2414" w:type="dxa"/>
            <w:tcBorders>
              <w:top w:val="single" w:sz="8" w:space="0" w:color="203B6A"/>
              <w:left w:val="single" w:sz="4" w:space="0" w:color="203B6A"/>
              <w:bottom w:val="single" w:sz="8" w:space="0" w:color="203B6A"/>
              <w:right w:val="single" w:sz="8" w:space="0" w:color="203B6A"/>
            </w:tcBorders>
            <w:shd w:val="clear" w:color="auto" w:fill="auto"/>
            <w:tcMar>
              <w:top w:w="72" w:type="dxa"/>
              <w:left w:w="144" w:type="dxa"/>
              <w:bottom w:w="72" w:type="dxa"/>
              <w:right w:w="144" w:type="dxa"/>
            </w:tcMar>
          </w:tcPr>
          <w:p w14:paraId="5D6550FE" w14:textId="53105471" w:rsidR="00E25A7C" w:rsidRPr="00DF38EA" w:rsidRDefault="00E25A7C" w:rsidP="00E25A7C">
            <w:pPr>
              <w:rPr>
                <w:rFonts w:cstheme="minorHAnsi"/>
                <w:b/>
                <w:bCs/>
              </w:rPr>
            </w:pPr>
            <w:r w:rsidRPr="00DF38EA">
              <w:rPr>
                <w:rFonts w:cstheme="minorHAnsi"/>
                <w:b/>
                <w:bCs/>
              </w:rPr>
              <w:t>SPP/APR Performance (5, &amp; 6)</w:t>
            </w:r>
          </w:p>
        </w:tc>
        <w:tc>
          <w:tcPr>
            <w:tcW w:w="6401" w:type="dxa"/>
            <w:tcBorders>
              <w:top w:val="single" w:sz="8" w:space="0" w:color="203B6A"/>
              <w:left w:val="single" w:sz="8" w:space="0" w:color="203B6A"/>
              <w:bottom w:val="single" w:sz="8" w:space="0" w:color="203B6A"/>
              <w:right w:val="single" w:sz="4" w:space="0" w:color="203B6A"/>
            </w:tcBorders>
            <w:shd w:val="clear" w:color="auto" w:fill="auto"/>
            <w:tcMar>
              <w:top w:w="72" w:type="dxa"/>
              <w:left w:w="144" w:type="dxa"/>
              <w:bottom w:w="72" w:type="dxa"/>
              <w:right w:w="144" w:type="dxa"/>
            </w:tcMar>
          </w:tcPr>
          <w:p w14:paraId="01AFC43A" w14:textId="77777777" w:rsidR="00E25A7C" w:rsidRPr="00DF38EA" w:rsidRDefault="00E25A7C" w:rsidP="00E25A7C">
            <w:pPr>
              <w:rPr>
                <w:rFonts w:cstheme="minorHAnsi"/>
              </w:rPr>
            </w:pPr>
            <w:r>
              <w:rPr>
                <w:rFonts w:cstheme="minorHAnsi"/>
              </w:rPr>
              <w:t xml:space="preserve">The </w:t>
            </w:r>
            <w:r w:rsidRPr="00DF38EA">
              <w:rPr>
                <w:rFonts w:cstheme="minorHAnsi"/>
              </w:rPr>
              <w:t xml:space="preserve">3-21 LRE rate is calculated by DESE specifically for the </w:t>
            </w:r>
            <w:r>
              <w:rPr>
                <w:rFonts w:cstheme="minorHAnsi"/>
              </w:rPr>
              <w:t xml:space="preserve">LEA </w:t>
            </w:r>
            <w:r w:rsidRPr="00DF38EA">
              <w:rPr>
                <w:rFonts w:cstheme="minorHAnsi"/>
              </w:rPr>
              <w:t>determinations</w:t>
            </w:r>
            <w:r>
              <w:rPr>
                <w:rFonts w:cstheme="minorHAnsi"/>
              </w:rPr>
              <w:t xml:space="preserve"> </w:t>
            </w:r>
          </w:p>
          <w:p w14:paraId="4F079027" w14:textId="092B5167" w:rsidR="00E25A7C" w:rsidRPr="00DF38EA" w:rsidRDefault="00E25A7C" w:rsidP="00E25A7C">
            <w:pPr>
              <w:rPr>
                <w:rFonts w:cstheme="minorHAnsi"/>
              </w:rPr>
            </w:pPr>
            <w:r w:rsidRPr="00DF38EA">
              <w:rPr>
                <w:rFonts w:cstheme="minorHAnsi"/>
              </w:rPr>
              <w:t>Indicator 5: SIMS element DOE034 – 10 </w:t>
            </w:r>
          </w:p>
          <w:p w14:paraId="12E106A1" w14:textId="5DDE8255" w:rsidR="00E25A7C" w:rsidRPr="00DF38EA" w:rsidRDefault="00E25A7C" w:rsidP="00E25A7C">
            <w:pPr>
              <w:rPr>
                <w:rFonts w:cstheme="minorHAnsi"/>
              </w:rPr>
            </w:pPr>
            <w:r w:rsidRPr="00DF38EA">
              <w:rPr>
                <w:rFonts w:cstheme="minorHAnsi"/>
              </w:rPr>
              <w:lastRenderedPageBreak/>
              <w:t>Indicator 6: SIMS element DOE032 – 31 &amp; 34</w:t>
            </w:r>
          </w:p>
        </w:tc>
      </w:tr>
      <w:tr w:rsidR="00E25A7C" w:rsidRPr="00DF38EA" w14:paraId="494FD405" w14:textId="77777777" w:rsidTr="00163231">
        <w:trPr>
          <w:trHeight w:val="584"/>
        </w:trPr>
        <w:tc>
          <w:tcPr>
            <w:tcW w:w="2414" w:type="dxa"/>
            <w:tcBorders>
              <w:top w:val="single" w:sz="8" w:space="0" w:color="203B6A"/>
              <w:left w:val="single" w:sz="4" w:space="0" w:color="203B6A"/>
              <w:bottom w:val="single" w:sz="8" w:space="0" w:color="203B6A"/>
              <w:right w:val="single" w:sz="8" w:space="0" w:color="203B6A"/>
            </w:tcBorders>
            <w:shd w:val="clear" w:color="auto" w:fill="auto"/>
            <w:tcMar>
              <w:top w:w="72" w:type="dxa"/>
              <w:left w:w="144" w:type="dxa"/>
              <w:bottom w:w="72" w:type="dxa"/>
              <w:right w:w="144" w:type="dxa"/>
            </w:tcMar>
          </w:tcPr>
          <w:p w14:paraId="03711010" w14:textId="00AA498C" w:rsidR="00E25A7C" w:rsidRPr="00DF38EA" w:rsidRDefault="00E25A7C" w:rsidP="00E25A7C">
            <w:pPr>
              <w:rPr>
                <w:rFonts w:cstheme="minorHAnsi"/>
                <w:b/>
                <w:bCs/>
              </w:rPr>
            </w:pPr>
            <w:r>
              <w:rPr>
                <w:rFonts w:cstheme="minorHAnsi"/>
                <w:b/>
                <w:bCs/>
              </w:rPr>
              <w:lastRenderedPageBreak/>
              <w:t>SPP</w:t>
            </w:r>
            <w:r w:rsidRPr="00DF38EA">
              <w:rPr>
                <w:rFonts w:cstheme="minorHAnsi"/>
                <w:b/>
                <w:bCs/>
              </w:rPr>
              <w:t>/APR Compliance (4B, 9, &amp; 10)</w:t>
            </w:r>
          </w:p>
        </w:tc>
        <w:tc>
          <w:tcPr>
            <w:tcW w:w="6401" w:type="dxa"/>
            <w:tcBorders>
              <w:top w:val="single" w:sz="8" w:space="0" w:color="203B6A"/>
              <w:left w:val="single" w:sz="8" w:space="0" w:color="203B6A"/>
              <w:bottom w:val="single" w:sz="8" w:space="0" w:color="203B6A"/>
              <w:right w:val="single" w:sz="4" w:space="0" w:color="203B6A"/>
            </w:tcBorders>
            <w:shd w:val="clear" w:color="auto" w:fill="auto"/>
            <w:tcMar>
              <w:top w:w="72" w:type="dxa"/>
              <w:left w:w="144" w:type="dxa"/>
              <w:bottom w:w="72" w:type="dxa"/>
              <w:right w:w="144" w:type="dxa"/>
            </w:tcMar>
          </w:tcPr>
          <w:p w14:paraId="4EBF6606" w14:textId="77777777" w:rsidR="00E25A7C" w:rsidRPr="00DF38EA" w:rsidRDefault="00E25A7C" w:rsidP="00E25A7C">
            <w:pPr>
              <w:rPr>
                <w:rFonts w:cstheme="minorHAnsi"/>
              </w:rPr>
            </w:pPr>
            <w:r w:rsidRPr="00DF38EA">
              <w:rPr>
                <w:rFonts w:cstheme="minorHAnsi"/>
              </w:rPr>
              <w:t xml:space="preserve">Flagged and Identified </w:t>
            </w:r>
            <w:r>
              <w:rPr>
                <w:rFonts w:cstheme="minorHAnsi"/>
              </w:rPr>
              <w:t>District</w:t>
            </w:r>
            <w:r w:rsidRPr="00DF38EA">
              <w:rPr>
                <w:rFonts w:cstheme="minorHAnsi"/>
              </w:rPr>
              <w:t>s have data emailed to the Superintendent and Special Education Director</w:t>
            </w:r>
          </w:p>
          <w:p w14:paraId="2381E58B" w14:textId="1FB9C6C1" w:rsidR="00E25A7C" w:rsidRDefault="00E25A7C" w:rsidP="00E25A7C">
            <w:pPr>
              <w:rPr>
                <w:rFonts w:cstheme="minorHAnsi"/>
              </w:rPr>
            </w:pPr>
            <w:r w:rsidRPr="00DF38EA">
              <w:rPr>
                <w:rFonts w:cstheme="minorHAnsi"/>
              </w:rPr>
              <w:t xml:space="preserve">Publicly reporting on </w:t>
            </w:r>
            <w:r w:rsidRPr="00830B98">
              <w:rPr>
                <w:rStyle w:val="eop"/>
                <w:rFonts w:cstheme="minorHAnsi"/>
              </w:rPr>
              <w:t>district</w:t>
            </w:r>
            <w:r w:rsidRPr="00DF38EA">
              <w:rPr>
                <w:rFonts w:cstheme="minorHAnsi"/>
              </w:rPr>
              <w:t xml:space="preserve"> status:</w:t>
            </w:r>
            <w:r w:rsidRPr="0084433B">
              <w:rPr>
                <w:rFonts w:cstheme="minorHAnsi"/>
              </w:rPr>
              <w:t xml:space="preserve"> </w:t>
            </w:r>
            <w:hyperlink r:id="rId103" w:history="1">
              <w:r w:rsidRPr="00DF38EA">
                <w:rPr>
                  <w:rStyle w:val="Hyperlink"/>
                  <w:rFonts w:cstheme="minorHAnsi"/>
                </w:rPr>
                <w:t>https://profiles.doe.mass.edu/statereport/special_education.aspx</w:t>
              </w:r>
            </w:hyperlink>
          </w:p>
        </w:tc>
      </w:tr>
      <w:tr w:rsidR="00E25A7C" w:rsidRPr="00DF38EA" w14:paraId="2A2CE660" w14:textId="77777777" w:rsidTr="00163231">
        <w:trPr>
          <w:trHeight w:val="584"/>
        </w:trPr>
        <w:tc>
          <w:tcPr>
            <w:tcW w:w="2414" w:type="dxa"/>
            <w:tcBorders>
              <w:top w:val="single" w:sz="8" w:space="0" w:color="203B6A"/>
              <w:left w:val="single" w:sz="4" w:space="0" w:color="203B6A"/>
              <w:bottom w:val="single" w:sz="8" w:space="0" w:color="203B6A"/>
              <w:right w:val="single" w:sz="8" w:space="0" w:color="203B6A"/>
            </w:tcBorders>
            <w:shd w:val="clear" w:color="auto" w:fill="auto"/>
            <w:tcMar>
              <w:top w:w="72" w:type="dxa"/>
              <w:left w:w="144" w:type="dxa"/>
              <w:bottom w:w="72" w:type="dxa"/>
              <w:right w:w="144" w:type="dxa"/>
            </w:tcMar>
          </w:tcPr>
          <w:p w14:paraId="702950B5" w14:textId="4D389796" w:rsidR="00E25A7C" w:rsidRPr="00DF38EA" w:rsidRDefault="00E25A7C" w:rsidP="00E25A7C">
            <w:pPr>
              <w:rPr>
                <w:rFonts w:cstheme="minorHAnsi"/>
                <w:b/>
                <w:bCs/>
              </w:rPr>
            </w:pPr>
            <w:r>
              <w:rPr>
                <w:rFonts w:cstheme="minorHAnsi"/>
                <w:b/>
                <w:bCs/>
              </w:rPr>
              <w:t>SPP/APR Compliance (11-13)</w:t>
            </w:r>
          </w:p>
        </w:tc>
        <w:tc>
          <w:tcPr>
            <w:tcW w:w="6401" w:type="dxa"/>
            <w:tcBorders>
              <w:top w:val="single" w:sz="8" w:space="0" w:color="203B6A"/>
              <w:left w:val="single" w:sz="8" w:space="0" w:color="203B6A"/>
              <w:bottom w:val="single" w:sz="8" w:space="0" w:color="203B6A"/>
              <w:right w:val="single" w:sz="4" w:space="0" w:color="203B6A"/>
            </w:tcBorders>
            <w:shd w:val="clear" w:color="auto" w:fill="auto"/>
            <w:tcMar>
              <w:top w:w="72" w:type="dxa"/>
              <w:left w:w="144" w:type="dxa"/>
              <w:bottom w:w="72" w:type="dxa"/>
              <w:right w:w="144" w:type="dxa"/>
            </w:tcMar>
          </w:tcPr>
          <w:p w14:paraId="7C0A174D" w14:textId="6C9E8DC7" w:rsidR="00E25A7C" w:rsidRPr="00DF38EA" w:rsidRDefault="00DF656E" w:rsidP="00E25A7C">
            <w:pPr>
              <w:rPr>
                <w:rFonts w:cstheme="minorHAnsi"/>
              </w:rPr>
            </w:pPr>
            <w:r>
              <w:rPr>
                <w:rFonts w:cstheme="minorHAnsi"/>
              </w:rPr>
              <w:t>Indicators 11-13 data are submitted to the Department using the Web Based Monitoring System (WBMS) when a district goes through Group A of the TFM.</w:t>
            </w:r>
          </w:p>
        </w:tc>
      </w:tr>
      <w:tr w:rsidR="00E25A7C" w:rsidRPr="00DF38EA" w14:paraId="16A2B9F9" w14:textId="77777777" w:rsidTr="00163231">
        <w:trPr>
          <w:trHeight w:val="584"/>
        </w:trPr>
        <w:tc>
          <w:tcPr>
            <w:tcW w:w="2414" w:type="dxa"/>
            <w:tcBorders>
              <w:top w:val="single" w:sz="8" w:space="0" w:color="203B6A"/>
              <w:left w:val="single" w:sz="4" w:space="0" w:color="203B6A"/>
              <w:bottom w:val="single" w:sz="8" w:space="0" w:color="203B6A"/>
              <w:right w:val="single" w:sz="8" w:space="0" w:color="203B6A"/>
            </w:tcBorders>
            <w:shd w:val="clear" w:color="auto" w:fill="auto"/>
            <w:tcMar>
              <w:top w:w="72" w:type="dxa"/>
              <w:left w:w="144" w:type="dxa"/>
              <w:bottom w:w="72" w:type="dxa"/>
              <w:right w:w="144" w:type="dxa"/>
            </w:tcMar>
            <w:hideMark/>
          </w:tcPr>
          <w:p w14:paraId="35BB5752" w14:textId="58F8C1C7" w:rsidR="00E25A7C" w:rsidRPr="00DF38EA" w:rsidRDefault="000244DE" w:rsidP="00E25A7C">
            <w:pPr>
              <w:rPr>
                <w:rFonts w:cstheme="minorHAnsi"/>
                <w:b/>
                <w:bCs/>
              </w:rPr>
            </w:pPr>
            <w:r>
              <w:rPr>
                <w:rFonts w:cstheme="minorHAnsi"/>
                <w:b/>
                <w:bCs/>
              </w:rPr>
              <w:t>Identification of Non-Compliance and Timely Submission/Verified Correction of Non-Compliance</w:t>
            </w:r>
          </w:p>
        </w:tc>
        <w:tc>
          <w:tcPr>
            <w:tcW w:w="6401" w:type="dxa"/>
            <w:tcBorders>
              <w:top w:val="single" w:sz="8" w:space="0" w:color="203B6A"/>
              <w:left w:val="single" w:sz="8" w:space="0" w:color="203B6A"/>
              <w:bottom w:val="single" w:sz="8" w:space="0" w:color="203B6A"/>
              <w:right w:val="single" w:sz="4" w:space="0" w:color="203B6A"/>
            </w:tcBorders>
            <w:shd w:val="clear" w:color="auto" w:fill="auto"/>
            <w:tcMar>
              <w:top w:w="72" w:type="dxa"/>
              <w:left w:w="144" w:type="dxa"/>
              <w:bottom w:w="72" w:type="dxa"/>
              <w:right w:w="144" w:type="dxa"/>
            </w:tcMar>
            <w:hideMark/>
          </w:tcPr>
          <w:p w14:paraId="49D83A7B" w14:textId="77777777" w:rsidR="000244DE" w:rsidRDefault="000244DE" w:rsidP="00E25A7C">
            <w:pPr>
              <w:rPr>
                <w:rFonts w:cstheme="minorHAnsi"/>
                <w:b/>
                <w:bCs/>
              </w:rPr>
            </w:pPr>
            <w:r w:rsidRPr="00DF38EA">
              <w:rPr>
                <w:rFonts w:cstheme="minorHAnsi"/>
                <w:b/>
                <w:bCs/>
              </w:rPr>
              <w:t xml:space="preserve">Public School Monitoring </w:t>
            </w:r>
          </w:p>
          <w:p w14:paraId="43861E73" w14:textId="77777777" w:rsidR="00E25A7C" w:rsidRDefault="00E25A7C" w:rsidP="00E25A7C">
            <w:pPr>
              <w:rPr>
                <w:rFonts w:cstheme="minorHAnsi"/>
              </w:rPr>
            </w:pPr>
            <w:r w:rsidRPr="00DF38EA">
              <w:rPr>
                <w:rFonts w:cstheme="minorHAnsi"/>
              </w:rPr>
              <w:t>Public School Tiered Focused Monitoring Reports: </w:t>
            </w:r>
            <w:r w:rsidRPr="00DF38EA">
              <w:rPr>
                <w:rFonts w:cstheme="minorHAnsi"/>
              </w:rPr>
              <w:br/>
            </w:r>
            <w:hyperlink r:id="rId104" w:history="1">
              <w:r w:rsidRPr="00DF38EA">
                <w:rPr>
                  <w:rStyle w:val="Hyperlink"/>
                  <w:rFonts w:cstheme="minorHAnsi"/>
                </w:rPr>
                <w:t>https://www.doe.mass.edu/psm/tfm/reports/</w:t>
              </w:r>
            </w:hyperlink>
            <w:r w:rsidRPr="00DF38EA">
              <w:rPr>
                <w:rFonts w:cstheme="minorHAnsi"/>
              </w:rPr>
              <w:t> </w:t>
            </w:r>
          </w:p>
          <w:p w14:paraId="29FA0766" w14:textId="77777777" w:rsidR="000244DE" w:rsidRDefault="000244DE" w:rsidP="00E25A7C">
            <w:pPr>
              <w:rPr>
                <w:rFonts w:cstheme="minorHAnsi"/>
                <w:b/>
                <w:bCs/>
              </w:rPr>
            </w:pPr>
            <w:r w:rsidRPr="00DF38EA">
              <w:rPr>
                <w:rFonts w:cstheme="minorHAnsi"/>
                <w:b/>
                <w:bCs/>
              </w:rPr>
              <w:t>Problem Resolution System</w:t>
            </w:r>
          </w:p>
          <w:p w14:paraId="6F11BD94" w14:textId="77FA8E6C" w:rsidR="000244DE" w:rsidRPr="00DF38EA" w:rsidRDefault="00000000" w:rsidP="00E25A7C">
            <w:pPr>
              <w:rPr>
                <w:rFonts w:cstheme="minorHAnsi"/>
              </w:rPr>
            </w:pPr>
            <w:hyperlink r:id="rId105" w:history="1">
              <w:r w:rsidR="000244DE" w:rsidRPr="00DF38EA">
                <w:rPr>
                  <w:rStyle w:val="Hyperlink"/>
                  <w:rFonts w:cstheme="minorHAnsi"/>
                </w:rPr>
                <w:t>compliance@doe.mass.edu</w:t>
              </w:r>
            </w:hyperlink>
          </w:p>
        </w:tc>
      </w:tr>
    </w:tbl>
    <w:p w14:paraId="7D46EE5B" w14:textId="77777777" w:rsidR="00E25A7C" w:rsidRDefault="00E25A7C" w:rsidP="001B457D">
      <w:pPr>
        <w:pStyle w:val="Heading2"/>
        <w:spacing w:after="240"/>
        <w:rPr>
          <w:rStyle w:val="eop"/>
          <w:b/>
          <w:bCs/>
        </w:rPr>
      </w:pPr>
      <w:bookmarkStart w:id="31" w:name="_Department_Contact_Information"/>
      <w:bookmarkEnd w:id="31"/>
    </w:p>
    <w:p w14:paraId="7EB2CF61" w14:textId="5E18ECF2" w:rsidR="00AB448B" w:rsidRPr="00AB448B" w:rsidRDefault="00AB448B" w:rsidP="001B457D">
      <w:pPr>
        <w:pStyle w:val="Heading2"/>
        <w:spacing w:after="240"/>
        <w:rPr>
          <w:b/>
          <w:bCs/>
        </w:rPr>
      </w:pPr>
      <w:r>
        <w:rPr>
          <w:rStyle w:val="eop"/>
          <w:b/>
          <w:bCs/>
        </w:rPr>
        <w:t>Department Contact Information</w:t>
      </w:r>
    </w:p>
    <w:p w14:paraId="5482042A" w14:textId="6568C0A1" w:rsidR="00DF38EA" w:rsidRDefault="0042638E" w:rsidP="0084433B">
      <w:pPr>
        <w:spacing w:before="240"/>
        <w:ind w:left="720"/>
        <w:rPr>
          <w:rFonts w:cstheme="minorHAnsi"/>
          <w:b/>
          <w:bCs/>
        </w:rPr>
      </w:pPr>
      <w:r w:rsidRPr="0042638E">
        <w:rPr>
          <w:rFonts w:cstheme="minorHAnsi"/>
          <w:b/>
          <w:bCs/>
        </w:rPr>
        <w:t xml:space="preserve">Who do I </w:t>
      </w:r>
      <w:r w:rsidR="00B47000">
        <w:rPr>
          <w:rFonts w:cstheme="minorHAnsi"/>
          <w:b/>
          <w:bCs/>
        </w:rPr>
        <w:t>c</w:t>
      </w:r>
      <w:r w:rsidRPr="0042638E">
        <w:rPr>
          <w:rFonts w:cstheme="minorHAnsi"/>
          <w:b/>
          <w:bCs/>
        </w:rPr>
        <w:t xml:space="preserve">ontact with </w:t>
      </w:r>
      <w:r w:rsidR="00B47000">
        <w:rPr>
          <w:rFonts w:cstheme="minorHAnsi"/>
          <w:b/>
          <w:bCs/>
        </w:rPr>
        <w:t>a</w:t>
      </w:r>
      <w:r w:rsidRPr="0042638E">
        <w:rPr>
          <w:rFonts w:cstheme="minorHAnsi"/>
          <w:b/>
          <w:bCs/>
        </w:rPr>
        <w:t xml:space="preserve">dditional </w:t>
      </w:r>
      <w:r w:rsidR="00B47000">
        <w:rPr>
          <w:rFonts w:cstheme="minorHAnsi"/>
          <w:b/>
          <w:bCs/>
        </w:rPr>
        <w:t>d</w:t>
      </w:r>
      <w:r w:rsidRPr="0042638E">
        <w:rPr>
          <w:rFonts w:cstheme="minorHAnsi"/>
          <w:b/>
          <w:bCs/>
        </w:rPr>
        <w:t xml:space="preserve">ata </w:t>
      </w:r>
      <w:r w:rsidR="00B47000">
        <w:rPr>
          <w:rFonts w:cstheme="minorHAnsi"/>
          <w:b/>
          <w:bCs/>
        </w:rPr>
        <w:t>q</w:t>
      </w:r>
      <w:r w:rsidRPr="0042638E">
        <w:rPr>
          <w:rFonts w:cstheme="minorHAnsi"/>
          <w:b/>
          <w:bCs/>
        </w:rPr>
        <w:t>uestions?</w:t>
      </w:r>
    </w:p>
    <w:tbl>
      <w:tblPr>
        <w:tblW w:w="8784" w:type="dxa"/>
        <w:tblInd w:w="1291" w:type="dxa"/>
        <w:tblCellMar>
          <w:left w:w="0" w:type="dxa"/>
          <w:right w:w="0" w:type="dxa"/>
        </w:tblCellMar>
        <w:tblLook w:val="0420" w:firstRow="1" w:lastRow="0" w:firstColumn="0" w:lastColumn="0" w:noHBand="0" w:noVBand="1"/>
      </w:tblPr>
      <w:tblGrid>
        <w:gridCol w:w="3988"/>
        <w:gridCol w:w="4796"/>
      </w:tblGrid>
      <w:tr w:rsidR="0042638E" w:rsidRPr="0042638E" w14:paraId="7F678203" w14:textId="77777777" w:rsidTr="03C077EC">
        <w:trPr>
          <w:trHeight w:val="584"/>
        </w:trPr>
        <w:tc>
          <w:tcPr>
            <w:tcW w:w="0" w:type="auto"/>
            <w:tcBorders>
              <w:top w:val="single" w:sz="4" w:space="0" w:color="203B6A"/>
              <w:left w:val="single" w:sz="4" w:space="0" w:color="203B6A"/>
              <w:bottom w:val="single" w:sz="8" w:space="0" w:color="203B6A"/>
              <w:right w:val="single" w:sz="8" w:space="0" w:color="203B6A"/>
            </w:tcBorders>
            <w:shd w:val="clear" w:color="auto" w:fill="C6D4EE"/>
            <w:tcMar>
              <w:top w:w="72" w:type="dxa"/>
              <w:left w:w="144" w:type="dxa"/>
              <w:bottom w:w="72" w:type="dxa"/>
              <w:right w:w="144" w:type="dxa"/>
            </w:tcMar>
            <w:hideMark/>
          </w:tcPr>
          <w:p w14:paraId="1C28A678" w14:textId="77777777" w:rsidR="0042638E" w:rsidRPr="0042638E" w:rsidRDefault="0042638E" w:rsidP="00E81EB9">
            <w:pPr>
              <w:rPr>
                <w:rFonts w:cstheme="minorHAnsi"/>
                <w:b/>
                <w:bCs/>
              </w:rPr>
            </w:pPr>
            <w:r w:rsidRPr="0042638E">
              <w:rPr>
                <w:rFonts w:cstheme="minorHAnsi"/>
                <w:b/>
                <w:bCs/>
              </w:rPr>
              <w:t>Measure</w:t>
            </w:r>
          </w:p>
        </w:tc>
        <w:tc>
          <w:tcPr>
            <w:tcW w:w="4796" w:type="dxa"/>
            <w:tcBorders>
              <w:top w:val="single" w:sz="4" w:space="0" w:color="203B6A"/>
              <w:left w:val="single" w:sz="8" w:space="0" w:color="203B6A"/>
              <w:bottom w:val="single" w:sz="8" w:space="0" w:color="203B6A"/>
              <w:right w:val="single" w:sz="4" w:space="0" w:color="203B6A"/>
            </w:tcBorders>
            <w:shd w:val="clear" w:color="auto" w:fill="C6D4EE"/>
            <w:tcMar>
              <w:top w:w="72" w:type="dxa"/>
              <w:left w:w="144" w:type="dxa"/>
              <w:bottom w:w="72" w:type="dxa"/>
              <w:right w:w="144" w:type="dxa"/>
            </w:tcMar>
            <w:hideMark/>
          </w:tcPr>
          <w:p w14:paraId="5E871618" w14:textId="77777777" w:rsidR="0042638E" w:rsidRPr="0042638E" w:rsidRDefault="0042638E" w:rsidP="00E81EB9">
            <w:pPr>
              <w:rPr>
                <w:rFonts w:cstheme="minorHAnsi"/>
                <w:b/>
                <w:bCs/>
              </w:rPr>
            </w:pPr>
            <w:r w:rsidRPr="0042638E">
              <w:rPr>
                <w:rFonts w:cstheme="minorHAnsi"/>
                <w:b/>
                <w:bCs/>
              </w:rPr>
              <w:t>Resources/Reports</w:t>
            </w:r>
          </w:p>
        </w:tc>
      </w:tr>
      <w:tr w:rsidR="0042638E" w:rsidRPr="0042638E" w14:paraId="7A1B2B4F" w14:textId="77777777" w:rsidTr="03C077EC">
        <w:trPr>
          <w:trHeight w:val="720"/>
        </w:trPr>
        <w:tc>
          <w:tcPr>
            <w:tcW w:w="0" w:type="auto"/>
            <w:tcBorders>
              <w:top w:val="single" w:sz="8" w:space="0" w:color="203B6A"/>
              <w:left w:val="single" w:sz="4" w:space="0" w:color="203B6A"/>
              <w:bottom w:val="single" w:sz="8" w:space="0" w:color="203B6A"/>
              <w:right w:val="single" w:sz="8" w:space="0" w:color="203B6A"/>
            </w:tcBorders>
            <w:shd w:val="clear" w:color="auto" w:fill="auto"/>
            <w:tcMar>
              <w:top w:w="72" w:type="dxa"/>
              <w:left w:w="144" w:type="dxa"/>
              <w:bottom w:w="72" w:type="dxa"/>
              <w:right w:w="144" w:type="dxa"/>
            </w:tcMar>
            <w:vAlign w:val="center"/>
            <w:hideMark/>
          </w:tcPr>
          <w:p w14:paraId="40F3B17D" w14:textId="77777777" w:rsidR="0042638E" w:rsidRPr="0042638E" w:rsidRDefault="0042638E" w:rsidP="00402E38">
            <w:pPr>
              <w:rPr>
                <w:rFonts w:cstheme="minorHAnsi"/>
                <w:b/>
                <w:bCs/>
              </w:rPr>
            </w:pPr>
            <w:r w:rsidRPr="0042638E">
              <w:rPr>
                <w:rFonts w:cstheme="minorHAnsi"/>
                <w:b/>
                <w:bCs/>
              </w:rPr>
              <w:t>Annual Dropout Rate</w:t>
            </w:r>
          </w:p>
          <w:p w14:paraId="5FECE0C0" w14:textId="77777777" w:rsidR="0042638E" w:rsidRPr="0042638E" w:rsidRDefault="0042638E" w:rsidP="00402E38">
            <w:pPr>
              <w:rPr>
                <w:rFonts w:cstheme="minorHAnsi"/>
                <w:b/>
                <w:bCs/>
              </w:rPr>
            </w:pPr>
            <w:r w:rsidRPr="0042638E">
              <w:rPr>
                <w:rFonts w:cstheme="minorHAnsi"/>
                <w:b/>
                <w:bCs/>
              </w:rPr>
              <w:t>Graduation Rate</w:t>
            </w:r>
          </w:p>
        </w:tc>
        <w:tc>
          <w:tcPr>
            <w:tcW w:w="4796" w:type="dxa"/>
            <w:tcBorders>
              <w:top w:val="single" w:sz="8" w:space="0" w:color="203B6A"/>
              <w:left w:val="single" w:sz="8" w:space="0" w:color="203B6A"/>
              <w:bottom w:val="single" w:sz="8" w:space="0" w:color="203B6A"/>
              <w:right w:val="single" w:sz="4" w:space="0" w:color="203B6A"/>
            </w:tcBorders>
            <w:shd w:val="clear" w:color="auto" w:fill="auto"/>
            <w:tcMar>
              <w:top w:w="72" w:type="dxa"/>
              <w:left w:w="144" w:type="dxa"/>
              <w:bottom w:w="72" w:type="dxa"/>
              <w:right w:w="144" w:type="dxa"/>
            </w:tcMar>
            <w:vAlign w:val="center"/>
            <w:hideMark/>
          </w:tcPr>
          <w:p w14:paraId="1D770583" w14:textId="77777777" w:rsidR="0042638E" w:rsidRPr="0042638E" w:rsidRDefault="00000000" w:rsidP="00402E38">
            <w:pPr>
              <w:rPr>
                <w:rFonts w:cstheme="minorHAnsi"/>
              </w:rPr>
            </w:pPr>
            <w:hyperlink r:id="rId106" w:history="1">
              <w:r w:rsidR="0042638E" w:rsidRPr="0042638E">
                <w:rPr>
                  <w:rStyle w:val="Hyperlink"/>
                  <w:rFonts w:cstheme="minorHAnsi"/>
                </w:rPr>
                <w:t>data@doe.mass.edu</w:t>
              </w:r>
            </w:hyperlink>
            <w:r w:rsidR="0042638E" w:rsidRPr="0042638E">
              <w:rPr>
                <w:rFonts w:cstheme="minorHAnsi"/>
                <w:u w:val="single"/>
              </w:rPr>
              <w:t xml:space="preserve"> </w:t>
            </w:r>
          </w:p>
        </w:tc>
      </w:tr>
      <w:tr w:rsidR="0042638E" w:rsidRPr="0042638E" w14:paraId="01533034" w14:textId="77777777" w:rsidTr="000244DE">
        <w:trPr>
          <w:trHeight w:val="584"/>
        </w:trPr>
        <w:tc>
          <w:tcPr>
            <w:tcW w:w="0" w:type="auto"/>
            <w:tcBorders>
              <w:top w:val="single" w:sz="8" w:space="0" w:color="203B6A"/>
              <w:left w:val="single" w:sz="4" w:space="0" w:color="203B6A"/>
              <w:bottom w:val="single" w:sz="8" w:space="0" w:color="203B6A"/>
              <w:right w:val="single" w:sz="8" w:space="0" w:color="203B6A"/>
            </w:tcBorders>
            <w:shd w:val="clear" w:color="auto" w:fill="auto"/>
            <w:tcMar>
              <w:top w:w="72" w:type="dxa"/>
              <w:left w:w="144" w:type="dxa"/>
              <w:bottom w:w="72" w:type="dxa"/>
              <w:right w:w="144" w:type="dxa"/>
            </w:tcMar>
            <w:vAlign w:val="center"/>
          </w:tcPr>
          <w:p w14:paraId="7F5962CB" w14:textId="3BDBA715" w:rsidR="0042638E" w:rsidRPr="0042638E" w:rsidRDefault="000244DE" w:rsidP="00402E38">
            <w:pPr>
              <w:rPr>
                <w:rFonts w:cstheme="minorHAnsi"/>
                <w:b/>
                <w:bCs/>
              </w:rPr>
            </w:pPr>
            <w:r>
              <w:rPr>
                <w:rFonts w:cstheme="minorHAnsi"/>
                <w:b/>
                <w:bCs/>
              </w:rPr>
              <w:t>Indicator 3 – Statewide Assessment (MCAS)</w:t>
            </w:r>
          </w:p>
        </w:tc>
        <w:tc>
          <w:tcPr>
            <w:tcW w:w="4796" w:type="dxa"/>
            <w:tcBorders>
              <w:top w:val="single" w:sz="8" w:space="0" w:color="203B6A"/>
              <w:left w:val="single" w:sz="8" w:space="0" w:color="203B6A"/>
              <w:bottom w:val="single" w:sz="8" w:space="0" w:color="203B6A"/>
              <w:right w:val="single" w:sz="4" w:space="0" w:color="203B6A"/>
            </w:tcBorders>
            <w:shd w:val="clear" w:color="auto" w:fill="auto"/>
            <w:tcMar>
              <w:top w:w="72" w:type="dxa"/>
              <w:left w:w="144" w:type="dxa"/>
              <w:bottom w:w="72" w:type="dxa"/>
              <w:right w:w="144" w:type="dxa"/>
            </w:tcMar>
            <w:vAlign w:val="center"/>
          </w:tcPr>
          <w:p w14:paraId="232FF192" w14:textId="004D353E" w:rsidR="0042638E" w:rsidRPr="003E02F8" w:rsidRDefault="00000000" w:rsidP="00402E38">
            <w:pPr>
              <w:rPr>
                <w:rFonts w:cstheme="minorHAnsi"/>
              </w:rPr>
            </w:pPr>
            <w:hyperlink r:id="rId107" w:history="1">
              <w:r w:rsidR="003E02F8" w:rsidRPr="003E02F8">
                <w:rPr>
                  <w:rStyle w:val="Hyperlink"/>
                  <w:rFonts w:ascii="Segoe UI" w:hAnsi="Segoe UI" w:cs="Segoe UI"/>
                  <w:color w:val="0060C7"/>
                  <w:sz w:val="19"/>
                  <w:szCs w:val="19"/>
                  <w:shd w:val="clear" w:color="auto" w:fill="FFFFFF"/>
                </w:rPr>
                <w:t>mcas@doe.mass.edu</w:t>
              </w:r>
            </w:hyperlink>
          </w:p>
        </w:tc>
      </w:tr>
      <w:tr w:rsidR="000244DE" w:rsidRPr="0042638E" w14:paraId="258F242A" w14:textId="77777777" w:rsidTr="03C077EC">
        <w:trPr>
          <w:trHeight w:val="584"/>
        </w:trPr>
        <w:tc>
          <w:tcPr>
            <w:tcW w:w="0" w:type="auto"/>
            <w:tcBorders>
              <w:top w:val="single" w:sz="8" w:space="0" w:color="203B6A"/>
              <w:left w:val="single" w:sz="4" w:space="0" w:color="203B6A"/>
              <w:bottom w:val="single" w:sz="8" w:space="0" w:color="203B6A"/>
              <w:right w:val="single" w:sz="8" w:space="0" w:color="203B6A"/>
            </w:tcBorders>
            <w:shd w:val="clear" w:color="auto" w:fill="auto"/>
            <w:tcMar>
              <w:top w:w="72" w:type="dxa"/>
              <w:left w:w="144" w:type="dxa"/>
              <w:bottom w:w="72" w:type="dxa"/>
              <w:right w:w="144" w:type="dxa"/>
            </w:tcMar>
            <w:vAlign w:val="center"/>
          </w:tcPr>
          <w:p w14:paraId="4CD876E4" w14:textId="4348480C" w:rsidR="000244DE" w:rsidRPr="0042638E" w:rsidRDefault="000244DE" w:rsidP="000244DE">
            <w:pPr>
              <w:rPr>
                <w:rFonts w:cstheme="minorHAnsi"/>
                <w:b/>
                <w:bCs/>
              </w:rPr>
            </w:pPr>
            <w:r w:rsidRPr="0042638E">
              <w:rPr>
                <w:rFonts w:cstheme="minorHAnsi"/>
                <w:b/>
                <w:bCs/>
              </w:rPr>
              <w:t xml:space="preserve">Special Ed. SPP/APR Performance </w:t>
            </w:r>
            <w:r>
              <w:rPr>
                <w:rFonts w:cstheme="minorHAnsi"/>
                <w:b/>
                <w:bCs/>
              </w:rPr>
              <w:br/>
            </w:r>
            <w:r w:rsidRPr="0042638E">
              <w:rPr>
                <w:rFonts w:cstheme="minorHAnsi"/>
                <w:b/>
                <w:bCs/>
              </w:rPr>
              <w:t>(5, &amp; 6)</w:t>
            </w:r>
          </w:p>
        </w:tc>
        <w:tc>
          <w:tcPr>
            <w:tcW w:w="4796" w:type="dxa"/>
            <w:tcBorders>
              <w:top w:val="single" w:sz="8" w:space="0" w:color="203B6A"/>
              <w:left w:val="single" w:sz="8" w:space="0" w:color="203B6A"/>
              <w:bottom w:val="single" w:sz="8" w:space="0" w:color="203B6A"/>
              <w:right w:val="single" w:sz="4" w:space="0" w:color="203B6A"/>
            </w:tcBorders>
            <w:shd w:val="clear" w:color="auto" w:fill="auto"/>
            <w:tcMar>
              <w:top w:w="72" w:type="dxa"/>
              <w:left w:w="144" w:type="dxa"/>
              <w:bottom w:w="72" w:type="dxa"/>
              <w:right w:w="144" w:type="dxa"/>
            </w:tcMar>
            <w:vAlign w:val="center"/>
          </w:tcPr>
          <w:p w14:paraId="2755E717" w14:textId="4700B9E5" w:rsidR="000244DE" w:rsidRDefault="00000000" w:rsidP="000244DE">
            <w:hyperlink r:id="rId108" w:history="1">
              <w:r w:rsidR="000244DE" w:rsidRPr="0042638E">
                <w:rPr>
                  <w:rStyle w:val="Hyperlink"/>
                  <w:rFonts w:cstheme="minorHAnsi"/>
                </w:rPr>
                <w:t>Specialeducation@doe.mass.edu</w:t>
              </w:r>
            </w:hyperlink>
            <w:r w:rsidR="000244DE" w:rsidRPr="0042638E">
              <w:rPr>
                <w:rFonts w:cstheme="minorHAnsi"/>
              </w:rPr>
              <w:t> </w:t>
            </w:r>
          </w:p>
        </w:tc>
      </w:tr>
      <w:tr w:rsidR="003E02F8" w:rsidRPr="0042638E" w14:paraId="470EDCB3" w14:textId="77777777" w:rsidTr="03C077EC">
        <w:trPr>
          <w:trHeight w:val="584"/>
        </w:trPr>
        <w:tc>
          <w:tcPr>
            <w:tcW w:w="0" w:type="auto"/>
            <w:tcBorders>
              <w:top w:val="single" w:sz="8" w:space="0" w:color="203B6A"/>
              <w:left w:val="single" w:sz="4" w:space="0" w:color="203B6A"/>
              <w:bottom w:val="single" w:sz="8" w:space="0" w:color="203B6A"/>
              <w:right w:val="single" w:sz="8" w:space="0" w:color="203B6A"/>
            </w:tcBorders>
            <w:shd w:val="clear" w:color="auto" w:fill="auto"/>
            <w:tcMar>
              <w:top w:w="72" w:type="dxa"/>
              <w:left w:w="144" w:type="dxa"/>
              <w:bottom w:w="72" w:type="dxa"/>
              <w:right w:w="144" w:type="dxa"/>
            </w:tcMar>
            <w:vAlign w:val="center"/>
          </w:tcPr>
          <w:p w14:paraId="3BDB607F" w14:textId="3C676510" w:rsidR="003E02F8" w:rsidRPr="0042638E" w:rsidRDefault="003E02F8" w:rsidP="003E02F8">
            <w:pPr>
              <w:rPr>
                <w:rFonts w:cstheme="minorHAnsi"/>
                <w:b/>
                <w:bCs/>
              </w:rPr>
            </w:pPr>
            <w:r w:rsidRPr="0042638E">
              <w:rPr>
                <w:rFonts w:cstheme="minorHAnsi"/>
                <w:b/>
                <w:bCs/>
              </w:rPr>
              <w:t xml:space="preserve">Special Ed. SPP/APR Compliance </w:t>
            </w:r>
            <w:r>
              <w:rPr>
                <w:rFonts w:cstheme="minorHAnsi"/>
                <w:b/>
                <w:bCs/>
              </w:rPr>
              <w:br/>
            </w:r>
            <w:r w:rsidRPr="0042638E">
              <w:rPr>
                <w:rFonts w:cstheme="minorHAnsi"/>
                <w:b/>
                <w:bCs/>
              </w:rPr>
              <w:t>(4B, 9, &amp; 10)</w:t>
            </w:r>
          </w:p>
        </w:tc>
        <w:tc>
          <w:tcPr>
            <w:tcW w:w="4796" w:type="dxa"/>
            <w:tcBorders>
              <w:top w:val="single" w:sz="8" w:space="0" w:color="203B6A"/>
              <w:left w:val="single" w:sz="8" w:space="0" w:color="203B6A"/>
              <w:bottom w:val="single" w:sz="8" w:space="0" w:color="203B6A"/>
              <w:right w:val="single" w:sz="4" w:space="0" w:color="203B6A"/>
            </w:tcBorders>
            <w:shd w:val="clear" w:color="auto" w:fill="auto"/>
            <w:tcMar>
              <w:top w:w="72" w:type="dxa"/>
              <w:left w:w="144" w:type="dxa"/>
              <w:bottom w:w="72" w:type="dxa"/>
              <w:right w:w="144" w:type="dxa"/>
            </w:tcMar>
            <w:vAlign w:val="center"/>
          </w:tcPr>
          <w:p w14:paraId="6A11C712" w14:textId="659CEE07" w:rsidR="003E02F8" w:rsidRDefault="00000000" w:rsidP="003E02F8">
            <w:hyperlink r:id="rId109" w:history="1">
              <w:r w:rsidR="003E02F8" w:rsidRPr="0042638E">
                <w:rPr>
                  <w:rStyle w:val="Hyperlink"/>
                  <w:rFonts w:cstheme="minorHAnsi"/>
                </w:rPr>
                <w:t>Specialeducation@doe.mass.edu</w:t>
              </w:r>
            </w:hyperlink>
            <w:r w:rsidR="003E02F8" w:rsidRPr="0042638E">
              <w:rPr>
                <w:rFonts w:cstheme="minorHAnsi"/>
              </w:rPr>
              <w:t> </w:t>
            </w:r>
          </w:p>
        </w:tc>
      </w:tr>
      <w:tr w:rsidR="003E02F8" w:rsidRPr="0042638E" w14:paraId="25357689" w14:textId="77777777" w:rsidTr="003E02F8">
        <w:trPr>
          <w:trHeight w:val="584"/>
        </w:trPr>
        <w:tc>
          <w:tcPr>
            <w:tcW w:w="0" w:type="auto"/>
            <w:tcBorders>
              <w:top w:val="single" w:sz="8" w:space="0" w:color="203B6A"/>
              <w:left w:val="single" w:sz="4" w:space="0" w:color="203B6A"/>
              <w:bottom w:val="single" w:sz="8" w:space="0" w:color="203B6A"/>
              <w:right w:val="single" w:sz="8" w:space="0" w:color="203B6A"/>
            </w:tcBorders>
            <w:shd w:val="clear" w:color="auto" w:fill="auto"/>
            <w:tcMar>
              <w:top w:w="72" w:type="dxa"/>
              <w:left w:w="144" w:type="dxa"/>
              <w:bottom w:w="72" w:type="dxa"/>
              <w:right w:w="144" w:type="dxa"/>
            </w:tcMar>
            <w:vAlign w:val="center"/>
          </w:tcPr>
          <w:p w14:paraId="6F6CFD46" w14:textId="704C8E1F" w:rsidR="003E02F8" w:rsidRPr="0042638E" w:rsidRDefault="003E02F8" w:rsidP="003E02F8">
            <w:pPr>
              <w:rPr>
                <w:rFonts w:cstheme="minorHAnsi"/>
                <w:b/>
                <w:bCs/>
              </w:rPr>
            </w:pPr>
            <w:r>
              <w:rPr>
                <w:rFonts w:cstheme="minorHAnsi"/>
                <w:b/>
                <w:bCs/>
              </w:rPr>
              <w:t>SPP/APR Compliance (11-13)</w:t>
            </w:r>
          </w:p>
        </w:tc>
        <w:tc>
          <w:tcPr>
            <w:tcW w:w="4796" w:type="dxa"/>
            <w:tcBorders>
              <w:top w:val="single" w:sz="8" w:space="0" w:color="203B6A"/>
              <w:left w:val="single" w:sz="8" w:space="0" w:color="203B6A"/>
              <w:bottom w:val="single" w:sz="8" w:space="0" w:color="203B6A"/>
              <w:right w:val="single" w:sz="4" w:space="0" w:color="203B6A"/>
            </w:tcBorders>
            <w:shd w:val="clear" w:color="auto" w:fill="auto"/>
            <w:tcMar>
              <w:top w:w="72" w:type="dxa"/>
              <w:left w:w="144" w:type="dxa"/>
              <w:bottom w:w="72" w:type="dxa"/>
              <w:right w:w="144" w:type="dxa"/>
            </w:tcMar>
            <w:vAlign w:val="center"/>
          </w:tcPr>
          <w:p w14:paraId="088D5C55" w14:textId="77777777" w:rsidR="003E02F8" w:rsidRDefault="00000000" w:rsidP="003E02F8">
            <w:pPr>
              <w:rPr>
                <w:rStyle w:val="Hyperlink"/>
                <w:rFonts w:cstheme="minorHAnsi"/>
              </w:rPr>
            </w:pPr>
            <w:hyperlink r:id="rId110" w:history="1">
              <w:r w:rsidR="003E02F8" w:rsidRPr="0042638E">
                <w:rPr>
                  <w:rStyle w:val="Hyperlink"/>
                  <w:rFonts w:cstheme="minorHAnsi"/>
                </w:rPr>
                <w:t>https://www.doe.mass.edu/psm/contact-info.html</w:t>
              </w:r>
            </w:hyperlink>
          </w:p>
          <w:p w14:paraId="433D6416" w14:textId="53812FB2" w:rsidR="003E02F8" w:rsidRPr="0042638E" w:rsidRDefault="003E02F8" w:rsidP="003E02F8">
            <w:r>
              <w:rPr>
                <w:rStyle w:val="Hyperlink"/>
              </w:rPr>
              <w:lastRenderedPageBreak/>
              <w:t>specialeducation@doe.mass.edu</w:t>
            </w:r>
          </w:p>
        </w:tc>
      </w:tr>
      <w:tr w:rsidR="003E02F8" w:rsidRPr="0042638E" w14:paraId="2CD83BD7" w14:textId="77777777" w:rsidTr="003E02F8">
        <w:trPr>
          <w:trHeight w:val="651"/>
        </w:trPr>
        <w:tc>
          <w:tcPr>
            <w:tcW w:w="0" w:type="auto"/>
            <w:tcBorders>
              <w:top w:val="single" w:sz="8" w:space="0" w:color="203B6A"/>
              <w:left w:val="single" w:sz="4" w:space="0" w:color="203B6A"/>
              <w:bottom w:val="single" w:sz="8" w:space="0" w:color="203B6A"/>
              <w:right w:val="single" w:sz="8" w:space="0" w:color="203B6A"/>
            </w:tcBorders>
            <w:shd w:val="clear" w:color="auto" w:fill="auto"/>
            <w:tcMar>
              <w:top w:w="72" w:type="dxa"/>
              <w:left w:w="144" w:type="dxa"/>
              <w:bottom w:w="72" w:type="dxa"/>
              <w:right w:w="144" w:type="dxa"/>
            </w:tcMar>
            <w:vAlign w:val="center"/>
          </w:tcPr>
          <w:p w14:paraId="0F1137BF" w14:textId="7ECE1CA7" w:rsidR="003E02F8" w:rsidRPr="0042638E" w:rsidRDefault="003E02F8" w:rsidP="003E02F8">
            <w:pPr>
              <w:rPr>
                <w:rFonts w:cstheme="minorHAnsi"/>
                <w:b/>
                <w:bCs/>
              </w:rPr>
            </w:pPr>
            <w:r w:rsidRPr="0042638E">
              <w:rPr>
                <w:rFonts w:cstheme="minorHAnsi"/>
                <w:b/>
                <w:bCs/>
              </w:rPr>
              <w:lastRenderedPageBreak/>
              <w:t>Problem Resolution System Complaints</w:t>
            </w:r>
          </w:p>
        </w:tc>
        <w:tc>
          <w:tcPr>
            <w:tcW w:w="4796" w:type="dxa"/>
            <w:tcBorders>
              <w:top w:val="single" w:sz="8" w:space="0" w:color="203B6A"/>
              <w:left w:val="single" w:sz="8" w:space="0" w:color="203B6A"/>
              <w:bottom w:val="single" w:sz="8" w:space="0" w:color="203B6A"/>
              <w:right w:val="single" w:sz="4" w:space="0" w:color="203B6A"/>
            </w:tcBorders>
            <w:shd w:val="clear" w:color="auto" w:fill="auto"/>
            <w:tcMar>
              <w:top w:w="72" w:type="dxa"/>
              <w:left w:w="144" w:type="dxa"/>
              <w:bottom w:w="72" w:type="dxa"/>
              <w:right w:w="144" w:type="dxa"/>
            </w:tcMar>
            <w:vAlign w:val="center"/>
          </w:tcPr>
          <w:p w14:paraId="229442ED" w14:textId="442E29CE" w:rsidR="003E02F8" w:rsidRPr="0042638E" w:rsidRDefault="00000000" w:rsidP="003E02F8">
            <w:pPr>
              <w:rPr>
                <w:rFonts w:cstheme="minorHAnsi"/>
              </w:rPr>
            </w:pPr>
            <w:hyperlink r:id="rId111" w:history="1">
              <w:r w:rsidR="003E02F8" w:rsidRPr="00D16DA5">
                <w:rPr>
                  <w:rStyle w:val="Hyperlink"/>
                </w:rPr>
                <w:t>compliance@doe.mass.edu </w:t>
              </w:r>
            </w:hyperlink>
          </w:p>
        </w:tc>
      </w:tr>
      <w:tr w:rsidR="003E02F8" w:rsidRPr="0042638E" w14:paraId="2120F767" w14:textId="77777777" w:rsidTr="000244DE">
        <w:trPr>
          <w:trHeight w:val="584"/>
        </w:trPr>
        <w:tc>
          <w:tcPr>
            <w:tcW w:w="0" w:type="auto"/>
            <w:tcBorders>
              <w:top w:val="single" w:sz="8" w:space="0" w:color="203B6A"/>
              <w:left w:val="single" w:sz="4" w:space="0" w:color="203B6A"/>
              <w:bottom w:val="single" w:sz="8" w:space="0" w:color="203B6A"/>
              <w:right w:val="single" w:sz="8" w:space="0" w:color="203B6A"/>
            </w:tcBorders>
            <w:shd w:val="clear" w:color="auto" w:fill="auto"/>
            <w:tcMar>
              <w:top w:w="72" w:type="dxa"/>
              <w:left w:w="144" w:type="dxa"/>
              <w:bottom w:w="72" w:type="dxa"/>
              <w:right w:w="144" w:type="dxa"/>
            </w:tcMar>
            <w:vAlign w:val="center"/>
          </w:tcPr>
          <w:p w14:paraId="7E7C745A" w14:textId="10751461" w:rsidR="003E02F8" w:rsidRPr="0042638E" w:rsidRDefault="003E02F8" w:rsidP="003E02F8">
            <w:pPr>
              <w:rPr>
                <w:rFonts w:cstheme="minorHAnsi"/>
                <w:b/>
                <w:bCs/>
              </w:rPr>
            </w:pPr>
            <w:r w:rsidRPr="0042638E">
              <w:rPr>
                <w:rFonts w:cstheme="minorHAnsi"/>
                <w:b/>
                <w:bCs/>
              </w:rPr>
              <w:t>Public School Monitoring Compliance</w:t>
            </w:r>
          </w:p>
        </w:tc>
        <w:tc>
          <w:tcPr>
            <w:tcW w:w="4796" w:type="dxa"/>
            <w:tcBorders>
              <w:top w:val="single" w:sz="8" w:space="0" w:color="203B6A"/>
              <w:left w:val="single" w:sz="8" w:space="0" w:color="203B6A"/>
              <w:bottom w:val="single" w:sz="8" w:space="0" w:color="203B6A"/>
              <w:right w:val="single" w:sz="4" w:space="0" w:color="203B6A"/>
            </w:tcBorders>
            <w:shd w:val="clear" w:color="auto" w:fill="auto"/>
            <w:tcMar>
              <w:top w:w="72" w:type="dxa"/>
              <w:left w:w="144" w:type="dxa"/>
              <w:bottom w:w="72" w:type="dxa"/>
              <w:right w:w="144" w:type="dxa"/>
            </w:tcMar>
            <w:vAlign w:val="center"/>
          </w:tcPr>
          <w:p w14:paraId="0788AB51" w14:textId="769B98D7" w:rsidR="003E02F8" w:rsidRPr="0042638E" w:rsidRDefault="00000000" w:rsidP="003E02F8">
            <w:pPr>
              <w:rPr>
                <w:rFonts w:cstheme="minorHAnsi"/>
              </w:rPr>
            </w:pPr>
            <w:hyperlink r:id="rId112" w:history="1">
              <w:r w:rsidR="003E02F8" w:rsidRPr="0042638E">
                <w:rPr>
                  <w:rStyle w:val="Hyperlink"/>
                  <w:rFonts w:cstheme="minorHAnsi"/>
                </w:rPr>
                <w:t>https://www.doe.mass.edu/psm/contact-info.html</w:t>
              </w:r>
            </w:hyperlink>
            <w:r w:rsidR="003E02F8" w:rsidRPr="0042638E">
              <w:rPr>
                <w:rFonts w:cstheme="minorHAnsi"/>
              </w:rPr>
              <w:t xml:space="preserve"> </w:t>
            </w:r>
          </w:p>
        </w:tc>
      </w:tr>
      <w:bookmarkEnd w:id="0"/>
    </w:tbl>
    <w:p w14:paraId="5670A838" w14:textId="654BFBF5" w:rsidR="03C077EC" w:rsidRDefault="03C077EC"/>
    <w:p w14:paraId="19455CCF" w14:textId="085CFAD1" w:rsidR="00CB52BB" w:rsidRPr="00E52B5E" w:rsidRDefault="00CB52BB" w:rsidP="00D100EE">
      <w:pPr>
        <w:spacing w:before="240"/>
        <w:rPr>
          <w:rFonts w:cstheme="minorHAnsi"/>
        </w:rPr>
      </w:pPr>
    </w:p>
    <w:sectPr w:rsidR="00CB52BB" w:rsidRPr="00E52B5E" w:rsidSect="000C7C96">
      <w:headerReference w:type="default" r:id="rId113"/>
      <w:footerReference w:type="default" r:id="rId114"/>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9815A2" w14:textId="77777777" w:rsidR="000C7C96" w:rsidRDefault="000C7C96" w:rsidP="001C4617">
      <w:pPr>
        <w:spacing w:after="0" w:line="240" w:lineRule="auto"/>
      </w:pPr>
      <w:r>
        <w:separator/>
      </w:r>
    </w:p>
  </w:endnote>
  <w:endnote w:type="continuationSeparator" w:id="0">
    <w:p w14:paraId="00424C84" w14:textId="77777777" w:rsidR="000C7C96" w:rsidRDefault="000C7C96" w:rsidP="001C4617">
      <w:pPr>
        <w:spacing w:after="0" w:line="240" w:lineRule="auto"/>
      </w:pPr>
      <w:r>
        <w:continuationSeparator/>
      </w:r>
    </w:p>
  </w:endnote>
  <w:endnote w:type="continuationNotice" w:id="1">
    <w:p w14:paraId="1FAF4728" w14:textId="77777777" w:rsidR="000C7C96" w:rsidRDefault="000C7C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7173D" w14:textId="73EB9F1C" w:rsidR="03C077EC" w:rsidRDefault="03C077EC" w:rsidP="03C077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410"/>
      <w:gridCol w:w="4410"/>
      <w:gridCol w:w="4410"/>
    </w:tblGrid>
    <w:tr w:rsidR="03C077EC" w14:paraId="0FF735AC" w14:textId="77777777" w:rsidTr="03C077EC">
      <w:trPr>
        <w:trHeight w:val="300"/>
      </w:trPr>
      <w:tc>
        <w:tcPr>
          <w:tcW w:w="4410" w:type="dxa"/>
        </w:tcPr>
        <w:p w14:paraId="23C5015F" w14:textId="1047A179" w:rsidR="03C077EC" w:rsidRDefault="03C077EC" w:rsidP="03C077EC">
          <w:pPr>
            <w:pStyle w:val="Header"/>
            <w:ind w:left="-115"/>
          </w:pPr>
        </w:p>
      </w:tc>
      <w:tc>
        <w:tcPr>
          <w:tcW w:w="4410" w:type="dxa"/>
        </w:tcPr>
        <w:p w14:paraId="6A9EAEF3" w14:textId="7731897C" w:rsidR="03C077EC" w:rsidRDefault="03C077EC" w:rsidP="03C077EC">
          <w:pPr>
            <w:pStyle w:val="Header"/>
            <w:jc w:val="center"/>
          </w:pPr>
        </w:p>
      </w:tc>
      <w:tc>
        <w:tcPr>
          <w:tcW w:w="4410" w:type="dxa"/>
        </w:tcPr>
        <w:p w14:paraId="309DCEB1" w14:textId="529E0FFC" w:rsidR="03C077EC" w:rsidRDefault="03C077EC" w:rsidP="03C077EC">
          <w:pPr>
            <w:pStyle w:val="Header"/>
            <w:ind w:right="-115"/>
            <w:jc w:val="right"/>
          </w:pPr>
        </w:p>
      </w:tc>
    </w:tr>
  </w:tbl>
  <w:p w14:paraId="0F56BF05" w14:textId="06DD05AD" w:rsidR="03C077EC" w:rsidRDefault="03C077EC" w:rsidP="03C077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306C3" w14:textId="598AE7DC" w:rsidR="03C077EC" w:rsidRDefault="03C077EC" w:rsidP="03C07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9EFC77" w14:textId="77777777" w:rsidR="000C7C96" w:rsidRDefault="000C7C96" w:rsidP="001C4617">
      <w:pPr>
        <w:spacing w:after="0" w:line="240" w:lineRule="auto"/>
      </w:pPr>
      <w:r>
        <w:separator/>
      </w:r>
    </w:p>
  </w:footnote>
  <w:footnote w:type="continuationSeparator" w:id="0">
    <w:p w14:paraId="363937B9" w14:textId="77777777" w:rsidR="000C7C96" w:rsidRDefault="000C7C96" w:rsidP="001C4617">
      <w:pPr>
        <w:spacing w:after="0" w:line="240" w:lineRule="auto"/>
      </w:pPr>
      <w:r>
        <w:continuationSeparator/>
      </w:r>
    </w:p>
  </w:footnote>
  <w:footnote w:type="continuationNotice" w:id="1">
    <w:p w14:paraId="55B29039" w14:textId="77777777" w:rsidR="000C7C96" w:rsidRDefault="000C7C96">
      <w:pPr>
        <w:spacing w:after="0" w:line="240" w:lineRule="auto"/>
      </w:pPr>
    </w:p>
  </w:footnote>
  <w:footnote w:id="2">
    <w:p w14:paraId="26A1152C" w14:textId="018CED49" w:rsidR="001C4617" w:rsidRDefault="001C4617">
      <w:pPr>
        <w:pStyle w:val="FootnoteText"/>
      </w:pPr>
      <w:r>
        <w:rPr>
          <w:rStyle w:val="FootnoteReference"/>
        </w:rPr>
        <w:footnoteRef/>
      </w:r>
      <w:r>
        <w:t xml:space="preserve"> References to IDEA made in this document concern</w:t>
      </w:r>
      <w:r w:rsidR="001412E5">
        <w:t xml:space="preserve"> IDEA</w:t>
      </w:r>
      <w:r>
        <w:t xml:space="preserve"> Part B</w:t>
      </w:r>
      <w:r w:rsidR="003B6D01">
        <w:t>. IDEA Part B</w:t>
      </w:r>
      <w:r w:rsidR="006E50B6">
        <w:t xml:space="preserve"> </w:t>
      </w:r>
      <w:r w:rsidR="006E50B6" w:rsidRPr="006E50B6">
        <w:t>includes provisions related to formula grants that assist states in providing a free appropriate public education in the least restrictive environment for children with disabilities ages three through 21</w:t>
      </w:r>
      <w:r w:rsidR="006E50B6">
        <w:t xml:space="preserve">. </w:t>
      </w:r>
      <w:r w:rsidR="006E50B6" w:rsidRPr="002906C5">
        <w:rPr>
          <w:i/>
          <w:iCs/>
        </w:rPr>
        <w:t>See</w:t>
      </w:r>
      <w:r w:rsidR="006E50B6">
        <w:t xml:space="preserve"> </w:t>
      </w:r>
      <w:hyperlink r:id="rId1" w:history="1">
        <w:r w:rsidR="00234B92" w:rsidRPr="005F43E7">
          <w:rPr>
            <w:rStyle w:val="Hyperlink"/>
          </w:rPr>
          <w:t>IDE</w:t>
        </w:r>
        <w:r w:rsidR="005675C2" w:rsidRPr="005F43E7">
          <w:rPr>
            <w:rStyle w:val="Hyperlink"/>
          </w:rPr>
          <w:t>A</w:t>
        </w:r>
        <w:r w:rsidR="00234B92" w:rsidRPr="005F43E7">
          <w:rPr>
            <w:rStyle w:val="Hyperlink"/>
          </w:rPr>
          <w:t xml:space="preserve"> </w:t>
        </w:r>
        <w:r w:rsidR="005675C2" w:rsidRPr="005F43E7">
          <w:rPr>
            <w:rStyle w:val="Hyperlink"/>
          </w:rPr>
          <w:t>Statute and Regulations</w:t>
        </w:r>
      </w:hyperlink>
      <w:r w:rsidR="009E749D">
        <w:t xml:space="preserve">. </w:t>
      </w:r>
    </w:p>
  </w:footnote>
  <w:footnote w:id="3">
    <w:p w14:paraId="2E62A182" w14:textId="6DC6B19E" w:rsidR="009D6918" w:rsidRDefault="009D6918">
      <w:pPr>
        <w:pStyle w:val="FootnoteText"/>
      </w:pPr>
      <w:r>
        <w:rPr>
          <w:rStyle w:val="FootnoteReference"/>
        </w:rPr>
        <w:footnoteRef/>
      </w:r>
      <w:r>
        <w:t xml:space="preserve"> OSEP Memorandum 23-01</w:t>
      </w:r>
      <w:r w:rsidR="005A3913">
        <w:t xml:space="preserve">: State General Supervision Responsibilities Under Parts B and C of the IDEA </w:t>
      </w:r>
      <w:hyperlink r:id="rId2" w:history="1">
        <w:r w:rsidR="005A3913" w:rsidRPr="00ED60A8">
          <w:rPr>
            <w:rStyle w:val="Hyperlink"/>
          </w:rPr>
          <w:t>https://sites.ed.gov/idea/files/Guidance_on_State_General_Supervision_Responsibilities_under_Parts_B_and_C_of_IDEA-07-24-2023.pdf</w:t>
        </w:r>
      </w:hyperlink>
      <w:r w:rsidR="005A3913">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6CECA" w14:textId="4E0FEAD3" w:rsidR="03C077EC" w:rsidRDefault="03C077EC" w:rsidP="03C077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0B8F4" w14:textId="595AF08B" w:rsidR="03C077EC" w:rsidRDefault="03C077EC" w:rsidP="03C077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FF947" w14:textId="4208EAE4" w:rsidR="03C077EC" w:rsidRDefault="03C077EC" w:rsidP="03C077E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F62"/>
    <w:multiLevelType w:val="hybridMultilevel"/>
    <w:tmpl w:val="2A6A8D62"/>
    <w:lvl w:ilvl="0" w:tplc="3C0032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EF4169"/>
    <w:multiLevelType w:val="hybridMultilevel"/>
    <w:tmpl w:val="1250CDEE"/>
    <w:lvl w:ilvl="0" w:tplc="29F4F84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350A04"/>
    <w:multiLevelType w:val="hybridMultilevel"/>
    <w:tmpl w:val="13E81CA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5554EC"/>
    <w:multiLevelType w:val="hybridMultilevel"/>
    <w:tmpl w:val="56883948"/>
    <w:lvl w:ilvl="0" w:tplc="29F4F84C">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AF5529E"/>
    <w:multiLevelType w:val="hybridMultilevel"/>
    <w:tmpl w:val="88A251A6"/>
    <w:lvl w:ilvl="0" w:tplc="29F4F84C">
      <w:start w:val="1"/>
      <w:numFmt w:val="bullet"/>
      <w:lvlText w:val=""/>
      <w:lvlJc w:val="left"/>
      <w:pPr>
        <w:ind w:left="1080" w:hanging="360"/>
      </w:pPr>
      <w:rPr>
        <w:rFonts w:ascii="Symbol" w:hAnsi="Symbol" w:hint="default"/>
      </w:rPr>
    </w:lvl>
    <w:lvl w:ilvl="1" w:tplc="3E548620">
      <w:start w:val="1"/>
      <w:numFmt w:val="bullet"/>
      <w:lvlText w:val=""/>
      <w:lvlJc w:val="left"/>
      <w:pPr>
        <w:ind w:left="1800" w:hanging="360"/>
      </w:pPr>
      <w:rPr>
        <w:rFonts w:ascii="Symbol" w:hAnsi="Symbol" w:hint="default"/>
      </w:rPr>
    </w:lvl>
    <w:lvl w:ilvl="2" w:tplc="07243266">
      <w:start w:val="1"/>
      <w:numFmt w:val="bullet"/>
      <w:lvlText w:val=""/>
      <w:lvlJc w:val="left"/>
      <w:pPr>
        <w:ind w:left="2520" w:hanging="360"/>
      </w:pPr>
      <w:rPr>
        <w:rFonts w:ascii="Wingdings" w:hAnsi="Wingdings" w:hint="default"/>
      </w:rPr>
    </w:lvl>
    <w:lvl w:ilvl="3" w:tplc="E6A03318">
      <w:start w:val="1"/>
      <w:numFmt w:val="bullet"/>
      <w:lvlText w:val=""/>
      <w:lvlJc w:val="left"/>
      <w:pPr>
        <w:ind w:left="3240" w:hanging="360"/>
      </w:pPr>
      <w:rPr>
        <w:rFonts w:ascii="Symbol" w:hAnsi="Symbol" w:hint="default"/>
      </w:rPr>
    </w:lvl>
    <w:lvl w:ilvl="4" w:tplc="674AE2A6">
      <w:start w:val="1"/>
      <w:numFmt w:val="bullet"/>
      <w:lvlText w:val="o"/>
      <w:lvlJc w:val="left"/>
      <w:pPr>
        <w:ind w:left="3960" w:hanging="360"/>
      </w:pPr>
      <w:rPr>
        <w:rFonts w:ascii="Courier New" w:hAnsi="Courier New" w:hint="default"/>
      </w:rPr>
    </w:lvl>
    <w:lvl w:ilvl="5" w:tplc="963E6152">
      <w:start w:val="1"/>
      <w:numFmt w:val="bullet"/>
      <w:lvlText w:val=""/>
      <w:lvlJc w:val="left"/>
      <w:pPr>
        <w:ind w:left="4680" w:hanging="360"/>
      </w:pPr>
      <w:rPr>
        <w:rFonts w:ascii="Wingdings" w:hAnsi="Wingdings" w:hint="default"/>
      </w:rPr>
    </w:lvl>
    <w:lvl w:ilvl="6" w:tplc="F9CC8974">
      <w:start w:val="1"/>
      <w:numFmt w:val="bullet"/>
      <w:lvlText w:val=""/>
      <w:lvlJc w:val="left"/>
      <w:pPr>
        <w:ind w:left="5400" w:hanging="360"/>
      </w:pPr>
      <w:rPr>
        <w:rFonts w:ascii="Symbol" w:hAnsi="Symbol" w:hint="default"/>
      </w:rPr>
    </w:lvl>
    <w:lvl w:ilvl="7" w:tplc="A34C212E">
      <w:start w:val="1"/>
      <w:numFmt w:val="bullet"/>
      <w:lvlText w:val="o"/>
      <w:lvlJc w:val="left"/>
      <w:pPr>
        <w:ind w:left="6120" w:hanging="360"/>
      </w:pPr>
      <w:rPr>
        <w:rFonts w:ascii="Courier New" w:hAnsi="Courier New" w:hint="default"/>
      </w:rPr>
    </w:lvl>
    <w:lvl w:ilvl="8" w:tplc="2F089F94">
      <w:start w:val="1"/>
      <w:numFmt w:val="bullet"/>
      <w:lvlText w:val=""/>
      <w:lvlJc w:val="left"/>
      <w:pPr>
        <w:ind w:left="6840" w:hanging="360"/>
      </w:pPr>
      <w:rPr>
        <w:rFonts w:ascii="Wingdings" w:hAnsi="Wingdings" w:hint="default"/>
      </w:rPr>
    </w:lvl>
  </w:abstractNum>
  <w:abstractNum w:abstractNumId="5" w15:restartNumberingAfterBreak="0">
    <w:nsid w:val="287D0A93"/>
    <w:multiLevelType w:val="hybridMultilevel"/>
    <w:tmpl w:val="FCE8D776"/>
    <w:lvl w:ilvl="0" w:tplc="FFFFFFFF">
      <w:start w:val="1"/>
      <w:numFmt w:val="decimal"/>
      <w:lvlText w:val="%1."/>
      <w:lvlJc w:val="left"/>
      <w:pPr>
        <w:ind w:left="2160" w:hanging="360"/>
      </w:pPr>
      <w:rPr>
        <w:rFonts w:hint="default"/>
      </w:r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6" w15:restartNumberingAfterBreak="0">
    <w:nsid w:val="2A7740C9"/>
    <w:multiLevelType w:val="hybridMultilevel"/>
    <w:tmpl w:val="1BCCCDF2"/>
    <w:lvl w:ilvl="0" w:tplc="6E8202C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2F06A0B"/>
    <w:multiLevelType w:val="hybridMultilevel"/>
    <w:tmpl w:val="D486C7CA"/>
    <w:lvl w:ilvl="0" w:tplc="4A1C8EC8">
      <w:start w:val="1"/>
      <w:numFmt w:val="decimal"/>
      <w:lvlText w:val="%1."/>
      <w:lvlJc w:val="left"/>
      <w:pPr>
        <w:ind w:left="216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DDA1292"/>
    <w:multiLevelType w:val="hybridMultilevel"/>
    <w:tmpl w:val="FFFFFFFF"/>
    <w:lvl w:ilvl="0" w:tplc="698A3ED0">
      <w:start w:val="1"/>
      <w:numFmt w:val="bullet"/>
      <w:lvlText w:val=""/>
      <w:lvlJc w:val="left"/>
      <w:pPr>
        <w:ind w:left="1440" w:hanging="360"/>
      </w:pPr>
      <w:rPr>
        <w:rFonts w:ascii="Symbol" w:hAnsi="Symbol" w:hint="default"/>
      </w:rPr>
    </w:lvl>
    <w:lvl w:ilvl="1" w:tplc="0DF00CB8">
      <w:start w:val="1"/>
      <w:numFmt w:val="bullet"/>
      <w:lvlText w:val="o"/>
      <w:lvlJc w:val="left"/>
      <w:pPr>
        <w:ind w:left="2160" w:hanging="360"/>
      </w:pPr>
      <w:rPr>
        <w:rFonts w:ascii="Courier New" w:hAnsi="Courier New" w:hint="default"/>
      </w:rPr>
    </w:lvl>
    <w:lvl w:ilvl="2" w:tplc="65F04638">
      <w:start w:val="1"/>
      <w:numFmt w:val="bullet"/>
      <w:lvlText w:val=""/>
      <w:lvlJc w:val="left"/>
      <w:pPr>
        <w:ind w:left="2880" w:hanging="360"/>
      </w:pPr>
      <w:rPr>
        <w:rFonts w:ascii="Wingdings" w:hAnsi="Wingdings" w:hint="default"/>
      </w:rPr>
    </w:lvl>
    <w:lvl w:ilvl="3" w:tplc="6606614A">
      <w:start w:val="1"/>
      <w:numFmt w:val="bullet"/>
      <w:lvlText w:val=""/>
      <w:lvlJc w:val="left"/>
      <w:pPr>
        <w:ind w:left="3600" w:hanging="360"/>
      </w:pPr>
      <w:rPr>
        <w:rFonts w:ascii="Symbol" w:hAnsi="Symbol" w:hint="default"/>
      </w:rPr>
    </w:lvl>
    <w:lvl w:ilvl="4" w:tplc="BC1C311A">
      <w:start w:val="1"/>
      <w:numFmt w:val="bullet"/>
      <w:lvlText w:val="o"/>
      <w:lvlJc w:val="left"/>
      <w:pPr>
        <w:ind w:left="4320" w:hanging="360"/>
      </w:pPr>
      <w:rPr>
        <w:rFonts w:ascii="Courier New" w:hAnsi="Courier New" w:hint="default"/>
      </w:rPr>
    </w:lvl>
    <w:lvl w:ilvl="5" w:tplc="275C6D64">
      <w:start w:val="1"/>
      <w:numFmt w:val="bullet"/>
      <w:lvlText w:val=""/>
      <w:lvlJc w:val="left"/>
      <w:pPr>
        <w:ind w:left="5040" w:hanging="360"/>
      </w:pPr>
      <w:rPr>
        <w:rFonts w:ascii="Wingdings" w:hAnsi="Wingdings" w:hint="default"/>
      </w:rPr>
    </w:lvl>
    <w:lvl w:ilvl="6" w:tplc="0D1EA4F2">
      <w:start w:val="1"/>
      <w:numFmt w:val="bullet"/>
      <w:lvlText w:val=""/>
      <w:lvlJc w:val="left"/>
      <w:pPr>
        <w:ind w:left="5760" w:hanging="360"/>
      </w:pPr>
      <w:rPr>
        <w:rFonts w:ascii="Symbol" w:hAnsi="Symbol" w:hint="default"/>
      </w:rPr>
    </w:lvl>
    <w:lvl w:ilvl="7" w:tplc="44584760">
      <w:start w:val="1"/>
      <w:numFmt w:val="bullet"/>
      <w:lvlText w:val="o"/>
      <w:lvlJc w:val="left"/>
      <w:pPr>
        <w:ind w:left="6480" w:hanging="360"/>
      </w:pPr>
      <w:rPr>
        <w:rFonts w:ascii="Courier New" w:hAnsi="Courier New" w:hint="default"/>
      </w:rPr>
    </w:lvl>
    <w:lvl w:ilvl="8" w:tplc="C59207B2">
      <w:start w:val="1"/>
      <w:numFmt w:val="bullet"/>
      <w:lvlText w:val=""/>
      <w:lvlJc w:val="left"/>
      <w:pPr>
        <w:ind w:left="7200" w:hanging="360"/>
      </w:pPr>
      <w:rPr>
        <w:rFonts w:ascii="Wingdings" w:hAnsi="Wingdings" w:hint="default"/>
      </w:rPr>
    </w:lvl>
  </w:abstractNum>
  <w:abstractNum w:abstractNumId="9" w15:restartNumberingAfterBreak="0">
    <w:nsid w:val="48827675"/>
    <w:multiLevelType w:val="hybridMultilevel"/>
    <w:tmpl w:val="86B091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4E596563"/>
    <w:multiLevelType w:val="hybridMultilevel"/>
    <w:tmpl w:val="A0F092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529906F4"/>
    <w:multiLevelType w:val="hybridMultilevel"/>
    <w:tmpl w:val="CC78C5EC"/>
    <w:lvl w:ilvl="0" w:tplc="29F4F84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44D5407"/>
    <w:multiLevelType w:val="hybridMultilevel"/>
    <w:tmpl w:val="B9FA3AC4"/>
    <w:lvl w:ilvl="0" w:tplc="29F4F84C">
      <w:start w:val="1"/>
      <w:numFmt w:val="bullet"/>
      <w:lvlText w:val=""/>
      <w:lvlJc w:val="left"/>
      <w:pPr>
        <w:ind w:left="180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F6DD014"/>
    <w:multiLevelType w:val="hybridMultilevel"/>
    <w:tmpl w:val="FFFFFFFF"/>
    <w:lvl w:ilvl="0" w:tplc="C2B643E2">
      <w:start w:val="1"/>
      <w:numFmt w:val="bullet"/>
      <w:lvlText w:val=""/>
      <w:lvlJc w:val="left"/>
      <w:pPr>
        <w:ind w:left="1440" w:hanging="360"/>
      </w:pPr>
      <w:rPr>
        <w:rFonts w:ascii="Symbol" w:hAnsi="Symbol" w:hint="default"/>
      </w:rPr>
    </w:lvl>
    <w:lvl w:ilvl="1" w:tplc="C7F47DAC">
      <w:start w:val="1"/>
      <w:numFmt w:val="bullet"/>
      <w:lvlText w:val="o"/>
      <w:lvlJc w:val="left"/>
      <w:pPr>
        <w:ind w:left="2160" w:hanging="360"/>
      </w:pPr>
      <w:rPr>
        <w:rFonts w:ascii="Courier New" w:hAnsi="Courier New" w:hint="default"/>
      </w:rPr>
    </w:lvl>
    <w:lvl w:ilvl="2" w:tplc="A274DB34">
      <w:start w:val="1"/>
      <w:numFmt w:val="bullet"/>
      <w:lvlText w:val=""/>
      <w:lvlJc w:val="left"/>
      <w:pPr>
        <w:ind w:left="2880" w:hanging="360"/>
      </w:pPr>
      <w:rPr>
        <w:rFonts w:ascii="Wingdings" w:hAnsi="Wingdings" w:hint="default"/>
      </w:rPr>
    </w:lvl>
    <w:lvl w:ilvl="3" w:tplc="FB2A4652">
      <w:start w:val="1"/>
      <w:numFmt w:val="bullet"/>
      <w:lvlText w:val=""/>
      <w:lvlJc w:val="left"/>
      <w:pPr>
        <w:ind w:left="3600" w:hanging="360"/>
      </w:pPr>
      <w:rPr>
        <w:rFonts w:ascii="Symbol" w:hAnsi="Symbol" w:hint="default"/>
      </w:rPr>
    </w:lvl>
    <w:lvl w:ilvl="4" w:tplc="46F824D2">
      <w:start w:val="1"/>
      <w:numFmt w:val="bullet"/>
      <w:lvlText w:val="o"/>
      <w:lvlJc w:val="left"/>
      <w:pPr>
        <w:ind w:left="4320" w:hanging="360"/>
      </w:pPr>
      <w:rPr>
        <w:rFonts w:ascii="Courier New" w:hAnsi="Courier New" w:hint="default"/>
      </w:rPr>
    </w:lvl>
    <w:lvl w:ilvl="5" w:tplc="DE6EB990">
      <w:start w:val="1"/>
      <w:numFmt w:val="bullet"/>
      <w:lvlText w:val=""/>
      <w:lvlJc w:val="left"/>
      <w:pPr>
        <w:ind w:left="5040" w:hanging="360"/>
      </w:pPr>
      <w:rPr>
        <w:rFonts w:ascii="Wingdings" w:hAnsi="Wingdings" w:hint="default"/>
      </w:rPr>
    </w:lvl>
    <w:lvl w:ilvl="6" w:tplc="51ACC6DA">
      <w:start w:val="1"/>
      <w:numFmt w:val="bullet"/>
      <w:lvlText w:val=""/>
      <w:lvlJc w:val="left"/>
      <w:pPr>
        <w:ind w:left="5760" w:hanging="360"/>
      </w:pPr>
      <w:rPr>
        <w:rFonts w:ascii="Symbol" w:hAnsi="Symbol" w:hint="default"/>
      </w:rPr>
    </w:lvl>
    <w:lvl w:ilvl="7" w:tplc="432427DC">
      <w:start w:val="1"/>
      <w:numFmt w:val="bullet"/>
      <w:lvlText w:val="o"/>
      <w:lvlJc w:val="left"/>
      <w:pPr>
        <w:ind w:left="6480" w:hanging="360"/>
      </w:pPr>
      <w:rPr>
        <w:rFonts w:ascii="Courier New" w:hAnsi="Courier New" w:hint="default"/>
      </w:rPr>
    </w:lvl>
    <w:lvl w:ilvl="8" w:tplc="AD284994">
      <w:start w:val="1"/>
      <w:numFmt w:val="bullet"/>
      <w:lvlText w:val=""/>
      <w:lvlJc w:val="left"/>
      <w:pPr>
        <w:ind w:left="7200" w:hanging="360"/>
      </w:pPr>
      <w:rPr>
        <w:rFonts w:ascii="Wingdings" w:hAnsi="Wingdings" w:hint="default"/>
      </w:rPr>
    </w:lvl>
  </w:abstractNum>
  <w:abstractNum w:abstractNumId="14" w15:restartNumberingAfterBreak="0">
    <w:nsid w:val="61263408"/>
    <w:multiLevelType w:val="hybridMultilevel"/>
    <w:tmpl w:val="AB72E862"/>
    <w:lvl w:ilvl="0" w:tplc="E62843F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3B648A"/>
    <w:multiLevelType w:val="hybridMultilevel"/>
    <w:tmpl w:val="3FC23F90"/>
    <w:lvl w:ilvl="0" w:tplc="FFFFFFFF">
      <w:start w:val="1"/>
      <w:numFmt w:val="decimal"/>
      <w:lvlText w:val="%1."/>
      <w:lvlJc w:val="left"/>
      <w:pPr>
        <w:ind w:left="1800" w:hanging="360"/>
      </w:p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68D15F3B"/>
    <w:multiLevelType w:val="hybridMultilevel"/>
    <w:tmpl w:val="12B0283C"/>
    <w:lvl w:ilvl="0" w:tplc="4A1C8E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446464393">
    <w:abstractNumId w:val="13"/>
  </w:num>
  <w:num w:numId="2" w16cid:durableId="2102409915">
    <w:abstractNumId w:val="8"/>
  </w:num>
  <w:num w:numId="3" w16cid:durableId="532495408">
    <w:abstractNumId w:val="4"/>
  </w:num>
  <w:num w:numId="4" w16cid:durableId="1092243237">
    <w:abstractNumId w:val="14"/>
  </w:num>
  <w:num w:numId="5" w16cid:durableId="677315340">
    <w:abstractNumId w:val="1"/>
  </w:num>
  <w:num w:numId="6" w16cid:durableId="104279324">
    <w:abstractNumId w:val="11"/>
  </w:num>
  <w:num w:numId="7" w16cid:durableId="1312707848">
    <w:abstractNumId w:val="12"/>
  </w:num>
  <w:num w:numId="8" w16cid:durableId="1370909523">
    <w:abstractNumId w:val="2"/>
  </w:num>
  <w:num w:numId="9" w16cid:durableId="1444152947">
    <w:abstractNumId w:val="3"/>
  </w:num>
  <w:num w:numId="10" w16cid:durableId="1580553565">
    <w:abstractNumId w:val="5"/>
  </w:num>
  <w:num w:numId="11" w16cid:durableId="912354128">
    <w:abstractNumId w:val="16"/>
  </w:num>
  <w:num w:numId="12" w16cid:durableId="1181620903">
    <w:abstractNumId w:val="7"/>
  </w:num>
  <w:num w:numId="13" w16cid:durableId="1404185570">
    <w:abstractNumId w:val="15"/>
  </w:num>
  <w:num w:numId="14" w16cid:durableId="536166782">
    <w:abstractNumId w:val="9"/>
  </w:num>
  <w:num w:numId="15" w16cid:durableId="1668510375">
    <w:abstractNumId w:val="10"/>
  </w:num>
  <w:num w:numId="16" w16cid:durableId="278880975">
    <w:abstractNumId w:val="6"/>
  </w:num>
  <w:num w:numId="17" w16cid:durableId="1496458451">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23"/>
    <w:rsid w:val="00005C01"/>
    <w:rsid w:val="00006562"/>
    <w:rsid w:val="00006D77"/>
    <w:rsid w:val="000075FB"/>
    <w:rsid w:val="00007E1A"/>
    <w:rsid w:val="00014BFF"/>
    <w:rsid w:val="00016B11"/>
    <w:rsid w:val="00016B13"/>
    <w:rsid w:val="000176E2"/>
    <w:rsid w:val="00020C95"/>
    <w:rsid w:val="000236D8"/>
    <w:rsid w:val="000244DE"/>
    <w:rsid w:val="00024761"/>
    <w:rsid w:val="000302DD"/>
    <w:rsid w:val="000337C4"/>
    <w:rsid w:val="00033C7C"/>
    <w:rsid w:val="00036BBA"/>
    <w:rsid w:val="00036FAB"/>
    <w:rsid w:val="00037ACC"/>
    <w:rsid w:val="000427E5"/>
    <w:rsid w:val="000434CB"/>
    <w:rsid w:val="00043903"/>
    <w:rsid w:val="00045315"/>
    <w:rsid w:val="00047867"/>
    <w:rsid w:val="00050A7C"/>
    <w:rsid w:val="00053A2B"/>
    <w:rsid w:val="00054FC8"/>
    <w:rsid w:val="0006084A"/>
    <w:rsid w:val="00062E56"/>
    <w:rsid w:val="000631A5"/>
    <w:rsid w:val="00063BAF"/>
    <w:rsid w:val="00064954"/>
    <w:rsid w:val="000649AF"/>
    <w:rsid w:val="00065186"/>
    <w:rsid w:val="00074F87"/>
    <w:rsid w:val="00077646"/>
    <w:rsid w:val="00077793"/>
    <w:rsid w:val="0008042E"/>
    <w:rsid w:val="0008091C"/>
    <w:rsid w:val="00082BAD"/>
    <w:rsid w:val="00084FB4"/>
    <w:rsid w:val="00086110"/>
    <w:rsid w:val="00087AEA"/>
    <w:rsid w:val="00090468"/>
    <w:rsid w:val="00091700"/>
    <w:rsid w:val="00093EB2"/>
    <w:rsid w:val="000957C2"/>
    <w:rsid w:val="00095A7E"/>
    <w:rsid w:val="00096757"/>
    <w:rsid w:val="000A1C36"/>
    <w:rsid w:val="000A5530"/>
    <w:rsid w:val="000B00D5"/>
    <w:rsid w:val="000B4D56"/>
    <w:rsid w:val="000B6666"/>
    <w:rsid w:val="000B6E50"/>
    <w:rsid w:val="000C08B7"/>
    <w:rsid w:val="000C1801"/>
    <w:rsid w:val="000C1CF0"/>
    <w:rsid w:val="000C2879"/>
    <w:rsid w:val="000C530C"/>
    <w:rsid w:val="000C655B"/>
    <w:rsid w:val="000C6A88"/>
    <w:rsid w:val="000C7A19"/>
    <w:rsid w:val="000C7C96"/>
    <w:rsid w:val="000D06D9"/>
    <w:rsid w:val="000D3751"/>
    <w:rsid w:val="000D3915"/>
    <w:rsid w:val="000D64CF"/>
    <w:rsid w:val="000D6C26"/>
    <w:rsid w:val="000E0EC3"/>
    <w:rsid w:val="000E1072"/>
    <w:rsid w:val="000E1818"/>
    <w:rsid w:val="000E327A"/>
    <w:rsid w:val="000E42CC"/>
    <w:rsid w:val="000E68B7"/>
    <w:rsid w:val="000E70DA"/>
    <w:rsid w:val="000F07AE"/>
    <w:rsid w:val="000F149C"/>
    <w:rsid w:val="000F3060"/>
    <w:rsid w:val="000F637C"/>
    <w:rsid w:val="000F6756"/>
    <w:rsid w:val="001002A5"/>
    <w:rsid w:val="00100FB3"/>
    <w:rsid w:val="00103512"/>
    <w:rsid w:val="00103A1F"/>
    <w:rsid w:val="00103A2E"/>
    <w:rsid w:val="001055F8"/>
    <w:rsid w:val="00106E75"/>
    <w:rsid w:val="001112CA"/>
    <w:rsid w:val="001119AC"/>
    <w:rsid w:val="00113B2C"/>
    <w:rsid w:val="00113CC0"/>
    <w:rsid w:val="0011407B"/>
    <w:rsid w:val="00114D90"/>
    <w:rsid w:val="001213A3"/>
    <w:rsid w:val="00123EDD"/>
    <w:rsid w:val="001248BE"/>
    <w:rsid w:val="0012759B"/>
    <w:rsid w:val="00136ACD"/>
    <w:rsid w:val="00136DA7"/>
    <w:rsid w:val="00137491"/>
    <w:rsid w:val="00140E74"/>
    <w:rsid w:val="001412E5"/>
    <w:rsid w:val="001436C2"/>
    <w:rsid w:val="00144142"/>
    <w:rsid w:val="00145BD2"/>
    <w:rsid w:val="00146D2F"/>
    <w:rsid w:val="0015101D"/>
    <w:rsid w:val="00152E4F"/>
    <w:rsid w:val="00157331"/>
    <w:rsid w:val="001578E4"/>
    <w:rsid w:val="00161C5E"/>
    <w:rsid w:val="00163231"/>
    <w:rsid w:val="00163CDD"/>
    <w:rsid w:val="001647B9"/>
    <w:rsid w:val="00175C2A"/>
    <w:rsid w:val="00177472"/>
    <w:rsid w:val="00177481"/>
    <w:rsid w:val="0018006A"/>
    <w:rsid w:val="00182D9A"/>
    <w:rsid w:val="00184AB4"/>
    <w:rsid w:val="00184C2F"/>
    <w:rsid w:val="0018652E"/>
    <w:rsid w:val="00186E70"/>
    <w:rsid w:val="001904D3"/>
    <w:rsid w:val="001966E2"/>
    <w:rsid w:val="001975A7"/>
    <w:rsid w:val="00197F92"/>
    <w:rsid w:val="001A030F"/>
    <w:rsid w:val="001A0C25"/>
    <w:rsid w:val="001A25EF"/>
    <w:rsid w:val="001A5058"/>
    <w:rsid w:val="001A663F"/>
    <w:rsid w:val="001B0153"/>
    <w:rsid w:val="001B2707"/>
    <w:rsid w:val="001B3CE4"/>
    <w:rsid w:val="001B3F8B"/>
    <w:rsid w:val="001B457D"/>
    <w:rsid w:val="001B5337"/>
    <w:rsid w:val="001B568F"/>
    <w:rsid w:val="001B68F1"/>
    <w:rsid w:val="001B6E7B"/>
    <w:rsid w:val="001B7455"/>
    <w:rsid w:val="001C1581"/>
    <w:rsid w:val="001C1C70"/>
    <w:rsid w:val="001C27AB"/>
    <w:rsid w:val="001C2C4E"/>
    <w:rsid w:val="001C3B9B"/>
    <w:rsid w:val="001C405B"/>
    <w:rsid w:val="001C4617"/>
    <w:rsid w:val="001C7C9E"/>
    <w:rsid w:val="001D0FD4"/>
    <w:rsid w:val="001D3065"/>
    <w:rsid w:val="001D72BB"/>
    <w:rsid w:val="001E05EF"/>
    <w:rsid w:val="001E2237"/>
    <w:rsid w:val="001E5217"/>
    <w:rsid w:val="001E5CD2"/>
    <w:rsid w:val="001F099E"/>
    <w:rsid w:val="001F17F0"/>
    <w:rsid w:val="001F1C54"/>
    <w:rsid w:val="001F2DE8"/>
    <w:rsid w:val="001F3165"/>
    <w:rsid w:val="001F478E"/>
    <w:rsid w:val="001F4B4B"/>
    <w:rsid w:val="001F5588"/>
    <w:rsid w:val="00200615"/>
    <w:rsid w:val="00200F97"/>
    <w:rsid w:val="00201ABB"/>
    <w:rsid w:val="00204ED8"/>
    <w:rsid w:val="00207D27"/>
    <w:rsid w:val="002102EA"/>
    <w:rsid w:val="00210C36"/>
    <w:rsid w:val="002122C1"/>
    <w:rsid w:val="002132CC"/>
    <w:rsid w:val="00213F96"/>
    <w:rsid w:val="00217B46"/>
    <w:rsid w:val="00220829"/>
    <w:rsid w:val="00221516"/>
    <w:rsid w:val="00223BFD"/>
    <w:rsid w:val="00225109"/>
    <w:rsid w:val="00233574"/>
    <w:rsid w:val="00233AAD"/>
    <w:rsid w:val="00234B92"/>
    <w:rsid w:val="002363AE"/>
    <w:rsid w:val="00236EC1"/>
    <w:rsid w:val="00242F31"/>
    <w:rsid w:val="00243B5E"/>
    <w:rsid w:val="00245B6E"/>
    <w:rsid w:val="002471CD"/>
    <w:rsid w:val="0025453F"/>
    <w:rsid w:val="002570DF"/>
    <w:rsid w:val="00263D7E"/>
    <w:rsid w:val="00264060"/>
    <w:rsid w:val="00264428"/>
    <w:rsid w:val="002646D7"/>
    <w:rsid w:val="002669DD"/>
    <w:rsid w:val="00266E4D"/>
    <w:rsid w:val="00270932"/>
    <w:rsid w:val="00271C9E"/>
    <w:rsid w:val="00272C21"/>
    <w:rsid w:val="002735C0"/>
    <w:rsid w:val="00274869"/>
    <w:rsid w:val="002769E0"/>
    <w:rsid w:val="00276F18"/>
    <w:rsid w:val="0027768F"/>
    <w:rsid w:val="00280BC2"/>
    <w:rsid w:val="002811D3"/>
    <w:rsid w:val="0028328A"/>
    <w:rsid w:val="0028625C"/>
    <w:rsid w:val="002906C5"/>
    <w:rsid w:val="00290F98"/>
    <w:rsid w:val="002916E7"/>
    <w:rsid w:val="00297F34"/>
    <w:rsid w:val="002A0729"/>
    <w:rsid w:val="002A0837"/>
    <w:rsid w:val="002A1F4A"/>
    <w:rsid w:val="002A308E"/>
    <w:rsid w:val="002A4DF8"/>
    <w:rsid w:val="002A52CE"/>
    <w:rsid w:val="002A68E3"/>
    <w:rsid w:val="002A6EA2"/>
    <w:rsid w:val="002B2E7D"/>
    <w:rsid w:val="002B45E2"/>
    <w:rsid w:val="002B468A"/>
    <w:rsid w:val="002B50F0"/>
    <w:rsid w:val="002B75B7"/>
    <w:rsid w:val="002C20AD"/>
    <w:rsid w:val="002C398E"/>
    <w:rsid w:val="002C3EF4"/>
    <w:rsid w:val="002C42C6"/>
    <w:rsid w:val="002C4874"/>
    <w:rsid w:val="002C5FEE"/>
    <w:rsid w:val="002D256C"/>
    <w:rsid w:val="002D4A62"/>
    <w:rsid w:val="002D4E05"/>
    <w:rsid w:val="002D4ECF"/>
    <w:rsid w:val="002D51FF"/>
    <w:rsid w:val="002D719C"/>
    <w:rsid w:val="002E375D"/>
    <w:rsid w:val="002E4507"/>
    <w:rsid w:val="002E5422"/>
    <w:rsid w:val="002E6E25"/>
    <w:rsid w:val="002F1656"/>
    <w:rsid w:val="002F3144"/>
    <w:rsid w:val="002F39C0"/>
    <w:rsid w:val="002F4C8E"/>
    <w:rsid w:val="002F55FE"/>
    <w:rsid w:val="002F6A78"/>
    <w:rsid w:val="003002B2"/>
    <w:rsid w:val="00301381"/>
    <w:rsid w:val="003019B4"/>
    <w:rsid w:val="00301A87"/>
    <w:rsid w:val="00301F0D"/>
    <w:rsid w:val="00302D48"/>
    <w:rsid w:val="003031E9"/>
    <w:rsid w:val="00303227"/>
    <w:rsid w:val="00307CEF"/>
    <w:rsid w:val="003100DB"/>
    <w:rsid w:val="00314B09"/>
    <w:rsid w:val="00317264"/>
    <w:rsid w:val="003178C6"/>
    <w:rsid w:val="00320672"/>
    <w:rsid w:val="00320946"/>
    <w:rsid w:val="00322454"/>
    <w:rsid w:val="00324CE7"/>
    <w:rsid w:val="00325622"/>
    <w:rsid w:val="003315E4"/>
    <w:rsid w:val="00331CC3"/>
    <w:rsid w:val="00331EF5"/>
    <w:rsid w:val="00336DC5"/>
    <w:rsid w:val="00336F59"/>
    <w:rsid w:val="00337F88"/>
    <w:rsid w:val="00341DDF"/>
    <w:rsid w:val="00342F5F"/>
    <w:rsid w:val="003437EF"/>
    <w:rsid w:val="0034655C"/>
    <w:rsid w:val="003475B5"/>
    <w:rsid w:val="00347FEE"/>
    <w:rsid w:val="003537C8"/>
    <w:rsid w:val="00354D53"/>
    <w:rsid w:val="003559CC"/>
    <w:rsid w:val="00355EF4"/>
    <w:rsid w:val="00356462"/>
    <w:rsid w:val="00356823"/>
    <w:rsid w:val="0036360D"/>
    <w:rsid w:val="00363B95"/>
    <w:rsid w:val="003653B9"/>
    <w:rsid w:val="00367DF6"/>
    <w:rsid w:val="00367F23"/>
    <w:rsid w:val="0037094C"/>
    <w:rsid w:val="003720A6"/>
    <w:rsid w:val="003720CD"/>
    <w:rsid w:val="00372979"/>
    <w:rsid w:val="00376F73"/>
    <w:rsid w:val="00377F8D"/>
    <w:rsid w:val="00381994"/>
    <w:rsid w:val="00381FA3"/>
    <w:rsid w:val="003828AF"/>
    <w:rsid w:val="00383548"/>
    <w:rsid w:val="003858B3"/>
    <w:rsid w:val="003865C5"/>
    <w:rsid w:val="00387EF5"/>
    <w:rsid w:val="0039027B"/>
    <w:rsid w:val="00391C5A"/>
    <w:rsid w:val="00392C3A"/>
    <w:rsid w:val="003935A4"/>
    <w:rsid w:val="00396E9D"/>
    <w:rsid w:val="003970C3"/>
    <w:rsid w:val="003A2A33"/>
    <w:rsid w:val="003B2E4A"/>
    <w:rsid w:val="003B4076"/>
    <w:rsid w:val="003B45F4"/>
    <w:rsid w:val="003B4724"/>
    <w:rsid w:val="003B58FF"/>
    <w:rsid w:val="003B5CD3"/>
    <w:rsid w:val="003B6D01"/>
    <w:rsid w:val="003B7E46"/>
    <w:rsid w:val="003C06E3"/>
    <w:rsid w:val="003C23C5"/>
    <w:rsid w:val="003D06AC"/>
    <w:rsid w:val="003D4B4C"/>
    <w:rsid w:val="003E02F8"/>
    <w:rsid w:val="003E0C40"/>
    <w:rsid w:val="003E0C73"/>
    <w:rsid w:val="003E146D"/>
    <w:rsid w:val="003E4150"/>
    <w:rsid w:val="003E5370"/>
    <w:rsid w:val="003F0048"/>
    <w:rsid w:val="003F1193"/>
    <w:rsid w:val="003F239B"/>
    <w:rsid w:val="003F2844"/>
    <w:rsid w:val="003F2943"/>
    <w:rsid w:val="003F3903"/>
    <w:rsid w:val="003F4A9D"/>
    <w:rsid w:val="003F5734"/>
    <w:rsid w:val="003F574E"/>
    <w:rsid w:val="003F5D20"/>
    <w:rsid w:val="003F60C3"/>
    <w:rsid w:val="004012BC"/>
    <w:rsid w:val="004023FA"/>
    <w:rsid w:val="00402E38"/>
    <w:rsid w:val="00403EE7"/>
    <w:rsid w:val="00404A06"/>
    <w:rsid w:val="004071D8"/>
    <w:rsid w:val="004075FC"/>
    <w:rsid w:val="00410BB1"/>
    <w:rsid w:val="004115B4"/>
    <w:rsid w:val="00411D73"/>
    <w:rsid w:val="004134F0"/>
    <w:rsid w:val="00416A45"/>
    <w:rsid w:val="00417F32"/>
    <w:rsid w:val="00422C0D"/>
    <w:rsid w:val="004248D2"/>
    <w:rsid w:val="00425CC7"/>
    <w:rsid w:val="00425FD4"/>
    <w:rsid w:val="0042606F"/>
    <w:rsid w:val="0042638E"/>
    <w:rsid w:val="00426A73"/>
    <w:rsid w:val="004277B8"/>
    <w:rsid w:val="00431E28"/>
    <w:rsid w:val="00432666"/>
    <w:rsid w:val="0043423E"/>
    <w:rsid w:val="00434E78"/>
    <w:rsid w:val="00435668"/>
    <w:rsid w:val="004366B3"/>
    <w:rsid w:val="00436EE4"/>
    <w:rsid w:val="0043708D"/>
    <w:rsid w:val="0043794F"/>
    <w:rsid w:val="0044333B"/>
    <w:rsid w:val="00444862"/>
    <w:rsid w:val="0044508E"/>
    <w:rsid w:val="00450261"/>
    <w:rsid w:val="00453042"/>
    <w:rsid w:val="0045346A"/>
    <w:rsid w:val="00455D37"/>
    <w:rsid w:val="004567F0"/>
    <w:rsid w:val="00457F1B"/>
    <w:rsid w:val="00460CF2"/>
    <w:rsid w:val="00461C11"/>
    <w:rsid w:val="0046446B"/>
    <w:rsid w:val="0046462F"/>
    <w:rsid w:val="00465361"/>
    <w:rsid w:val="00465AC4"/>
    <w:rsid w:val="00467EDF"/>
    <w:rsid w:val="004705CC"/>
    <w:rsid w:val="00470E87"/>
    <w:rsid w:val="00471D2F"/>
    <w:rsid w:val="004721A4"/>
    <w:rsid w:val="00472DD2"/>
    <w:rsid w:val="00474F1E"/>
    <w:rsid w:val="004755DA"/>
    <w:rsid w:val="00480BD3"/>
    <w:rsid w:val="00481E07"/>
    <w:rsid w:val="0048364B"/>
    <w:rsid w:val="004837CA"/>
    <w:rsid w:val="00484748"/>
    <w:rsid w:val="00484F7E"/>
    <w:rsid w:val="00487807"/>
    <w:rsid w:val="00491268"/>
    <w:rsid w:val="00491E04"/>
    <w:rsid w:val="00495409"/>
    <w:rsid w:val="004A1C25"/>
    <w:rsid w:val="004A1F3D"/>
    <w:rsid w:val="004A329E"/>
    <w:rsid w:val="004A49DC"/>
    <w:rsid w:val="004A5E85"/>
    <w:rsid w:val="004A666B"/>
    <w:rsid w:val="004B0630"/>
    <w:rsid w:val="004B0C4E"/>
    <w:rsid w:val="004B21F3"/>
    <w:rsid w:val="004B2C1C"/>
    <w:rsid w:val="004B4390"/>
    <w:rsid w:val="004B5005"/>
    <w:rsid w:val="004B5402"/>
    <w:rsid w:val="004B66CA"/>
    <w:rsid w:val="004B71C1"/>
    <w:rsid w:val="004C0F42"/>
    <w:rsid w:val="004C1239"/>
    <w:rsid w:val="004C54F0"/>
    <w:rsid w:val="004C5586"/>
    <w:rsid w:val="004D17E8"/>
    <w:rsid w:val="004D19AE"/>
    <w:rsid w:val="004D1FBA"/>
    <w:rsid w:val="004D39B3"/>
    <w:rsid w:val="004D684A"/>
    <w:rsid w:val="004D6DEF"/>
    <w:rsid w:val="004D7470"/>
    <w:rsid w:val="004E1326"/>
    <w:rsid w:val="004E20B9"/>
    <w:rsid w:val="004E23CF"/>
    <w:rsid w:val="004E28FB"/>
    <w:rsid w:val="004E43E9"/>
    <w:rsid w:val="004E57C5"/>
    <w:rsid w:val="004E5ABD"/>
    <w:rsid w:val="004E5D64"/>
    <w:rsid w:val="004E615F"/>
    <w:rsid w:val="004F05EA"/>
    <w:rsid w:val="004F13A4"/>
    <w:rsid w:val="004F1B9E"/>
    <w:rsid w:val="004F3DEC"/>
    <w:rsid w:val="004F5BEB"/>
    <w:rsid w:val="004F70F6"/>
    <w:rsid w:val="005005B0"/>
    <w:rsid w:val="00500FBD"/>
    <w:rsid w:val="0050154F"/>
    <w:rsid w:val="00502955"/>
    <w:rsid w:val="00502A95"/>
    <w:rsid w:val="0050654D"/>
    <w:rsid w:val="005070EB"/>
    <w:rsid w:val="00507D0D"/>
    <w:rsid w:val="005120C8"/>
    <w:rsid w:val="005122D2"/>
    <w:rsid w:val="0051343B"/>
    <w:rsid w:val="00514069"/>
    <w:rsid w:val="00514901"/>
    <w:rsid w:val="0051595E"/>
    <w:rsid w:val="00522E1A"/>
    <w:rsid w:val="005306E4"/>
    <w:rsid w:val="00530BB8"/>
    <w:rsid w:val="005310BE"/>
    <w:rsid w:val="00531E67"/>
    <w:rsid w:val="00537FFC"/>
    <w:rsid w:val="00540D94"/>
    <w:rsid w:val="005441BF"/>
    <w:rsid w:val="00547329"/>
    <w:rsid w:val="00547AFD"/>
    <w:rsid w:val="005509F9"/>
    <w:rsid w:val="0055104B"/>
    <w:rsid w:val="0055241A"/>
    <w:rsid w:val="00554BF7"/>
    <w:rsid w:val="005556F2"/>
    <w:rsid w:val="00556AD8"/>
    <w:rsid w:val="00566A8B"/>
    <w:rsid w:val="005675C2"/>
    <w:rsid w:val="00572170"/>
    <w:rsid w:val="00573B92"/>
    <w:rsid w:val="00577C9C"/>
    <w:rsid w:val="005804B4"/>
    <w:rsid w:val="0058093F"/>
    <w:rsid w:val="00581A1D"/>
    <w:rsid w:val="005823B7"/>
    <w:rsid w:val="00582888"/>
    <w:rsid w:val="00582FB4"/>
    <w:rsid w:val="005831EC"/>
    <w:rsid w:val="00583F5E"/>
    <w:rsid w:val="005871C9"/>
    <w:rsid w:val="0058786C"/>
    <w:rsid w:val="00592E09"/>
    <w:rsid w:val="00596C85"/>
    <w:rsid w:val="00597B07"/>
    <w:rsid w:val="005A2B01"/>
    <w:rsid w:val="005A3913"/>
    <w:rsid w:val="005A44C1"/>
    <w:rsid w:val="005A7926"/>
    <w:rsid w:val="005B2B1E"/>
    <w:rsid w:val="005B2CE2"/>
    <w:rsid w:val="005B4E1D"/>
    <w:rsid w:val="005B7271"/>
    <w:rsid w:val="005C0EC9"/>
    <w:rsid w:val="005C10AA"/>
    <w:rsid w:val="005C1713"/>
    <w:rsid w:val="005C2E12"/>
    <w:rsid w:val="005C3095"/>
    <w:rsid w:val="005C668A"/>
    <w:rsid w:val="005C7CDD"/>
    <w:rsid w:val="005D05EC"/>
    <w:rsid w:val="005D2172"/>
    <w:rsid w:val="005D4101"/>
    <w:rsid w:val="005D48DC"/>
    <w:rsid w:val="005D632C"/>
    <w:rsid w:val="005E1D1D"/>
    <w:rsid w:val="005E1FE0"/>
    <w:rsid w:val="005E2432"/>
    <w:rsid w:val="005E37A9"/>
    <w:rsid w:val="005E774B"/>
    <w:rsid w:val="005F1B21"/>
    <w:rsid w:val="005F43E7"/>
    <w:rsid w:val="005F53DE"/>
    <w:rsid w:val="005F62E1"/>
    <w:rsid w:val="00600242"/>
    <w:rsid w:val="00600F8C"/>
    <w:rsid w:val="0060180B"/>
    <w:rsid w:val="0060345C"/>
    <w:rsid w:val="0060781A"/>
    <w:rsid w:val="00613EC2"/>
    <w:rsid w:val="00617C10"/>
    <w:rsid w:val="00620485"/>
    <w:rsid w:val="006205A0"/>
    <w:rsid w:val="006214D1"/>
    <w:rsid w:val="00621A48"/>
    <w:rsid w:val="00625BC2"/>
    <w:rsid w:val="006302C0"/>
    <w:rsid w:val="00630894"/>
    <w:rsid w:val="006338E8"/>
    <w:rsid w:val="00634D96"/>
    <w:rsid w:val="006355FF"/>
    <w:rsid w:val="00636FE2"/>
    <w:rsid w:val="00637084"/>
    <w:rsid w:val="00637344"/>
    <w:rsid w:val="00641399"/>
    <w:rsid w:val="00641527"/>
    <w:rsid w:val="00642842"/>
    <w:rsid w:val="00643654"/>
    <w:rsid w:val="00645152"/>
    <w:rsid w:val="00645EC0"/>
    <w:rsid w:val="00651594"/>
    <w:rsid w:val="00652023"/>
    <w:rsid w:val="00652118"/>
    <w:rsid w:val="00653C68"/>
    <w:rsid w:val="006543D1"/>
    <w:rsid w:val="00657EB9"/>
    <w:rsid w:val="00660924"/>
    <w:rsid w:val="00664C71"/>
    <w:rsid w:val="00666F10"/>
    <w:rsid w:val="00670920"/>
    <w:rsid w:val="00670B6E"/>
    <w:rsid w:val="0067172D"/>
    <w:rsid w:val="00675A3F"/>
    <w:rsid w:val="00676AC9"/>
    <w:rsid w:val="00676DA6"/>
    <w:rsid w:val="006800EC"/>
    <w:rsid w:val="006814A2"/>
    <w:rsid w:val="00685005"/>
    <w:rsid w:val="00685AEC"/>
    <w:rsid w:val="006864D7"/>
    <w:rsid w:val="00691C28"/>
    <w:rsid w:val="0069302B"/>
    <w:rsid w:val="006A20A9"/>
    <w:rsid w:val="006A33B4"/>
    <w:rsid w:val="006A398A"/>
    <w:rsid w:val="006A48D1"/>
    <w:rsid w:val="006A50E1"/>
    <w:rsid w:val="006B058F"/>
    <w:rsid w:val="006B1002"/>
    <w:rsid w:val="006B56D2"/>
    <w:rsid w:val="006B5820"/>
    <w:rsid w:val="006C1357"/>
    <w:rsid w:val="006C161E"/>
    <w:rsid w:val="006C16B9"/>
    <w:rsid w:val="006C1E21"/>
    <w:rsid w:val="006C22CF"/>
    <w:rsid w:val="006C3CEE"/>
    <w:rsid w:val="006C3E65"/>
    <w:rsid w:val="006C4468"/>
    <w:rsid w:val="006C46A7"/>
    <w:rsid w:val="006C4970"/>
    <w:rsid w:val="006C4D1A"/>
    <w:rsid w:val="006C700B"/>
    <w:rsid w:val="006D0158"/>
    <w:rsid w:val="006D27E9"/>
    <w:rsid w:val="006D4156"/>
    <w:rsid w:val="006D6255"/>
    <w:rsid w:val="006D747A"/>
    <w:rsid w:val="006E10AE"/>
    <w:rsid w:val="006E361A"/>
    <w:rsid w:val="006E3A6C"/>
    <w:rsid w:val="006E3F51"/>
    <w:rsid w:val="006E50B6"/>
    <w:rsid w:val="006E5CEC"/>
    <w:rsid w:val="006E6F0A"/>
    <w:rsid w:val="006E7957"/>
    <w:rsid w:val="006E7F80"/>
    <w:rsid w:val="006F0616"/>
    <w:rsid w:val="006F1187"/>
    <w:rsid w:val="006F1558"/>
    <w:rsid w:val="006F1F24"/>
    <w:rsid w:val="006F31B4"/>
    <w:rsid w:val="006F40C9"/>
    <w:rsid w:val="006F4320"/>
    <w:rsid w:val="006F64A0"/>
    <w:rsid w:val="0070038D"/>
    <w:rsid w:val="00703A0C"/>
    <w:rsid w:val="007073CF"/>
    <w:rsid w:val="00712925"/>
    <w:rsid w:val="00714C54"/>
    <w:rsid w:val="007163AB"/>
    <w:rsid w:val="00717CB6"/>
    <w:rsid w:val="00720BFF"/>
    <w:rsid w:val="007217DC"/>
    <w:rsid w:val="0072218A"/>
    <w:rsid w:val="00722214"/>
    <w:rsid w:val="007279D3"/>
    <w:rsid w:val="00730564"/>
    <w:rsid w:val="00730910"/>
    <w:rsid w:val="00730CBD"/>
    <w:rsid w:val="00733CA4"/>
    <w:rsid w:val="007348BE"/>
    <w:rsid w:val="0073747B"/>
    <w:rsid w:val="00737C0A"/>
    <w:rsid w:val="00741097"/>
    <w:rsid w:val="0074138A"/>
    <w:rsid w:val="00743809"/>
    <w:rsid w:val="007444D4"/>
    <w:rsid w:val="00744FD9"/>
    <w:rsid w:val="00745FA1"/>
    <w:rsid w:val="00753F8A"/>
    <w:rsid w:val="00754386"/>
    <w:rsid w:val="007552C4"/>
    <w:rsid w:val="00756802"/>
    <w:rsid w:val="007575AA"/>
    <w:rsid w:val="00757CBE"/>
    <w:rsid w:val="00761561"/>
    <w:rsid w:val="007623AF"/>
    <w:rsid w:val="00762A1A"/>
    <w:rsid w:val="00763F44"/>
    <w:rsid w:val="00765C41"/>
    <w:rsid w:val="00766A1C"/>
    <w:rsid w:val="007678FC"/>
    <w:rsid w:val="00770109"/>
    <w:rsid w:val="0077405F"/>
    <w:rsid w:val="007743F0"/>
    <w:rsid w:val="007751B7"/>
    <w:rsid w:val="00775E3D"/>
    <w:rsid w:val="00780297"/>
    <w:rsid w:val="007808D5"/>
    <w:rsid w:val="00781565"/>
    <w:rsid w:val="007836F4"/>
    <w:rsid w:val="007845ED"/>
    <w:rsid w:val="0078491C"/>
    <w:rsid w:val="00784A1A"/>
    <w:rsid w:val="007857E0"/>
    <w:rsid w:val="00791E24"/>
    <w:rsid w:val="00791E80"/>
    <w:rsid w:val="00792608"/>
    <w:rsid w:val="0079269D"/>
    <w:rsid w:val="007937C0"/>
    <w:rsid w:val="007964B3"/>
    <w:rsid w:val="00796A32"/>
    <w:rsid w:val="00796B9D"/>
    <w:rsid w:val="00797253"/>
    <w:rsid w:val="007A2160"/>
    <w:rsid w:val="007A22EE"/>
    <w:rsid w:val="007A2433"/>
    <w:rsid w:val="007A322B"/>
    <w:rsid w:val="007A5386"/>
    <w:rsid w:val="007A5432"/>
    <w:rsid w:val="007A59D4"/>
    <w:rsid w:val="007B041C"/>
    <w:rsid w:val="007B1F10"/>
    <w:rsid w:val="007B21B1"/>
    <w:rsid w:val="007B3724"/>
    <w:rsid w:val="007B3F35"/>
    <w:rsid w:val="007B434B"/>
    <w:rsid w:val="007B495F"/>
    <w:rsid w:val="007B4BFC"/>
    <w:rsid w:val="007B4EC9"/>
    <w:rsid w:val="007B547B"/>
    <w:rsid w:val="007B632C"/>
    <w:rsid w:val="007B6BC9"/>
    <w:rsid w:val="007B7805"/>
    <w:rsid w:val="007C14A9"/>
    <w:rsid w:val="007C15EA"/>
    <w:rsid w:val="007C3D69"/>
    <w:rsid w:val="007C66E1"/>
    <w:rsid w:val="007D03F1"/>
    <w:rsid w:val="007D5322"/>
    <w:rsid w:val="007D5351"/>
    <w:rsid w:val="007D727F"/>
    <w:rsid w:val="007E04CF"/>
    <w:rsid w:val="007E0561"/>
    <w:rsid w:val="007E08CA"/>
    <w:rsid w:val="007E539E"/>
    <w:rsid w:val="007E53FA"/>
    <w:rsid w:val="007E7A53"/>
    <w:rsid w:val="007E7F63"/>
    <w:rsid w:val="007F02EB"/>
    <w:rsid w:val="007F1E0E"/>
    <w:rsid w:val="007F4AFA"/>
    <w:rsid w:val="007F52B6"/>
    <w:rsid w:val="007F5A01"/>
    <w:rsid w:val="007F6631"/>
    <w:rsid w:val="007F74AC"/>
    <w:rsid w:val="00800EC9"/>
    <w:rsid w:val="00802C45"/>
    <w:rsid w:val="00803891"/>
    <w:rsid w:val="00806125"/>
    <w:rsid w:val="00807B8E"/>
    <w:rsid w:val="00810A7F"/>
    <w:rsid w:val="00810B9E"/>
    <w:rsid w:val="00811546"/>
    <w:rsid w:val="00812171"/>
    <w:rsid w:val="0081340A"/>
    <w:rsid w:val="008134B1"/>
    <w:rsid w:val="00815DEF"/>
    <w:rsid w:val="008176CE"/>
    <w:rsid w:val="00820978"/>
    <w:rsid w:val="00821C32"/>
    <w:rsid w:val="00826151"/>
    <w:rsid w:val="008267FD"/>
    <w:rsid w:val="00830B98"/>
    <w:rsid w:val="00831ACF"/>
    <w:rsid w:val="00832932"/>
    <w:rsid w:val="00832DAB"/>
    <w:rsid w:val="00836FDA"/>
    <w:rsid w:val="008401F9"/>
    <w:rsid w:val="00841BC1"/>
    <w:rsid w:val="008441EB"/>
    <w:rsid w:val="0084433B"/>
    <w:rsid w:val="008472D4"/>
    <w:rsid w:val="0084779D"/>
    <w:rsid w:val="008526FB"/>
    <w:rsid w:val="00853997"/>
    <w:rsid w:val="00855AA8"/>
    <w:rsid w:val="00861A6B"/>
    <w:rsid w:val="00861CB4"/>
    <w:rsid w:val="008620AC"/>
    <w:rsid w:val="008631D7"/>
    <w:rsid w:val="008649E0"/>
    <w:rsid w:val="00865651"/>
    <w:rsid w:val="00865A34"/>
    <w:rsid w:val="00867FB9"/>
    <w:rsid w:val="00872591"/>
    <w:rsid w:val="00873D2B"/>
    <w:rsid w:val="00875FC8"/>
    <w:rsid w:val="00877E56"/>
    <w:rsid w:val="008833BA"/>
    <w:rsid w:val="008835E8"/>
    <w:rsid w:val="00883AFB"/>
    <w:rsid w:val="00885F4A"/>
    <w:rsid w:val="00886F4E"/>
    <w:rsid w:val="008907D4"/>
    <w:rsid w:val="00890A65"/>
    <w:rsid w:val="0089128B"/>
    <w:rsid w:val="00891AA9"/>
    <w:rsid w:val="00891FEB"/>
    <w:rsid w:val="00893AA7"/>
    <w:rsid w:val="008979A4"/>
    <w:rsid w:val="00897F08"/>
    <w:rsid w:val="008A09A0"/>
    <w:rsid w:val="008A287C"/>
    <w:rsid w:val="008A3DA8"/>
    <w:rsid w:val="008A4978"/>
    <w:rsid w:val="008B08CD"/>
    <w:rsid w:val="008B3984"/>
    <w:rsid w:val="008B4621"/>
    <w:rsid w:val="008B59D5"/>
    <w:rsid w:val="008B604B"/>
    <w:rsid w:val="008B79CF"/>
    <w:rsid w:val="008C05E1"/>
    <w:rsid w:val="008C0A2F"/>
    <w:rsid w:val="008C165A"/>
    <w:rsid w:val="008C16E8"/>
    <w:rsid w:val="008C1D27"/>
    <w:rsid w:val="008C2CE1"/>
    <w:rsid w:val="008C35F6"/>
    <w:rsid w:val="008C3C07"/>
    <w:rsid w:val="008C505F"/>
    <w:rsid w:val="008C56C5"/>
    <w:rsid w:val="008C5B81"/>
    <w:rsid w:val="008C6303"/>
    <w:rsid w:val="008D259C"/>
    <w:rsid w:val="008D34DE"/>
    <w:rsid w:val="008D4231"/>
    <w:rsid w:val="008D74C3"/>
    <w:rsid w:val="008E2D05"/>
    <w:rsid w:val="008E2E2A"/>
    <w:rsid w:val="008E4853"/>
    <w:rsid w:val="008E6026"/>
    <w:rsid w:val="008E7ED2"/>
    <w:rsid w:val="008F0E11"/>
    <w:rsid w:val="008F144C"/>
    <w:rsid w:val="008F1459"/>
    <w:rsid w:val="008F3DDA"/>
    <w:rsid w:val="008F7E8E"/>
    <w:rsid w:val="009002B8"/>
    <w:rsid w:val="00901367"/>
    <w:rsid w:val="0090373B"/>
    <w:rsid w:val="00904FB1"/>
    <w:rsid w:val="00906AD0"/>
    <w:rsid w:val="00907087"/>
    <w:rsid w:val="00910225"/>
    <w:rsid w:val="0091594E"/>
    <w:rsid w:val="00915D7F"/>
    <w:rsid w:val="00917077"/>
    <w:rsid w:val="00917F28"/>
    <w:rsid w:val="00920ACB"/>
    <w:rsid w:val="00921214"/>
    <w:rsid w:val="00921882"/>
    <w:rsid w:val="00922EB6"/>
    <w:rsid w:val="009235C5"/>
    <w:rsid w:val="00923649"/>
    <w:rsid w:val="00923AB8"/>
    <w:rsid w:val="009250FC"/>
    <w:rsid w:val="009251A2"/>
    <w:rsid w:val="00926417"/>
    <w:rsid w:val="0092660E"/>
    <w:rsid w:val="00927011"/>
    <w:rsid w:val="0092773E"/>
    <w:rsid w:val="00927BB7"/>
    <w:rsid w:val="00930610"/>
    <w:rsid w:val="0093293C"/>
    <w:rsid w:val="00933B94"/>
    <w:rsid w:val="00934956"/>
    <w:rsid w:val="00936537"/>
    <w:rsid w:val="009404CE"/>
    <w:rsid w:val="00941F3C"/>
    <w:rsid w:val="00942D21"/>
    <w:rsid w:val="0095038C"/>
    <w:rsid w:val="00951DCF"/>
    <w:rsid w:val="00953A7A"/>
    <w:rsid w:val="00954BF9"/>
    <w:rsid w:val="00955403"/>
    <w:rsid w:val="00955BB3"/>
    <w:rsid w:val="00957E71"/>
    <w:rsid w:val="0096056E"/>
    <w:rsid w:val="0096085C"/>
    <w:rsid w:val="00963291"/>
    <w:rsid w:val="009634FF"/>
    <w:rsid w:val="00963803"/>
    <w:rsid w:val="00963A35"/>
    <w:rsid w:val="00964705"/>
    <w:rsid w:val="00964F53"/>
    <w:rsid w:val="009651A3"/>
    <w:rsid w:val="0096698A"/>
    <w:rsid w:val="00966AA4"/>
    <w:rsid w:val="00967DB6"/>
    <w:rsid w:val="00971521"/>
    <w:rsid w:val="0097551B"/>
    <w:rsid w:val="00976CAE"/>
    <w:rsid w:val="00976DA3"/>
    <w:rsid w:val="00977184"/>
    <w:rsid w:val="009775A0"/>
    <w:rsid w:val="00980DC7"/>
    <w:rsid w:val="00982D26"/>
    <w:rsid w:val="0098379C"/>
    <w:rsid w:val="009850D2"/>
    <w:rsid w:val="0098558E"/>
    <w:rsid w:val="00985BF0"/>
    <w:rsid w:val="00990DAB"/>
    <w:rsid w:val="00990EFB"/>
    <w:rsid w:val="00991054"/>
    <w:rsid w:val="009923B0"/>
    <w:rsid w:val="009936DE"/>
    <w:rsid w:val="00994E38"/>
    <w:rsid w:val="009950B0"/>
    <w:rsid w:val="009952BA"/>
    <w:rsid w:val="009A081C"/>
    <w:rsid w:val="009A191F"/>
    <w:rsid w:val="009A2EB5"/>
    <w:rsid w:val="009A3878"/>
    <w:rsid w:val="009A38F1"/>
    <w:rsid w:val="009A45C5"/>
    <w:rsid w:val="009A5F98"/>
    <w:rsid w:val="009A6CAE"/>
    <w:rsid w:val="009A77BB"/>
    <w:rsid w:val="009A79C9"/>
    <w:rsid w:val="009B0A00"/>
    <w:rsid w:val="009B0A26"/>
    <w:rsid w:val="009B14E9"/>
    <w:rsid w:val="009B34C3"/>
    <w:rsid w:val="009B5C9A"/>
    <w:rsid w:val="009B6170"/>
    <w:rsid w:val="009C01AB"/>
    <w:rsid w:val="009C07EA"/>
    <w:rsid w:val="009C0C54"/>
    <w:rsid w:val="009C2A78"/>
    <w:rsid w:val="009C6EA9"/>
    <w:rsid w:val="009D4EF8"/>
    <w:rsid w:val="009D611B"/>
    <w:rsid w:val="009D627C"/>
    <w:rsid w:val="009D6918"/>
    <w:rsid w:val="009D6BCA"/>
    <w:rsid w:val="009E0659"/>
    <w:rsid w:val="009E15D5"/>
    <w:rsid w:val="009E3228"/>
    <w:rsid w:val="009E4635"/>
    <w:rsid w:val="009E485B"/>
    <w:rsid w:val="009E6593"/>
    <w:rsid w:val="009E749D"/>
    <w:rsid w:val="009F06A0"/>
    <w:rsid w:val="009F0884"/>
    <w:rsid w:val="009F0BB3"/>
    <w:rsid w:val="009F167B"/>
    <w:rsid w:val="009F4167"/>
    <w:rsid w:val="009F5157"/>
    <w:rsid w:val="009F60DC"/>
    <w:rsid w:val="009F671A"/>
    <w:rsid w:val="00A00263"/>
    <w:rsid w:val="00A002A2"/>
    <w:rsid w:val="00A012E6"/>
    <w:rsid w:val="00A05197"/>
    <w:rsid w:val="00A064A0"/>
    <w:rsid w:val="00A143F6"/>
    <w:rsid w:val="00A17BA9"/>
    <w:rsid w:val="00A2258F"/>
    <w:rsid w:val="00A22FF0"/>
    <w:rsid w:val="00A253DA"/>
    <w:rsid w:val="00A2657C"/>
    <w:rsid w:val="00A26C6B"/>
    <w:rsid w:val="00A2778F"/>
    <w:rsid w:val="00A27F95"/>
    <w:rsid w:val="00A3083B"/>
    <w:rsid w:val="00A30B67"/>
    <w:rsid w:val="00A310A3"/>
    <w:rsid w:val="00A33876"/>
    <w:rsid w:val="00A34222"/>
    <w:rsid w:val="00A34DF5"/>
    <w:rsid w:val="00A364FB"/>
    <w:rsid w:val="00A422E6"/>
    <w:rsid w:val="00A47666"/>
    <w:rsid w:val="00A51D68"/>
    <w:rsid w:val="00A51F98"/>
    <w:rsid w:val="00A523C9"/>
    <w:rsid w:val="00A52C7E"/>
    <w:rsid w:val="00A52EFB"/>
    <w:rsid w:val="00A54787"/>
    <w:rsid w:val="00A54BE8"/>
    <w:rsid w:val="00A56A1F"/>
    <w:rsid w:val="00A575EE"/>
    <w:rsid w:val="00A57CFA"/>
    <w:rsid w:val="00A61DAD"/>
    <w:rsid w:val="00A67519"/>
    <w:rsid w:val="00A67685"/>
    <w:rsid w:val="00A67DFD"/>
    <w:rsid w:val="00A70434"/>
    <w:rsid w:val="00A71706"/>
    <w:rsid w:val="00A7225F"/>
    <w:rsid w:val="00A728F3"/>
    <w:rsid w:val="00A739B2"/>
    <w:rsid w:val="00A73C88"/>
    <w:rsid w:val="00A74550"/>
    <w:rsid w:val="00A80C40"/>
    <w:rsid w:val="00A811EB"/>
    <w:rsid w:val="00A831CE"/>
    <w:rsid w:val="00A83ABA"/>
    <w:rsid w:val="00A872BB"/>
    <w:rsid w:val="00A950B9"/>
    <w:rsid w:val="00A9511C"/>
    <w:rsid w:val="00A953D8"/>
    <w:rsid w:val="00AA0776"/>
    <w:rsid w:val="00AA1670"/>
    <w:rsid w:val="00AA1DEC"/>
    <w:rsid w:val="00AA2B6F"/>
    <w:rsid w:val="00AA33C0"/>
    <w:rsid w:val="00AA387B"/>
    <w:rsid w:val="00AA3E95"/>
    <w:rsid w:val="00AA4477"/>
    <w:rsid w:val="00AA62C3"/>
    <w:rsid w:val="00AA681A"/>
    <w:rsid w:val="00AA7B0B"/>
    <w:rsid w:val="00AB1D14"/>
    <w:rsid w:val="00AB3EA2"/>
    <w:rsid w:val="00AB448B"/>
    <w:rsid w:val="00AB4AB2"/>
    <w:rsid w:val="00AB4D85"/>
    <w:rsid w:val="00AC257A"/>
    <w:rsid w:val="00AC30DE"/>
    <w:rsid w:val="00AC3523"/>
    <w:rsid w:val="00AC544B"/>
    <w:rsid w:val="00AC6406"/>
    <w:rsid w:val="00AC6DE3"/>
    <w:rsid w:val="00AC7F08"/>
    <w:rsid w:val="00AD180E"/>
    <w:rsid w:val="00AD188F"/>
    <w:rsid w:val="00AD1E93"/>
    <w:rsid w:val="00AD364A"/>
    <w:rsid w:val="00AD58A5"/>
    <w:rsid w:val="00AD79C4"/>
    <w:rsid w:val="00AE136D"/>
    <w:rsid w:val="00AE1C6A"/>
    <w:rsid w:val="00AE3444"/>
    <w:rsid w:val="00AE44CC"/>
    <w:rsid w:val="00AE74E0"/>
    <w:rsid w:val="00AE77E6"/>
    <w:rsid w:val="00AF1B74"/>
    <w:rsid w:val="00AF776D"/>
    <w:rsid w:val="00AF7A44"/>
    <w:rsid w:val="00B0267E"/>
    <w:rsid w:val="00B07182"/>
    <w:rsid w:val="00B121F3"/>
    <w:rsid w:val="00B14366"/>
    <w:rsid w:val="00B151E4"/>
    <w:rsid w:val="00B17C90"/>
    <w:rsid w:val="00B20740"/>
    <w:rsid w:val="00B21237"/>
    <w:rsid w:val="00B21A69"/>
    <w:rsid w:val="00B224A0"/>
    <w:rsid w:val="00B22CF8"/>
    <w:rsid w:val="00B23774"/>
    <w:rsid w:val="00B24657"/>
    <w:rsid w:val="00B3134C"/>
    <w:rsid w:val="00B34DCF"/>
    <w:rsid w:val="00B36648"/>
    <w:rsid w:val="00B36826"/>
    <w:rsid w:val="00B37FE1"/>
    <w:rsid w:val="00B40059"/>
    <w:rsid w:val="00B40D2F"/>
    <w:rsid w:val="00B424B7"/>
    <w:rsid w:val="00B43008"/>
    <w:rsid w:val="00B43FCC"/>
    <w:rsid w:val="00B461B7"/>
    <w:rsid w:val="00B46F49"/>
    <w:rsid w:val="00B47000"/>
    <w:rsid w:val="00B51ED9"/>
    <w:rsid w:val="00B53CED"/>
    <w:rsid w:val="00B550A8"/>
    <w:rsid w:val="00B568F5"/>
    <w:rsid w:val="00B62D25"/>
    <w:rsid w:val="00B63344"/>
    <w:rsid w:val="00B6408B"/>
    <w:rsid w:val="00B64168"/>
    <w:rsid w:val="00B648F8"/>
    <w:rsid w:val="00B67F51"/>
    <w:rsid w:val="00B70797"/>
    <w:rsid w:val="00B70A7C"/>
    <w:rsid w:val="00B730A0"/>
    <w:rsid w:val="00B76302"/>
    <w:rsid w:val="00B80B2E"/>
    <w:rsid w:val="00B811B2"/>
    <w:rsid w:val="00B81735"/>
    <w:rsid w:val="00B81AA8"/>
    <w:rsid w:val="00B841F6"/>
    <w:rsid w:val="00B8488A"/>
    <w:rsid w:val="00B86103"/>
    <w:rsid w:val="00B86F1E"/>
    <w:rsid w:val="00B90098"/>
    <w:rsid w:val="00B9229F"/>
    <w:rsid w:val="00B93304"/>
    <w:rsid w:val="00B95A9F"/>
    <w:rsid w:val="00BA1638"/>
    <w:rsid w:val="00BA2BFA"/>
    <w:rsid w:val="00BA4532"/>
    <w:rsid w:val="00BA5814"/>
    <w:rsid w:val="00BA59C7"/>
    <w:rsid w:val="00BA6956"/>
    <w:rsid w:val="00BB6624"/>
    <w:rsid w:val="00BB73D0"/>
    <w:rsid w:val="00BC09B9"/>
    <w:rsid w:val="00BC163E"/>
    <w:rsid w:val="00BC2902"/>
    <w:rsid w:val="00BC2D86"/>
    <w:rsid w:val="00BC50A4"/>
    <w:rsid w:val="00BC58A9"/>
    <w:rsid w:val="00BC6151"/>
    <w:rsid w:val="00BC6E10"/>
    <w:rsid w:val="00BC7220"/>
    <w:rsid w:val="00BD051E"/>
    <w:rsid w:val="00BD34EB"/>
    <w:rsid w:val="00BD352B"/>
    <w:rsid w:val="00BD3B90"/>
    <w:rsid w:val="00BD5308"/>
    <w:rsid w:val="00BD7A9E"/>
    <w:rsid w:val="00BD7D97"/>
    <w:rsid w:val="00BE60E4"/>
    <w:rsid w:val="00BE6313"/>
    <w:rsid w:val="00BF1A2C"/>
    <w:rsid w:val="00BF2D1B"/>
    <w:rsid w:val="00BF6A31"/>
    <w:rsid w:val="00C02126"/>
    <w:rsid w:val="00C02F27"/>
    <w:rsid w:val="00C03D60"/>
    <w:rsid w:val="00C0672D"/>
    <w:rsid w:val="00C0696C"/>
    <w:rsid w:val="00C1307A"/>
    <w:rsid w:val="00C14209"/>
    <w:rsid w:val="00C14239"/>
    <w:rsid w:val="00C15728"/>
    <w:rsid w:val="00C201CA"/>
    <w:rsid w:val="00C20A48"/>
    <w:rsid w:val="00C236F8"/>
    <w:rsid w:val="00C2700C"/>
    <w:rsid w:val="00C27212"/>
    <w:rsid w:val="00C31F29"/>
    <w:rsid w:val="00C3280E"/>
    <w:rsid w:val="00C33C4B"/>
    <w:rsid w:val="00C33C76"/>
    <w:rsid w:val="00C3463E"/>
    <w:rsid w:val="00C37E61"/>
    <w:rsid w:val="00C40384"/>
    <w:rsid w:val="00C405B9"/>
    <w:rsid w:val="00C414BD"/>
    <w:rsid w:val="00C4398D"/>
    <w:rsid w:val="00C441E1"/>
    <w:rsid w:val="00C46369"/>
    <w:rsid w:val="00C46F1A"/>
    <w:rsid w:val="00C54EA0"/>
    <w:rsid w:val="00C577FC"/>
    <w:rsid w:val="00C616C2"/>
    <w:rsid w:val="00C62A77"/>
    <w:rsid w:val="00C63C72"/>
    <w:rsid w:val="00C65375"/>
    <w:rsid w:val="00C66A6D"/>
    <w:rsid w:val="00C67D9C"/>
    <w:rsid w:val="00C71E53"/>
    <w:rsid w:val="00C72337"/>
    <w:rsid w:val="00C72EE7"/>
    <w:rsid w:val="00C74EFB"/>
    <w:rsid w:val="00C74F49"/>
    <w:rsid w:val="00C75AB8"/>
    <w:rsid w:val="00C75F11"/>
    <w:rsid w:val="00C8092D"/>
    <w:rsid w:val="00C81FE9"/>
    <w:rsid w:val="00C8615B"/>
    <w:rsid w:val="00C9121A"/>
    <w:rsid w:val="00C91FB0"/>
    <w:rsid w:val="00C93C36"/>
    <w:rsid w:val="00C94C36"/>
    <w:rsid w:val="00CA23E0"/>
    <w:rsid w:val="00CA48D1"/>
    <w:rsid w:val="00CA6424"/>
    <w:rsid w:val="00CA6B95"/>
    <w:rsid w:val="00CA7447"/>
    <w:rsid w:val="00CB130B"/>
    <w:rsid w:val="00CB1A6A"/>
    <w:rsid w:val="00CB1C35"/>
    <w:rsid w:val="00CB3F33"/>
    <w:rsid w:val="00CB52BB"/>
    <w:rsid w:val="00CB6776"/>
    <w:rsid w:val="00CC15D4"/>
    <w:rsid w:val="00CC248A"/>
    <w:rsid w:val="00CC2CB5"/>
    <w:rsid w:val="00CC493E"/>
    <w:rsid w:val="00CC7AFD"/>
    <w:rsid w:val="00CC7BAD"/>
    <w:rsid w:val="00CD0C01"/>
    <w:rsid w:val="00CD2336"/>
    <w:rsid w:val="00CD252C"/>
    <w:rsid w:val="00CD4E81"/>
    <w:rsid w:val="00CD6198"/>
    <w:rsid w:val="00CD7403"/>
    <w:rsid w:val="00CE0EB9"/>
    <w:rsid w:val="00CE0F4B"/>
    <w:rsid w:val="00CE14D0"/>
    <w:rsid w:val="00CE1ECB"/>
    <w:rsid w:val="00CE3F2A"/>
    <w:rsid w:val="00CE5C12"/>
    <w:rsid w:val="00CF18F7"/>
    <w:rsid w:val="00CF3198"/>
    <w:rsid w:val="00CF31E5"/>
    <w:rsid w:val="00CF6FF2"/>
    <w:rsid w:val="00CF7FF8"/>
    <w:rsid w:val="00D017A0"/>
    <w:rsid w:val="00D01D3F"/>
    <w:rsid w:val="00D02255"/>
    <w:rsid w:val="00D03624"/>
    <w:rsid w:val="00D048A8"/>
    <w:rsid w:val="00D05405"/>
    <w:rsid w:val="00D056DA"/>
    <w:rsid w:val="00D07F17"/>
    <w:rsid w:val="00D100EE"/>
    <w:rsid w:val="00D10B05"/>
    <w:rsid w:val="00D10F33"/>
    <w:rsid w:val="00D14C3C"/>
    <w:rsid w:val="00D16DA5"/>
    <w:rsid w:val="00D17C6B"/>
    <w:rsid w:val="00D23CAD"/>
    <w:rsid w:val="00D24E4F"/>
    <w:rsid w:val="00D269AC"/>
    <w:rsid w:val="00D26A36"/>
    <w:rsid w:val="00D304A0"/>
    <w:rsid w:val="00D30900"/>
    <w:rsid w:val="00D30CA1"/>
    <w:rsid w:val="00D32043"/>
    <w:rsid w:val="00D32C01"/>
    <w:rsid w:val="00D33360"/>
    <w:rsid w:val="00D3356C"/>
    <w:rsid w:val="00D33768"/>
    <w:rsid w:val="00D3619E"/>
    <w:rsid w:val="00D45E7E"/>
    <w:rsid w:val="00D45FF6"/>
    <w:rsid w:val="00D46AF5"/>
    <w:rsid w:val="00D46CC9"/>
    <w:rsid w:val="00D51608"/>
    <w:rsid w:val="00D52753"/>
    <w:rsid w:val="00D52EA4"/>
    <w:rsid w:val="00D54167"/>
    <w:rsid w:val="00D603F6"/>
    <w:rsid w:val="00D61406"/>
    <w:rsid w:val="00D6162D"/>
    <w:rsid w:val="00D63494"/>
    <w:rsid w:val="00D6379E"/>
    <w:rsid w:val="00D641B5"/>
    <w:rsid w:val="00D6623F"/>
    <w:rsid w:val="00D665BB"/>
    <w:rsid w:val="00D71EBA"/>
    <w:rsid w:val="00D72CB7"/>
    <w:rsid w:val="00D737B6"/>
    <w:rsid w:val="00D738FA"/>
    <w:rsid w:val="00D76F33"/>
    <w:rsid w:val="00D77BAD"/>
    <w:rsid w:val="00D8012F"/>
    <w:rsid w:val="00D80C78"/>
    <w:rsid w:val="00D81E77"/>
    <w:rsid w:val="00D82FAA"/>
    <w:rsid w:val="00D830E9"/>
    <w:rsid w:val="00D8571D"/>
    <w:rsid w:val="00D86475"/>
    <w:rsid w:val="00D8662E"/>
    <w:rsid w:val="00D9196C"/>
    <w:rsid w:val="00D923CE"/>
    <w:rsid w:val="00D9659F"/>
    <w:rsid w:val="00D96CF9"/>
    <w:rsid w:val="00D96D4A"/>
    <w:rsid w:val="00DA0743"/>
    <w:rsid w:val="00DA2905"/>
    <w:rsid w:val="00DA2DFF"/>
    <w:rsid w:val="00DA481E"/>
    <w:rsid w:val="00DA596E"/>
    <w:rsid w:val="00DB1AD0"/>
    <w:rsid w:val="00DB392D"/>
    <w:rsid w:val="00DB71CC"/>
    <w:rsid w:val="00DC32AD"/>
    <w:rsid w:val="00DD0AB8"/>
    <w:rsid w:val="00DD5A7C"/>
    <w:rsid w:val="00DE06C2"/>
    <w:rsid w:val="00DE1D15"/>
    <w:rsid w:val="00DE2660"/>
    <w:rsid w:val="00DE6463"/>
    <w:rsid w:val="00DF22A3"/>
    <w:rsid w:val="00DF38EA"/>
    <w:rsid w:val="00DF390C"/>
    <w:rsid w:val="00DF656E"/>
    <w:rsid w:val="00DF7882"/>
    <w:rsid w:val="00E00509"/>
    <w:rsid w:val="00E00BF7"/>
    <w:rsid w:val="00E05029"/>
    <w:rsid w:val="00E07DEC"/>
    <w:rsid w:val="00E119DC"/>
    <w:rsid w:val="00E13600"/>
    <w:rsid w:val="00E2102D"/>
    <w:rsid w:val="00E21631"/>
    <w:rsid w:val="00E221D4"/>
    <w:rsid w:val="00E25A7C"/>
    <w:rsid w:val="00E25E8E"/>
    <w:rsid w:val="00E26B55"/>
    <w:rsid w:val="00E303A3"/>
    <w:rsid w:val="00E30AC8"/>
    <w:rsid w:val="00E30F7C"/>
    <w:rsid w:val="00E316B3"/>
    <w:rsid w:val="00E32F52"/>
    <w:rsid w:val="00E334B4"/>
    <w:rsid w:val="00E342BC"/>
    <w:rsid w:val="00E35BFD"/>
    <w:rsid w:val="00E35D45"/>
    <w:rsid w:val="00E36916"/>
    <w:rsid w:val="00E3743D"/>
    <w:rsid w:val="00E41150"/>
    <w:rsid w:val="00E43307"/>
    <w:rsid w:val="00E44124"/>
    <w:rsid w:val="00E451A1"/>
    <w:rsid w:val="00E45B07"/>
    <w:rsid w:val="00E50C4F"/>
    <w:rsid w:val="00E52B5E"/>
    <w:rsid w:val="00E563CF"/>
    <w:rsid w:val="00E579D7"/>
    <w:rsid w:val="00E62CAE"/>
    <w:rsid w:val="00E648BE"/>
    <w:rsid w:val="00E658D8"/>
    <w:rsid w:val="00E66B1E"/>
    <w:rsid w:val="00E670B0"/>
    <w:rsid w:val="00E7066F"/>
    <w:rsid w:val="00E707FC"/>
    <w:rsid w:val="00E72533"/>
    <w:rsid w:val="00E74A30"/>
    <w:rsid w:val="00E74CEE"/>
    <w:rsid w:val="00E754A1"/>
    <w:rsid w:val="00E7580B"/>
    <w:rsid w:val="00E76528"/>
    <w:rsid w:val="00E76692"/>
    <w:rsid w:val="00E77DE2"/>
    <w:rsid w:val="00E80613"/>
    <w:rsid w:val="00E81EB9"/>
    <w:rsid w:val="00E83BA6"/>
    <w:rsid w:val="00E850A8"/>
    <w:rsid w:val="00E86240"/>
    <w:rsid w:val="00E86338"/>
    <w:rsid w:val="00E86E62"/>
    <w:rsid w:val="00E87DB9"/>
    <w:rsid w:val="00E908DA"/>
    <w:rsid w:val="00E91AED"/>
    <w:rsid w:val="00E928AE"/>
    <w:rsid w:val="00E93526"/>
    <w:rsid w:val="00E93573"/>
    <w:rsid w:val="00E94A21"/>
    <w:rsid w:val="00E96DD4"/>
    <w:rsid w:val="00E9780A"/>
    <w:rsid w:val="00EA1722"/>
    <w:rsid w:val="00EA2E11"/>
    <w:rsid w:val="00EA2ED5"/>
    <w:rsid w:val="00EA5EE4"/>
    <w:rsid w:val="00EA60A2"/>
    <w:rsid w:val="00EA6387"/>
    <w:rsid w:val="00EA662C"/>
    <w:rsid w:val="00EA665D"/>
    <w:rsid w:val="00EA6AB8"/>
    <w:rsid w:val="00EB511D"/>
    <w:rsid w:val="00EB6ED1"/>
    <w:rsid w:val="00EC00C2"/>
    <w:rsid w:val="00EC28B6"/>
    <w:rsid w:val="00EC2FCF"/>
    <w:rsid w:val="00EC3C41"/>
    <w:rsid w:val="00EC440F"/>
    <w:rsid w:val="00EC5682"/>
    <w:rsid w:val="00EC7B06"/>
    <w:rsid w:val="00ED04AF"/>
    <w:rsid w:val="00ED05AE"/>
    <w:rsid w:val="00ED24A4"/>
    <w:rsid w:val="00ED4304"/>
    <w:rsid w:val="00ED69BD"/>
    <w:rsid w:val="00EE1226"/>
    <w:rsid w:val="00EE33AC"/>
    <w:rsid w:val="00EE78E8"/>
    <w:rsid w:val="00EF074F"/>
    <w:rsid w:val="00EF4213"/>
    <w:rsid w:val="00EF42A9"/>
    <w:rsid w:val="00EF4FF7"/>
    <w:rsid w:val="00EF58FE"/>
    <w:rsid w:val="00EF6B73"/>
    <w:rsid w:val="00F02C24"/>
    <w:rsid w:val="00F03037"/>
    <w:rsid w:val="00F04624"/>
    <w:rsid w:val="00F053D4"/>
    <w:rsid w:val="00F0584F"/>
    <w:rsid w:val="00F05D29"/>
    <w:rsid w:val="00F070F1"/>
    <w:rsid w:val="00F07BF3"/>
    <w:rsid w:val="00F12D40"/>
    <w:rsid w:val="00F15354"/>
    <w:rsid w:val="00F15BD5"/>
    <w:rsid w:val="00F170BD"/>
    <w:rsid w:val="00F17ED4"/>
    <w:rsid w:val="00F21ABA"/>
    <w:rsid w:val="00F24415"/>
    <w:rsid w:val="00F246E6"/>
    <w:rsid w:val="00F25169"/>
    <w:rsid w:val="00F33B63"/>
    <w:rsid w:val="00F34D4D"/>
    <w:rsid w:val="00F3563F"/>
    <w:rsid w:val="00F35F53"/>
    <w:rsid w:val="00F35F56"/>
    <w:rsid w:val="00F36FD6"/>
    <w:rsid w:val="00F42124"/>
    <w:rsid w:val="00F428FC"/>
    <w:rsid w:val="00F431B8"/>
    <w:rsid w:val="00F4331E"/>
    <w:rsid w:val="00F438B1"/>
    <w:rsid w:val="00F43A7F"/>
    <w:rsid w:val="00F43F16"/>
    <w:rsid w:val="00F46ACC"/>
    <w:rsid w:val="00F47A5E"/>
    <w:rsid w:val="00F504AB"/>
    <w:rsid w:val="00F52469"/>
    <w:rsid w:val="00F524F1"/>
    <w:rsid w:val="00F52DD8"/>
    <w:rsid w:val="00F52F10"/>
    <w:rsid w:val="00F5475B"/>
    <w:rsid w:val="00F549E3"/>
    <w:rsid w:val="00F5574A"/>
    <w:rsid w:val="00F61017"/>
    <w:rsid w:val="00F6114E"/>
    <w:rsid w:val="00F62C87"/>
    <w:rsid w:val="00F62D74"/>
    <w:rsid w:val="00F6458D"/>
    <w:rsid w:val="00F645E3"/>
    <w:rsid w:val="00F6692F"/>
    <w:rsid w:val="00F72A12"/>
    <w:rsid w:val="00F742AA"/>
    <w:rsid w:val="00F7679C"/>
    <w:rsid w:val="00F77CE9"/>
    <w:rsid w:val="00F806DD"/>
    <w:rsid w:val="00F82ED8"/>
    <w:rsid w:val="00F86269"/>
    <w:rsid w:val="00F86FA4"/>
    <w:rsid w:val="00F90581"/>
    <w:rsid w:val="00F962D2"/>
    <w:rsid w:val="00F96B37"/>
    <w:rsid w:val="00F9790B"/>
    <w:rsid w:val="00FA0177"/>
    <w:rsid w:val="00FA6FC4"/>
    <w:rsid w:val="00FA79B6"/>
    <w:rsid w:val="00FA7D40"/>
    <w:rsid w:val="00FB0630"/>
    <w:rsid w:val="00FB08C1"/>
    <w:rsid w:val="00FB18AB"/>
    <w:rsid w:val="00FB31B2"/>
    <w:rsid w:val="00FB3FD6"/>
    <w:rsid w:val="00FB44FE"/>
    <w:rsid w:val="00FB5059"/>
    <w:rsid w:val="00FB5C33"/>
    <w:rsid w:val="00FB64E6"/>
    <w:rsid w:val="00FB732C"/>
    <w:rsid w:val="00FC21D5"/>
    <w:rsid w:val="00FC3761"/>
    <w:rsid w:val="00FC406D"/>
    <w:rsid w:val="00FC6248"/>
    <w:rsid w:val="00FC6602"/>
    <w:rsid w:val="00FC7582"/>
    <w:rsid w:val="00FD052D"/>
    <w:rsid w:val="00FD0B5F"/>
    <w:rsid w:val="00FD16CC"/>
    <w:rsid w:val="00FD215F"/>
    <w:rsid w:val="00FD3781"/>
    <w:rsid w:val="00FD5008"/>
    <w:rsid w:val="00FD6C97"/>
    <w:rsid w:val="00FD7434"/>
    <w:rsid w:val="00FD77EA"/>
    <w:rsid w:val="00FD7C61"/>
    <w:rsid w:val="00FE5434"/>
    <w:rsid w:val="00FE6ED5"/>
    <w:rsid w:val="00FF0502"/>
    <w:rsid w:val="00FF163B"/>
    <w:rsid w:val="00FF2552"/>
    <w:rsid w:val="00FF25D2"/>
    <w:rsid w:val="00FF521F"/>
    <w:rsid w:val="00FF5634"/>
    <w:rsid w:val="00FF642A"/>
    <w:rsid w:val="00FF6908"/>
    <w:rsid w:val="01A35BD7"/>
    <w:rsid w:val="023594AF"/>
    <w:rsid w:val="03862577"/>
    <w:rsid w:val="03C077EC"/>
    <w:rsid w:val="03DAE62D"/>
    <w:rsid w:val="08019BBF"/>
    <w:rsid w:val="081D5E7B"/>
    <w:rsid w:val="089B4CFD"/>
    <w:rsid w:val="08D1FE90"/>
    <w:rsid w:val="096A5229"/>
    <w:rsid w:val="0A3936F6"/>
    <w:rsid w:val="0AF77769"/>
    <w:rsid w:val="0B30806B"/>
    <w:rsid w:val="0C125E1C"/>
    <w:rsid w:val="0C5F8F9A"/>
    <w:rsid w:val="0C70C217"/>
    <w:rsid w:val="0C878ABA"/>
    <w:rsid w:val="0D2D104E"/>
    <w:rsid w:val="0E018331"/>
    <w:rsid w:val="0E3AD2D8"/>
    <w:rsid w:val="0E8E0B5D"/>
    <w:rsid w:val="0EAAA844"/>
    <w:rsid w:val="0ED7E776"/>
    <w:rsid w:val="0F7DECCC"/>
    <w:rsid w:val="107B4907"/>
    <w:rsid w:val="10C7A7A7"/>
    <w:rsid w:val="1169D3EE"/>
    <w:rsid w:val="117F8436"/>
    <w:rsid w:val="119D378C"/>
    <w:rsid w:val="11CA350E"/>
    <w:rsid w:val="13E833AA"/>
    <w:rsid w:val="15A9EC6B"/>
    <w:rsid w:val="15B026F1"/>
    <w:rsid w:val="15C9F4C0"/>
    <w:rsid w:val="15D34CEF"/>
    <w:rsid w:val="186A0380"/>
    <w:rsid w:val="1A05D3E1"/>
    <w:rsid w:val="1AC8E4BC"/>
    <w:rsid w:val="1ADC7411"/>
    <w:rsid w:val="1B05B144"/>
    <w:rsid w:val="1B25F14B"/>
    <w:rsid w:val="1B3A5EE3"/>
    <w:rsid w:val="1B7BFB39"/>
    <w:rsid w:val="1BA1A442"/>
    <w:rsid w:val="1BB891CC"/>
    <w:rsid w:val="1BE92AE7"/>
    <w:rsid w:val="1C57ED22"/>
    <w:rsid w:val="1CA27E7D"/>
    <w:rsid w:val="1CB173A5"/>
    <w:rsid w:val="1DAD0B34"/>
    <w:rsid w:val="1EC6B86C"/>
    <w:rsid w:val="1F07A34C"/>
    <w:rsid w:val="1F282FC7"/>
    <w:rsid w:val="1F41E51E"/>
    <w:rsid w:val="1F541F72"/>
    <w:rsid w:val="1FB1BD35"/>
    <w:rsid w:val="20AA0A0A"/>
    <w:rsid w:val="20FCB993"/>
    <w:rsid w:val="213875F9"/>
    <w:rsid w:val="21489E2D"/>
    <w:rsid w:val="21702D7E"/>
    <w:rsid w:val="2182EB8F"/>
    <w:rsid w:val="2241077F"/>
    <w:rsid w:val="224CC734"/>
    <w:rsid w:val="2273216D"/>
    <w:rsid w:val="22F21A52"/>
    <w:rsid w:val="2364A436"/>
    <w:rsid w:val="23A1B962"/>
    <w:rsid w:val="248D07A1"/>
    <w:rsid w:val="253E6410"/>
    <w:rsid w:val="2605DCC3"/>
    <w:rsid w:val="2693CBBD"/>
    <w:rsid w:val="26BB21D2"/>
    <w:rsid w:val="272CFC34"/>
    <w:rsid w:val="27A531AA"/>
    <w:rsid w:val="29FB1F2C"/>
    <w:rsid w:val="2A11BB96"/>
    <w:rsid w:val="2B45AB4F"/>
    <w:rsid w:val="2BDA4852"/>
    <w:rsid w:val="2DBEDFF3"/>
    <w:rsid w:val="2E1CC2BF"/>
    <w:rsid w:val="2F96B335"/>
    <w:rsid w:val="2FA9EB1E"/>
    <w:rsid w:val="2FD9A0C1"/>
    <w:rsid w:val="301DF063"/>
    <w:rsid w:val="30685F2E"/>
    <w:rsid w:val="30981405"/>
    <w:rsid w:val="3172D33B"/>
    <w:rsid w:val="31A884C3"/>
    <w:rsid w:val="31FCBE4B"/>
    <w:rsid w:val="31FDDF52"/>
    <w:rsid w:val="320BCA76"/>
    <w:rsid w:val="3246253F"/>
    <w:rsid w:val="3267F927"/>
    <w:rsid w:val="329B7D6D"/>
    <w:rsid w:val="32B6B8EA"/>
    <w:rsid w:val="32D0E673"/>
    <w:rsid w:val="33F793F4"/>
    <w:rsid w:val="3447D14F"/>
    <w:rsid w:val="3471F59C"/>
    <w:rsid w:val="349A971E"/>
    <w:rsid w:val="358D8FC8"/>
    <w:rsid w:val="36DDF5BB"/>
    <w:rsid w:val="36F00267"/>
    <w:rsid w:val="3783F2A5"/>
    <w:rsid w:val="378B4D48"/>
    <w:rsid w:val="37AC5D9B"/>
    <w:rsid w:val="37E0E301"/>
    <w:rsid w:val="381297C5"/>
    <w:rsid w:val="397FCE14"/>
    <w:rsid w:val="39D00816"/>
    <w:rsid w:val="3A792D29"/>
    <w:rsid w:val="3AD2F55C"/>
    <w:rsid w:val="3B5D92F8"/>
    <w:rsid w:val="3BD70F4D"/>
    <w:rsid w:val="3BED0785"/>
    <w:rsid w:val="3C2C4790"/>
    <w:rsid w:val="3C385F64"/>
    <w:rsid w:val="3C947BC9"/>
    <w:rsid w:val="3D6BBC71"/>
    <w:rsid w:val="3EF0DCE0"/>
    <w:rsid w:val="3F06056C"/>
    <w:rsid w:val="405D51DF"/>
    <w:rsid w:val="416BF5AE"/>
    <w:rsid w:val="42CCE74C"/>
    <w:rsid w:val="42DCE6E9"/>
    <w:rsid w:val="434F643A"/>
    <w:rsid w:val="438EA270"/>
    <w:rsid w:val="43945B29"/>
    <w:rsid w:val="43ADFE2D"/>
    <w:rsid w:val="4401BD0E"/>
    <w:rsid w:val="4468B7AD"/>
    <w:rsid w:val="45BBDFD0"/>
    <w:rsid w:val="45C29502"/>
    <w:rsid w:val="460CF12F"/>
    <w:rsid w:val="46AA537E"/>
    <w:rsid w:val="46D02B51"/>
    <w:rsid w:val="46F3CF69"/>
    <w:rsid w:val="479D3CE3"/>
    <w:rsid w:val="483C9E2E"/>
    <w:rsid w:val="48D37813"/>
    <w:rsid w:val="48D9C0BD"/>
    <w:rsid w:val="4A2A5981"/>
    <w:rsid w:val="4ABC0C93"/>
    <w:rsid w:val="4B828C72"/>
    <w:rsid w:val="4BCC5005"/>
    <w:rsid w:val="4C0AA8E7"/>
    <w:rsid w:val="4C5670B4"/>
    <w:rsid w:val="4C5EECBB"/>
    <w:rsid w:val="4F0B1404"/>
    <w:rsid w:val="4F7297A9"/>
    <w:rsid w:val="500A14A8"/>
    <w:rsid w:val="50BDB3CF"/>
    <w:rsid w:val="51161B67"/>
    <w:rsid w:val="526250A2"/>
    <w:rsid w:val="5271B27C"/>
    <w:rsid w:val="527796BA"/>
    <w:rsid w:val="5398CB7A"/>
    <w:rsid w:val="541C7364"/>
    <w:rsid w:val="5443F23F"/>
    <w:rsid w:val="555462FD"/>
    <w:rsid w:val="55E204A6"/>
    <w:rsid w:val="565F87E5"/>
    <w:rsid w:val="5683B270"/>
    <w:rsid w:val="56ACB676"/>
    <w:rsid w:val="571A74FF"/>
    <w:rsid w:val="57B3E48A"/>
    <w:rsid w:val="59358338"/>
    <w:rsid w:val="595F6424"/>
    <w:rsid w:val="5AD46A10"/>
    <w:rsid w:val="5AFB8078"/>
    <w:rsid w:val="5B32F908"/>
    <w:rsid w:val="5BAC79E2"/>
    <w:rsid w:val="5BC1F65F"/>
    <w:rsid w:val="5C4CE3F3"/>
    <w:rsid w:val="5D865C45"/>
    <w:rsid w:val="5D9240FC"/>
    <w:rsid w:val="5E5E7384"/>
    <w:rsid w:val="5E91E7C4"/>
    <w:rsid w:val="5F292554"/>
    <w:rsid w:val="5F4D40D0"/>
    <w:rsid w:val="5F67D07D"/>
    <w:rsid w:val="5F6E1C43"/>
    <w:rsid w:val="5FADA2CF"/>
    <w:rsid w:val="5FD188E1"/>
    <w:rsid w:val="604160CB"/>
    <w:rsid w:val="606ACC1E"/>
    <w:rsid w:val="609953A6"/>
    <w:rsid w:val="60D78780"/>
    <w:rsid w:val="621B37AF"/>
    <w:rsid w:val="6260F413"/>
    <w:rsid w:val="62F1718F"/>
    <w:rsid w:val="63D0F468"/>
    <w:rsid w:val="64624043"/>
    <w:rsid w:val="6506E91A"/>
    <w:rsid w:val="659E8CFB"/>
    <w:rsid w:val="65A935C1"/>
    <w:rsid w:val="65FE10A4"/>
    <w:rsid w:val="661CBFBD"/>
    <w:rsid w:val="66A2B97B"/>
    <w:rsid w:val="66B7525D"/>
    <w:rsid w:val="66E720EE"/>
    <w:rsid w:val="67341EF3"/>
    <w:rsid w:val="678C96AA"/>
    <w:rsid w:val="684ACA4A"/>
    <w:rsid w:val="68E58AE1"/>
    <w:rsid w:val="69700A80"/>
    <w:rsid w:val="6994672F"/>
    <w:rsid w:val="6AC4376C"/>
    <w:rsid w:val="6B04C067"/>
    <w:rsid w:val="6BB13BC9"/>
    <w:rsid w:val="6BE2901E"/>
    <w:rsid w:val="6C1D9EE2"/>
    <w:rsid w:val="6C2BD6C4"/>
    <w:rsid w:val="6C6007CD"/>
    <w:rsid w:val="6CBF0718"/>
    <w:rsid w:val="6CEA4A08"/>
    <w:rsid w:val="6CEFDBC6"/>
    <w:rsid w:val="6D7C6F88"/>
    <w:rsid w:val="6D9297E4"/>
    <w:rsid w:val="6DF421D0"/>
    <w:rsid w:val="6E59F939"/>
    <w:rsid w:val="6F4FDB4D"/>
    <w:rsid w:val="6F99CB0B"/>
    <w:rsid w:val="6FA373AF"/>
    <w:rsid w:val="6FC5671C"/>
    <w:rsid w:val="7039C9AC"/>
    <w:rsid w:val="7189E583"/>
    <w:rsid w:val="7213A090"/>
    <w:rsid w:val="72C2544E"/>
    <w:rsid w:val="73170AC3"/>
    <w:rsid w:val="735B84C5"/>
    <w:rsid w:val="73E3304C"/>
    <w:rsid w:val="73F97655"/>
    <w:rsid w:val="7451F155"/>
    <w:rsid w:val="7468316E"/>
    <w:rsid w:val="74AD285D"/>
    <w:rsid w:val="74FC5F03"/>
    <w:rsid w:val="755A9E76"/>
    <w:rsid w:val="764D9720"/>
    <w:rsid w:val="767DCCCF"/>
    <w:rsid w:val="77685772"/>
    <w:rsid w:val="799A3E51"/>
    <w:rsid w:val="7A4272F6"/>
    <w:rsid w:val="7A767876"/>
    <w:rsid w:val="7A87509E"/>
    <w:rsid w:val="7AD5065D"/>
    <w:rsid w:val="7AF48067"/>
    <w:rsid w:val="7B09BE94"/>
    <w:rsid w:val="7B5E774E"/>
    <w:rsid w:val="7B92FCB4"/>
    <w:rsid w:val="7CAB3778"/>
    <w:rsid w:val="7D8221C9"/>
    <w:rsid w:val="7EAB8DDB"/>
    <w:rsid w:val="7F0B8863"/>
    <w:rsid w:val="7FEA79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A9E36"/>
  <w15:chartTrackingRefBased/>
  <w15:docId w15:val="{B6A5A92F-6CCC-4334-BF38-CF7EFF94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523"/>
  </w:style>
  <w:style w:type="paragraph" w:styleId="Heading1">
    <w:name w:val="heading 1"/>
    <w:basedOn w:val="Normal"/>
    <w:next w:val="Normal"/>
    <w:link w:val="Heading1Char"/>
    <w:uiPriority w:val="9"/>
    <w:qFormat/>
    <w:rsid w:val="0091707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C352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C3523"/>
    <w:rPr>
      <w:rFonts w:asciiTheme="majorHAnsi" w:eastAsiaTheme="majorEastAsia" w:hAnsiTheme="majorHAnsi" w:cstheme="majorBidi"/>
      <w:color w:val="2F5496" w:themeColor="accent1" w:themeShade="BF"/>
      <w:sz w:val="26"/>
      <w:szCs w:val="26"/>
    </w:rPr>
  </w:style>
  <w:style w:type="character" w:customStyle="1" w:styleId="eop">
    <w:name w:val="eop"/>
    <w:basedOn w:val="DefaultParagraphFont"/>
    <w:rsid w:val="00AC3523"/>
  </w:style>
  <w:style w:type="character" w:styleId="Hyperlink">
    <w:name w:val="Hyperlink"/>
    <w:basedOn w:val="DefaultParagraphFont"/>
    <w:uiPriority w:val="99"/>
    <w:unhideWhenUsed/>
    <w:rsid w:val="00AC3523"/>
    <w:rPr>
      <w:color w:val="0563C1" w:themeColor="hyperlink"/>
      <w:u w:val="single"/>
    </w:rPr>
  </w:style>
  <w:style w:type="paragraph" w:styleId="ListParagraph">
    <w:name w:val="List Paragraph"/>
    <w:basedOn w:val="Normal"/>
    <w:uiPriority w:val="34"/>
    <w:qFormat/>
    <w:rsid w:val="00AC3523"/>
    <w:pPr>
      <w:snapToGrid w:val="0"/>
      <w:spacing w:after="0" w:line="240" w:lineRule="auto"/>
      <w:ind w:left="720"/>
    </w:pPr>
    <w:rPr>
      <w:rFonts w:ascii="Times New Roman" w:hAnsi="Times New Roman" w:cs="Times New Roman"/>
      <w:sz w:val="24"/>
      <w:szCs w:val="24"/>
    </w:rPr>
  </w:style>
  <w:style w:type="character" w:styleId="IntenseEmphasis">
    <w:name w:val="Intense Emphasis"/>
    <w:basedOn w:val="DefaultParagraphFont"/>
    <w:uiPriority w:val="21"/>
    <w:qFormat/>
    <w:rsid w:val="00AC3523"/>
    <w:rPr>
      <w:i/>
      <w:iCs/>
      <w:color w:val="4472C4" w:themeColor="accent1"/>
    </w:rPr>
  </w:style>
  <w:style w:type="paragraph" w:customStyle="1" w:styleId="paragraph">
    <w:name w:val="paragraph"/>
    <w:basedOn w:val="Normal"/>
    <w:rsid w:val="00AC35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3523"/>
  </w:style>
  <w:style w:type="character" w:styleId="CommentReference">
    <w:name w:val="annotation reference"/>
    <w:basedOn w:val="DefaultParagraphFont"/>
    <w:uiPriority w:val="99"/>
    <w:semiHidden/>
    <w:unhideWhenUsed/>
    <w:rsid w:val="004A666B"/>
    <w:rPr>
      <w:sz w:val="16"/>
      <w:szCs w:val="16"/>
    </w:rPr>
  </w:style>
  <w:style w:type="paragraph" w:styleId="CommentText">
    <w:name w:val="annotation text"/>
    <w:basedOn w:val="Normal"/>
    <w:link w:val="CommentTextChar"/>
    <w:uiPriority w:val="99"/>
    <w:unhideWhenUsed/>
    <w:rsid w:val="004A666B"/>
    <w:pPr>
      <w:spacing w:line="240" w:lineRule="auto"/>
    </w:pPr>
    <w:rPr>
      <w:sz w:val="20"/>
      <w:szCs w:val="20"/>
    </w:rPr>
  </w:style>
  <w:style w:type="character" w:customStyle="1" w:styleId="CommentTextChar">
    <w:name w:val="Comment Text Char"/>
    <w:basedOn w:val="DefaultParagraphFont"/>
    <w:link w:val="CommentText"/>
    <w:uiPriority w:val="99"/>
    <w:rsid w:val="004A666B"/>
    <w:rPr>
      <w:sz w:val="20"/>
      <w:szCs w:val="20"/>
    </w:rPr>
  </w:style>
  <w:style w:type="character" w:customStyle="1" w:styleId="advancedproofingissue">
    <w:name w:val="advancedproofingissue"/>
    <w:basedOn w:val="DefaultParagraphFont"/>
    <w:rsid w:val="004A666B"/>
  </w:style>
  <w:style w:type="character" w:customStyle="1" w:styleId="spellingerror">
    <w:name w:val="spellingerror"/>
    <w:basedOn w:val="DefaultParagraphFont"/>
    <w:rsid w:val="004A666B"/>
  </w:style>
  <w:style w:type="character" w:customStyle="1" w:styleId="contextualspellingandgrammarerror">
    <w:name w:val="contextualspellingandgrammarerror"/>
    <w:basedOn w:val="DefaultParagraphFont"/>
    <w:rsid w:val="004A666B"/>
  </w:style>
  <w:style w:type="character" w:styleId="UnresolvedMention">
    <w:name w:val="Unresolved Mention"/>
    <w:basedOn w:val="DefaultParagraphFont"/>
    <w:uiPriority w:val="99"/>
    <w:unhideWhenUsed/>
    <w:rsid w:val="00D3356C"/>
    <w:rPr>
      <w:color w:val="605E5C"/>
      <w:shd w:val="clear" w:color="auto" w:fill="E1DFDD"/>
    </w:rPr>
  </w:style>
  <w:style w:type="character" w:styleId="FollowedHyperlink">
    <w:name w:val="FollowedHyperlink"/>
    <w:basedOn w:val="DefaultParagraphFont"/>
    <w:uiPriority w:val="99"/>
    <w:semiHidden/>
    <w:unhideWhenUsed/>
    <w:rsid w:val="002A0729"/>
    <w:rPr>
      <w:color w:val="954F72" w:themeColor="followedHyperlink"/>
      <w:u w:val="single"/>
    </w:rPr>
  </w:style>
  <w:style w:type="character" w:customStyle="1" w:styleId="Heading1Char">
    <w:name w:val="Heading 1 Char"/>
    <w:basedOn w:val="DefaultParagraphFont"/>
    <w:link w:val="Heading1"/>
    <w:uiPriority w:val="9"/>
    <w:rsid w:val="00917077"/>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E35D45"/>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631A5"/>
    <w:rPr>
      <w:b/>
      <w:bCs/>
    </w:rPr>
  </w:style>
  <w:style w:type="character" w:customStyle="1" w:styleId="CommentSubjectChar">
    <w:name w:val="Comment Subject Char"/>
    <w:basedOn w:val="CommentTextChar"/>
    <w:link w:val="CommentSubject"/>
    <w:uiPriority w:val="99"/>
    <w:semiHidden/>
    <w:rsid w:val="000631A5"/>
    <w:rPr>
      <w:b/>
      <w:bCs/>
      <w:sz w:val="20"/>
      <w:szCs w:val="20"/>
    </w:rPr>
  </w:style>
  <w:style w:type="character" w:styleId="Mention">
    <w:name w:val="Mention"/>
    <w:basedOn w:val="DefaultParagraphFont"/>
    <w:uiPriority w:val="99"/>
    <w:unhideWhenUsed/>
    <w:rsid w:val="003F0048"/>
    <w:rPr>
      <w:color w:val="2B579A"/>
      <w:shd w:val="clear" w:color="auto" w:fill="E6E6E6"/>
    </w:rPr>
  </w:style>
  <w:style w:type="paragraph" w:styleId="Revision">
    <w:name w:val="Revision"/>
    <w:hidden/>
    <w:uiPriority w:val="99"/>
    <w:semiHidden/>
    <w:rsid w:val="003F0048"/>
    <w:pPr>
      <w:spacing w:after="0" w:line="240" w:lineRule="auto"/>
    </w:pPr>
  </w:style>
  <w:style w:type="table" w:styleId="TableGrid">
    <w:name w:val="Table Grid"/>
    <w:basedOn w:val="TableNormal"/>
    <w:uiPriority w:val="39"/>
    <w:rsid w:val="005B2CE2"/>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C46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4617"/>
    <w:rPr>
      <w:sz w:val="20"/>
      <w:szCs w:val="20"/>
    </w:rPr>
  </w:style>
  <w:style w:type="character" w:styleId="FootnoteReference">
    <w:name w:val="footnote reference"/>
    <w:basedOn w:val="DefaultParagraphFont"/>
    <w:uiPriority w:val="99"/>
    <w:semiHidden/>
    <w:unhideWhenUsed/>
    <w:rsid w:val="001C4617"/>
    <w:rPr>
      <w:vertAlign w:val="superscript"/>
    </w:rPr>
  </w:style>
  <w:style w:type="paragraph" w:styleId="Header">
    <w:name w:val="header"/>
    <w:basedOn w:val="Normal"/>
    <w:link w:val="HeaderChar"/>
    <w:uiPriority w:val="99"/>
    <w:semiHidden/>
    <w:unhideWhenUsed/>
    <w:rsid w:val="002832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8328A"/>
  </w:style>
  <w:style w:type="paragraph" w:styleId="Footer">
    <w:name w:val="footer"/>
    <w:basedOn w:val="Normal"/>
    <w:link w:val="FooterChar"/>
    <w:uiPriority w:val="99"/>
    <w:semiHidden/>
    <w:unhideWhenUsed/>
    <w:rsid w:val="0028328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8328A"/>
  </w:style>
  <w:style w:type="character" w:customStyle="1" w:styleId="cf01">
    <w:name w:val="cf01"/>
    <w:basedOn w:val="DefaultParagraphFont"/>
    <w:rsid w:val="00045315"/>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94713">
      <w:bodyDiv w:val="1"/>
      <w:marLeft w:val="0"/>
      <w:marRight w:val="0"/>
      <w:marTop w:val="0"/>
      <w:marBottom w:val="0"/>
      <w:divBdr>
        <w:top w:val="none" w:sz="0" w:space="0" w:color="auto"/>
        <w:left w:val="none" w:sz="0" w:space="0" w:color="auto"/>
        <w:bottom w:val="none" w:sz="0" w:space="0" w:color="auto"/>
        <w:right w:val="none" w:sz="0" w:space="0" w:color="auto"/>
      </w:divBdr>
    </w:div>
    <w:div w:id="102962557">
      <w:bodyDiv w:val="1"/>
      <w:marLeft w:val="0"/>
      <w:marRight w:val="0"/>
      <w:marTop w:val="0"/>
      <w:marBottom w:val="0"/>
      <w:divBdr>
        <w:top w:val="none" w:sz="0" w:space="0" w:color="auto"/>
        <w:left w:val="none" w:sz="0" w:space="0" w:color="auto"/>
        <w:bottom w:val="none" w:sz="0" w:space="0" w:color="auto"/>
        <w:right w:val="none" w:sz="0" w:space="0" w:color="auto"/>
      </w:divBdr>
    </w:div>
    <w:div w:id="113642672">
      <w:bodyDiv w:val="1"/>
      <w:marLeft w:val="0"/>
      <w:marRight w:val="0"/>
      <w:marTop w:val="0"/>
      <w:marBottom w:val="0"/>
      <w:divBdr>
        <w:top w:val="none" w:sz="0" w:space="0" w:color="auto"/>
        <w:left w:val="none" w:sz="0" w:space="0" w:color="auto"/>
        <w:bottom w:val="none" w:sz="0" w:space="0" w:color="auto"/>
        <w:right w:val="none" w:sz="0" w:space="0" w:color="auto"/>
      </w:divBdr>
      <w:divsChild>
        <w:div w:id="268784370">
          <w:marLeft w:val="1166"/>
          <w:marRight w:val="0"/>
          <w:marTop w:val="120"/>
          <w:marBottom w:val="0"/>
          <w:divBdr>
            <w:top w:val="none" w:sz="0" w:space="0" w:color="auto"/>
            <w:left w:val="none" w:sz="0" w:space="0" w:color="auto"/>
            <w:bottom w:val="none" w:sz="0" w:space="0" w:color="auto"/>
            <w:right w:val="none" w:sz="0" w:space="0" w:color="auto"/>
          </w:divBdr>
        </w:div>
        <w:div w:id="539325876">
          <w:marLeft w:val="1166"/>
          <w:marRight w:val="0"/>
          <w:marTop w:val="120"/>
          <w:marBottom w:val="0"/>
          <w:divBdr>
            <w:top w:val="none" w:sz="0" w:space="0" w:color="auto"/>
            <w:left w:val="none" w:sz="0" w:space="0" w:color="auto"/>
            <w:bottom w:val="none" w:sz="0" w:space="0" w:color="auto"/>
            <w:right w:val="none" w:sz="0" w:space="0" w:color="auto"/>
          </w:divBdr>
        </w:div>
        <w:div w:id="1382900563">
          <w:marLeft w:val="1166"/>
          <w:marRight w:val="0"/>
          <w:marTop w:val="120"/>
          <w:marBottom w:val="0"/>
          <w:divBdr>
            <w:top w:val="none" w:sz="0" w:space="0" w:color="auto"/>
            <w:left w:val="none" w:sz="0" w:space="0" w:color="auto"/>
            <w:bottom w:val="none" w:sz="0" w:space="0" w:color="auto"/>
            <w:right w:val="none" w:sz="0" w:space="0" w:color="auto"/>
          </w:divBdr>
        </w:div>
      </w:divsChild>
    </w:div>
    <w:div w:id="365982345">
      <w:bodyDiv w:val="1"/>
      <w:marLeft w:val="0"/>
      <w:marRight w:val="0"/>
      <w:marTop w:val="0"/>
      <w:marBottom w:val="0"/>
      <w:divBdr>
        <w:top w:val="none" w:sz="0" w:space="0" w:color="auto"/>
        <w:left w:val="none" w:sz="0" w:space="0" w:color="auto"/>
        <w:bottom w:val="none" w:sz="0" w:space="0" w:color="auto"/>
        <w:right w:val="none" w:sz="0" w:space="0" w:color="auto"/>
      </w:divBdr>
    </w:div>
    <w:div w:id="376315394">
      <w:bodyDiv w:val="1"/>
      <w:marLeft w:val="0"/>
      <w:marRight w:val="0"/>
      <w:marTop w:val="0"/>
      <w:marBottom w:val="0"/>
      <w:divBdr>
        <w:top w:val="none" w:sz="0" w:space="0" w:color="auto"/>
        <w:left w:val="none" w:sz="0" w:space="0" w:color="auto"/>
        <w:bottom w:val="none" w:sz="0" w:space="0" w:color="auto"/>
        <w:right w:val="none" w:sz="0" w:space="0" w:color="auto"/>
      </w:divBdr>
      <w:divsChild>
        <w:div w:id="233783634">
          <w:marLeft w:val="360"/>
          <w:marRight w:val="0"/>
          <w:marTop w:val="0"/>
          <w:marBottom w:val="0"/>
          <w:divBdr>
            <w:top w:val="none" w:sz="0" w:space="0" w:color="auto"/>
            <w:left w:val="none" w:sz="0" w:space="0" w:color="auto"/>
            <w:bottom w:val="none" w:sz="0" w:space="0" w:color="auto"/>
            <w:right w:val="none" w:sz="0" w:space="0" w:color="auto"/>
          </w:divBdr>
        </w:div>
        <w:div w:id="303660204">
          <w:marLeft w:val="360"/>
          <w:marRight w:val="0"/>
          <w:marTop w:val="0"/>
          <w:marBottom w:val="0"/>
          <w:divBdr>
            <w:top w:val="none" w:sz="0" w:space="0" w:color="auto"/>
            <w:left w:val="none" w:sz="0" w:space="0" w:color="auto"/>
            <w:bottom w:val="none" w:sz="0" w:space="0" w:color="auto"/>
            <w:right w:val="none" w:sz="0" w:space="0" w:color="auto"/>
          </w:divBdr>
        </w:div>
        <w:div w:id="306084035">
          <w:marLeft w:val="360"/>
          <w:marRight w:val="0"/>
          <w:marTop w:val="0"/>
          <w:marBottom w:val="0"/>
          <w:divBdr>
            <w:top w:val="none" w:sz="0" w:space="0" w:color="auto"/>
            <w:left w:val="none" w:sz="0" w:space="0" w:color="auto"/>
            <w:bottom w:val="none" w:sz="0" w:space="0" w:color="auto"/>
            <w:right w:val="none" w:sz="0" w:space="0" w:color="auto"/>
          </w:divBdr>
        </w:div>
        <w:div w:id="598753988">
          <w:marLeft w:val="360"/>
          <w:marRight w:val="0"/>
          <w:marTop w:val="0"/>
          <w:marBottom w:val="0"/>
          <w:divBdr>
            <w:top w:val="none" w:sz="0" w:space="0" w:color="auto"/>
            <w:left w:val="none" w:sz="0" w:space="0" w:color="auto"/>
            <w:bottom w:val="none" w:sz="0" w:space="0" w:color="auto"/>
            <w:right w:val="none" w:sz="0" w:space="0" w:color="auto"/>
          </w:divBdr>
        </w:div>
        <w:div w:id="1114904325">
          <w:marLeft w:val="360"/>
          <w:marRight w:val="0"/>
          <w:marTop w:val="0"/>
          <w:marBottom w:val="0"/>
          <w:divBdr>
            <w:top w:val="none" w:sz="0" w:space="0" w:color="auto"/>
            <w:left w:val="none" w:sz="0" w:space="0" w:color="auto"/>
            <w:bottom w:val="none" w:sz="0" w:space="0" w:color="auto"/>
            <w:right w:val="none" w:sz="0" w:space="0" w:color="auto"/>
          </w:divBdr>
        </w:div>
        <w:div w:id="1399132872">
          <w:marLeft w:val="360"/>
          <w:marRight w:val="0"/>
          <w:marTop w:val="0"/>
          <w:marBottom w:val="0"/>
          <w:divBdr>
            <w:top w:val="none" w:sz="0" w:space="0" w:color="auto"/>
            <w:left w:val="none" w:sz="0" w:space="0" w:color="auto"/>
            <w:bottom w:val="none" w:sz="0" w:space="0" w:color="auto"/>
            <w:right w:val="none" w:sz="0" w:space="0" w:color="auto"/>
          </w:divBdr>
        </w:div>
        <w:div w:id="1824540597">
          <w:marLeft w:val="360"/>
          <w:marRight w:val="0"/>
          <w:marTop w:val="0"/>
          <w:marBottom w:val="0"/>
          <w:divBdr>
            <w:top w:val="none" w:sz="0" w:space="0" w:color="auto"/>
            <w:left w:val="none" w:sz="0" w:space="0" w:color="auto"/>
            <w:bottom w:val="none" w:sz="0" w:space="0" w:color="auto"/>
            <w:right w:val="none" w:sz="0" w:space="0" w:color="auto"/>
          </w:divBdr>
        </w:div>
        <w:div w:id="2001302808">
          <w:marLeft w:val="360"/>
          <w:marRight w:val="0"/>
          <w:marTop w:val="0"/>
          <w:marBottom w:val="0"/>
          <w:divBdr>
            <w:top w:val="none" w:sz="0" w:space="0" w:color="auto"/>
            <w:left w:val="none" w:sz="0" w:space="0" w:color="auto"/>
            <w:bottom w:val="none" w:sz="0" w:space="0" w:color="auto"/>
            <w:right w:val="none" w:sz="0" w:space="0" w:color="auto"/>
          </w:divBdr>
        </w:div>
      </w:divsChild>
    </w:div>
    <w:div w:id="518466196">
      <w:bodyDiv w:val="1"/>
      <w:marLeft w:val="0"/>
      <w:marRight w:val="0"/>
      <w:marTop w:val="0"/>
      <w:marBottom w:val="0"/>
      <w:divBdr>
        <w:top w:val="none" w:sz="0" w:space="0" w:color="auto"/>
        <w:left w:val="none" w:sz="0" w:space="0" w:color="auto"/>
        <w:bottom w:val="none" w:sz="0" w:space="0" w:color="auto"/>
        <w:right w:val="none" w:sz="0" w:space="0" w:color="auto"/>
      </w:divBdr>
      <w:divsChild>
        <w:div w:id="1769496807">
          <w:marLeft w:val="360"/>
          <w:marRight w:val="0"/>
          <w:marTop w:val="200"/>
          <w:marBottom w:val="0"/>
          <w:divBdr>
            <w:top w:val="none" w:sz="0" w:space="0" w:color="auto"/>
            <w:left w:val="none" w:sz="0" w:space="0" w:color="auto"/>
            <w:bottom w:val="none" w:sz="0" w:space="0" w:color="auto"/>
            <w:right w:val="none" w:sz="0" w:space="0" w:color="auto"/>
          </w:divBdr>
        </w:div>
      </w:divsChild>
    </w:div>
    <w:div w:id="548886349">
      <w:bodyDiv w:val="1"/>
      <w:marLeft w:val="0"/>
      <w:marRight w:val="0"/>
      <w:marTop w:val="0"/>
      <w:marBottom w:val="0"/>
      <w:divBdr>
        <w:top w:val="none" w:sz="0" w:space="0" w:color="auto"/>
        <w:left w:val="none" w:sz="0" w:space="0" w:color="auto"/>
        <w:bottom w:val="none" w:sz="0" w:space="0" w:color="auto"/>
        <w:right w:val="none" w:sz="0" w:space="0" w:color="auto"/>
      </w:divBdr>
      <w:divsChild>
        <w:div w:id="979308941">
          <w:marLeft w:val="1166"/>
          <w:marRight w:val="0"/>
          <w:marTop w:val="100"/>
          <w:marBottom w:val="0"/>
          <w:divBdr>
            <w:top w:val="none" w:sz="0" w:space="0" w:color="auto"/>
            <w:left w:val="none" w:sz="0" w:space="0" w:color="auto"/>
            <w:bottom w:val="none" w:sz="0" w:space="0" w:color="auto"/>
            <w:right w:val="none" w:sz="0" w:space="0" w:color="auto"/>
          </w:divBdr>
        </w:div>
        <w:div w:id="1416050276">
          <w:marLeft w:val="1166"/>
          <w:marRight w:val="0"/>
          <w:marTop w:val="100"/>
          <w:marBottom w:val="0"/>
          <w:divBdr>
            <w:top w:val="none" w:sz="0" w:space="0" w:color="auto"/>
            <w:left w:val="none" w:sz="0" w:space="0" w:color="auto"/>
            <w:bottom w:val="none" w:sz="0" w:space="0" w:color="auto"/>
            <w:right w:val="none" w:sz="0" w:space="0" w:color="auto"/>
          </w:divBdr>
        </w:div>
      </w:divsChild>
    </w:div>
    <w:div w:id="567037999">
      <w:bodyDiv w:val="1"/>
      <w:marLeft w:val="0"/>
      <w:marRight w:val="0"/>
      <w:marTop w:val="0"/>
      <w:marBottom w:val="0"/>
      <w:divBdr>
        <w:top w:val="none" w:sz="0" w:space="0" w:color="auto"/>
        <w:left w:val="none" w:sz="0" w:space="0" w:color="auto"/>
        <w:bottom w:val="none" w:sz="0" w:space="0" w:color="auto"/>
        <w:right w:val="none" w:sz="0" w:space="0" w:color="auto"/>
      </w:divBdr>
    </w:div>
    <w:div w:id="567493108">
      <w:bodyDiv w:val="1"/>
      <w:marLeft w:val="0"/>
      <w:marRight w:val="0"/>
      <w:marTop w:val="0"/>
      <w:marBottom w:val="0"/>
      <w:divBdr>
        <w:top w:val="none" w:sz="0" w:space="0" w:color="auto"/>
        <w:left w:val="none" w:sz="0" w:space="0" w:color="auto"/>
        <w:bottom w:val="none" w:sz="0" w:space="0" w:color="auto"/>
        <w:right w:val="none" w:sz="0" w:space="0" w:color="auto"/>
      </w:divBdr>
    </w:div>
    <w:div w:id="581570234">
      <w:bodyDiv w:val="1"/>
      <w:marLeft w:val="0"/>
      <w:marRight w:val="0"/>
      <w:marTop w:val="0"/>
      <w:marBottom w:val="0"/>
      <w:divBdr>
        <w:top w:val="none" w:sz="0" w:space="0" w:color="auto"/>
        <w:left w:val="none" w:sz="0" w:space="0" w:color="auto"/>
        <w:bottom w:val="none" w:sz="0" w:space="0" w:color="auto"/>
        <w:right w:val="none" w:sz="0" w:space="0" w:color="auto"/>
      </w:divBdr>
      <w:divsChild>
        <w:div w:id="1813792207">
          <w:marLeft w:val="1166"/>
          <w:marRight w:val="0"/>
          <w:marTop w:val="120"/>
          <w:marBottom w:val="0"/>
          <w:divBdr>
            <w:top w:val="none" w:sz="0" w:space="0" w:color="auto"/>
            <w:left w:val="none" w:sz="0" w:space="0" w:color="auto"/>
            <w:bottom w:val="none" w:sz="0" w:space="0" w:color="auto"/>
            <w:right w:val="none" w:sz="0" w:space="0" w:color="auto"/>
          </w:divBdr>
        </w:div>
        <w:div w:id="1857887962">
          <w:marLeft w:val="1166"/>
          <w:marRight w:val="0"/>
          <w:marTop w:val="120"/>
          <w:marBottom w:val="0"/>
          <w:divBdr>
            <w:top w:val="none" w:sz="0" w:space="0" w:color="auto"/>
            <w:left w:val="none" w:sz="0" w:space="0" w:color="auto"/>
            <w:bottom w:val="none" w:sz="0" w:space="0" w:color="auto"/>
            <w:right w:val="none" w:sz="0" w:space="0" w:color="auto"/>
          </w:divBdr>
        </w:div>
        <w:div w:id="2046833874">
          <w:marLeft w:val="1166"/>
          <w:marRight w:val="0"/>
          <w:marTop w:val="120"/>
          <w:marBottom w:val="0"/>
          <w:divBdr>
            <w:top w:val="none" w:sz="0" w:space="0" w:color="auto"/>
            <w:left w:val="none" w:sz="0" w:space="0" w:color="auto"/>
            <w:bottom w:val="none" w:sz="0" w:space="0" w:color="auto"/>
            <w:right w:val="none" w:sz="0" w:space="0" w:color="auto"/>
          </w:divBdr>
        </w:div>
      </w:divsChild>
    </w:div>
    <w:div w:id="619188786">
      <w:bodyDiv w:val="1"/>
      <w:marLeft w:val="0"/>
      <w:marRight w:val="0"/>
      <w:marTop w:val="0"/>
      <w:marBottom w:val="0"/>
      <w:divBdr>
        <w:top w:val="none" w:sz="0" w:space="0" w:color="auto"/>
        <w:left w:val="none" w:sz="0" w:space="0" w:color="auto"/>
        <w:bottom w:val="none" w:sz="0" w:space="0" w:color="auto"/>
        <w:right w:val="none" w:sz="0" w:space="0" w:color="auto"/>
      </w:divBdr>
    </w:div>
    <w:div w:id="632684780">
      <w:bodyDiv w:val="1"/>
      <w:marLeft w:val="0"/>
      <w:marRight w:val="0"/>
      <w:marTop w:val="0"/>
      <w:marBottom w:val="0"/>
      <w:divBdr>
        <w:top w:val="none" w:sz="0" w:space="0" w:color="auto"/>
        <w:left w:val="none" w:sz="0" w:space="0" w:color="auto"/>
        <w:bottom w:val="none" w:sz="0" w:space="0" w:color="auto"/>
        <w:right w:val="none" w:sz="0" w:space="0" w:color="auto"/>
      </w:divBdr>
      <w:divsChild>
        <w:div w:id="67652803">
          <w:marLeft w:val="360"/>
          <w:marRight w:val="0"/>
          <w:marTop w:val="200"/>
          <w:marBottom w:val="0"/>
          <w:divBdr>
            <w:top w:val="none" w:sz="0" w:space="0" w:color="auto"/>
            <w:left w:val="none" w:sz="0" w:space="0" w:color="auto"/>
            <w:bottom w:val="none" w:sz="0" w:space="0" w:color="auto"/>
            <w:right w:val="none" w:sz="0" w:space="0" w:color="auto"/>
          </w:divBdr>
        </w:div>
        <w:div w:id="344674606">
          <w:marLeft w:val="360"/>
          <w:marRight w:val="0"/>
          <w:marTop w:val="200"/>
          <w:marBottom w:val="0"/>
          <w:divBdr>
            <w:top w:val="none" w:sz="0" w:space="0" w:color="auto"/>
            <w:left w:val="none" w:sz="0" w:space="0" w:color="auto"/>
            <w:bottom w:val="none" w:sz="0" w:space="0" w:color="auto"/>
            <w:right w:val="none" w:sz="0" w:space="0" w:color="auto"/>
          </w:divBdr>
        </w:div>
        <w:div w:id="492259544">
          <w:marLeft w:val="360"/>
          <w:marRight w:val="0"/>
          <w:marTop w:val="200"/>
          <w:marBottom w:val="0"/>
          <w:divBdr>
            <w:top w:val="none" w:sz="0" w:space="0" w:color="auto"/>
            <w:left w:val="none" w:sz="0" w:space="0" w:color="auto"/>
            <w:bottom w:val="none" w:sz="0" w:space="0" w:color="auto"/>
            <w:right w:val="none" w:sz="0" w:space="0" w:color="auto"/>
          </w:divBdr>
        </w:div>
        <w:div w:id="814107464">
          <w:marLeft w:val="360"/>
          <w:marRight w:val="0"/>
          <w:marTop w:val="200"/>
          <w:marBottom w:val="0"/>
          <w:divBdr>
            <w:top w:val="none" w:sz="0" w:space="0" w:color="auto"/>
            <w:left w:val="none" w:sz="0" w:space="0" w:color="auto"/>
            <w:bottom w:val="none" w:sz="0" w:space="0" w:color="auto"/>
            <w:right w:val="none" w:sz="0" w:space="0" w:color="auto"/>
          </w:divBdr>
        </w:div>
        <w:div w:id="1080447809">
          <w:marLeft w:val="360"/>
          <w:marRight w:val="0"/>
          <w:marTop w:val="200"/>
          <w:marBottom w:val="0"/>
          <w:divBdr>
            <w:top w:val="none" w:sz="0" w:space="0" w:color="auto"/>
            <w:left w:val="none" w:sz="0" w:space="0" w:color="auto"/>
            <w:bottom w:val="none" w:sz="0" w:space="0" w:color="auto"/>
            <w:right w:val="none" w:sz="0" w:space="0" w:color="auto"/>
          </w:divBdr>
        </w:div>
        <w:div w:id="1731927531">
          <w:marLeft w:val="360"/>
          <w:marRight w:val="0"/>
          <w:marTop w:val="200"/>
          <w:marBottom w:val="0"/>
          <w:divBdr>
            <w:top w:val="none" w:sz="0" w:space="0" w:color="auto"/>
            <w:left w:val="none" w:sz="0" w:space="0" w:color="auto"/>
            <w:bottom w:val="none" w:sz="0" w:space="0" w:color="auto"/>
            <w:right w:val="none" w:sz="0" w:space="0" w:color="auto"/>
          </w:divBdr>
        </w:div>
        <w:div w:id="1804036914">
          <w:marLeft w:val="360"/>
          <w:marRight w:val="0"/>
          <w:marTop w:val="200"/>
          <w:marBottom w:val="0"/>
          <w:divBdr>
            <w:top w:val="none" w:sz="0" w:space="0" w:color="auto"/>
            <w:left w:val="none" w:sz="0" w:space="0" w:color="auto"/>
            <w:bottom w:val="none" w:sz="0" w:space="0" w:color="auto"/>
            <w:right w:val="none" w:sz="0" w:space="0" w:color="auto"/>
          </w:divBdr>
        </w:div>
        <w:div w:id="2003314648">
          <w:marLeft w:val="360"/>
          <w:marRight w:val="0"/>
          <w:marTop w:val="200"/>
          <w:marBottom w:val="0"/>
          <w:divBdr>
            <w:top w:val="none" w:sz="0" w:space="0" w:color="auto"/>
            <w:left w:val="none" w:sz="0" w:space="0" w:color="auto"/>
            <w:bottom w:val="none" w:sz="0" w:space="0" w:color="auto"/>
            <w:right w:val="none" w:sz="0" w:space="0" w:color="auto"/>
          </w:divBdr>
        </w:div>
      </w:divsChild>
    </w:div>
    <w:div w:id="633563318">
      <w:bodyDiv w:val="1"/>
      <w:marLeft w:val="0"/>
      <w:marRight w:val="0"/>
      <w:marTop w:val="0"/>
      <w:marBottom w:val="0"/>
      <w:divBdr>
        <w:top w:val="none" w:sz="0" w:space="0" w:color="auto"/>
        <w:left w:val="none" w:sz="0" w:space="0" w:color="auto"/>
        <w:bottom w:val="none" w:sz="0" w:space="0" w:color="auto"/>
        <w:right w:val="none" w:sz="0" w:space="0" w:color="auto"/>
      </w:divBdr>
    </w:div>
    <w:div w:id="655453452">
      <w:bodyDiv w:val="1"/>
      <w:marLeft w:val="0"/>
      <w:marRight w:val="0"/>
      <w:marTop w:val="0"/>
      <w:marBottom w:val="0"/>
      <w:divBdr>
        <w:top w:val="none" w:sz="0" w:space="0" w:color="auto"/>
        <w:left w:val="none" w:sz="0" w:space="0" w:color="auto"/>
        <w:bottom w:val="none" w:sz="0" w:space="0" w:color="auto"/>
        <w:right w:val="none" w:sz="0" w:space="0" w:color="auto"/>
      </w:divBdr>
      <w:divsChild>
        <w:div w:id="535392375">
          <w:marLeft w:val="360"/>
          <w:marRight w:val="0"/>
          <w:marTop w:val="200"/>
          <w:marBottom w:val="0"/>
          <w:divBdr>
            <w:top w:val="none" w:sz="0" w:space="0" w:color="auto"/>
            <w:left w:val="none" w:sz="0" w:space="0" w:color="auto"/>
            <w:bottom w:val="none" w:sz="0" w:space="0" w:color="auto"/>
            <w:right w:val="none" w:sz="0" w:space="0" w:color="auto"/>
          </w:divBdr>
        </w:div>
      </w:divsChild>
    </w:div>
    <w:div w:id="822746103">
      <w:bodyDiv w:val="1"/>
      <w:marLeft w:val="0"/>
      <w:marRight w:val="0"/>
      <w:marTop w:val="0"/>
      <w:marBottom w:val="0"/>
      <w:divBdr>
        <w:top w:val="none" w:sz="0" w:space="0" w:color="auto"/>
        <w:left w:val="none" w:sz="0" w:space="0" w:color="auto"/>
        <w:bottom w:val="none" w:sz="0" w:space="0" w:color="auto"/>
        <w:right w:val="none" w:sz="0" w:space="0" w:color="auto"/>
      </w:divBdr>
    </w:div>
    <w:div w:id="850870478">
      <w:bodyDiv w:val="1"/>
      <w:marLeft w:val="0"/>
      <w:marRight w:val="0"/>
      <w:marTop w:val="0"/>
      <w:marBottom w:val="0"/>
      <w:divBdr>
        <w:top w:val="none" w:sz="0" w:space="0" w:color="auto"/>
        <w:left w:val="none" w:sz="0" w:space="0" w:color="auto"/>
        <w:bottom w:val="none" w:sz="0" w:space="0" w:color="auto"/>
        <w:right w:val="none" w:sz="0" w:space="0" w:color="auto"/>
      </w:divBdr>
    </w:div>
    <w:div w:id="887062159">
      <w:bodyDiv w:val="1"/>
      <w:marLeft w:val="0"/>
      <w:marRight w:val="0"/>
      <w:marTop w:val="0"/>
      <w:marBottom w:val="0"/>
      <w:divBdr>
        <w:top w:val="none" w:sz="0" w:space="0" w:color="auto"/>
        <w:left w:val="none" w:sz="0" w:space="0" w:color="auto"/>
        <w:bottom w:val="none" w:sz="0" w:space="0" w:color="auto"/>
        <w:right w:val="none" w:sz="0" w:space="0" w:color="auto"/>
      </w:divBdr>
      <w:divsChild>
        <w:div w:id="161435735">
          <w:marLeft w:val="1080"/>
          <w:marRight w:val="0"/>
          <w:marTop w:val="100"/>
          <w:marBottom w:val="0"/>
          <w:divBdr>
            <w:top w:val="none" w:sz="0" w:space="0" w:color="auto"/>
            <w:left w:val="none" w:sz="0" w:space="0" w:color="auto"/>
            <w:bottom w:val="none" w:sz="0" w:space="0" w:color="auto"/>
            <w:right w:val="none" w:sz="0" w:space="0" w:color="auto"/>
          </w:divBdr>
        </w:div>
      </w:divsChild>
    </w:div>
    <w:div w:id="954991496">
      <w:bodyDiv w:val="1"/>
      <w:marLeft w:val="0"/>
      <w:marRight w:val="0"/>
      <w:marTop w:val="0"/>
      <w:marBottom w:val="0"/>
      <w:divBdr>
        <w:top w:val="none" w:sz="0" w:space="0" w:color="auto"/>
        <w:left w:val="none" w:sz="0" w:space="0" w:color="auto"/>
        <w:bottom w:val="none" w:sz="0" w:space="0" w:color="auto"/>
        <w:right w:val="none" w:sz="0" w:space="0" w:color="auto"/>
      </w:divBdr>
    </w:div>
    <w:div w:id="983317030">
      <w:bodyDiv w:val="1"/>
      <w:marLeft w:val="0"/>
      <w:marRight w:val="0"/>
      <w:marTop w:val="0"/>
      <w:marBottom w:val="0"/>
      <w:divBdr>
        <w:top w:val="none" w:sz="0" w:space="0" w:color="auto"/>
        <w:left w:val="none" w:sz="0" w:space="0" w:color="auto"/>
        <w:bottom w:val="none" w:sz="0" w:space="0" w:color="auto"/>
        <w:right w:val="none" w:sz="0" w:space="0" w:color="auto"/>
      </w:divBdr>
    </w:div>
    <w:div w:id="1056973223">
      <w:bodyDiv w:val="1"/>
      <w:marLeft w:val="0"/>
      <w:marRight w:val="0"/>
      <w:marTop w:val="0"/>
      <w:marBottom w:val="0"/>
      <w:divBdr>
        <w:top w:val="none" w:sz="0" w:space="0" w:color="auto"/>
        <w:left w:val="none" w:sz="0" w:space="0" w:color="auto"/>
        <w:bottom w:val="none" w:sz="0" w:space="0" w:color="auto"/>
        <w:right w:val="none" w:sz="0" w:space="0" w:color="auto"/>
      </w:divBdr>
    </w:div>
    <w:div w:id="1059284329">
      <w:bodyDiv w:val="1"/>
      <w:marLeft w:val="0"/>
      <w:marRight w:val="0"/>
      <w:marTop w:val="0"/>
      <w:marBottom w:val="0"/>
      <w:divBdr>
        <w:top w:val="none" w:sz="0" w:space="0" w:color="auto"/>
        <w:left w:val="none" w:sz="0" w:space="0" w:color="auto"/>
        <w:bottom w:val="none" w:sz="0" w:space="0" w:color="auto"/>
        <w:right w:val="none" w:sz="0" w:space="0" w:color="auto"/>
      </w:divBdr>
    </w:div>
    <w:div w:id="1111632234">
      <w:bodyDiv w:val="1"/>
      <w:marLeft w:val="0"/>
      <w:marRight w:val="0"/>
      <w:marTop w:val="0"/>
      <w:marBottom w:val="0"/>
      <w:divBdr>
        <w:top w:val="none" w:sz="0" w:space="0" w:color="auto"/>
        <w:left w:val="none" w:sz="0" w:space="0" w:color="auto"/>
        <w:bottom w:val="none" w:sz="0" w:space="0" w:color="auto"/>
        <w:right w:val="none" w:sz="0" w:space="0" w:color="auto"/>
      </w:divBdr>
      <w:divsChild>
        <w:div w:id="584656650">
          <w:marLeft w:val="360"/>
          <w:marRight w:val="0"/>
          <w:marTop w:val="200"/>
          <w:marBottom w:val="0"/>
          <w:divBdr>
            <w:top w:val="none" w:sz="0" w:space="0" w:color="auto"/>
            <w:left w:val="none" w:sz="0" w:space="0" w:color="auto"/>
            <w:bottom w:val="none" w:sz="0" w:space="0" w:color="auto"/>
            <w:right w:val="none" w:sz="0" w:space="0" w:color="auto"/>
          </w:divBdr>
        </w:div>
        <w:div w:id="928349357">
          <w:marLeft w:val="360"/>
          <w:marRight w:val="0"/>
          <w:marTop w:val="200"/>
          <w:marBottom w:val="0"/>
          <w:divBdr>
            <w:top w:val="none" w:sz="0" w:space="0" w:color="auto"/>
            <w:left w:val="none" w:sz="0" w:space="0" w:color="auto"/>
            <w:bottom w:val="none" w:sz="0" w:space="0" w:color="auto"/>
            <w:right w:val="none" w:sz="0" w:space="0" w:color="auto"/>
          </w:divBdr>
        </w:div>
        <w:div w:id="1103307475">
          <w:marLeft w:val="360"/>
          <w:marRight w:val="0"/>
          <w:marTop w:val="200"/>
          <w:marBottom w:val="0"/>
          <w:divBdr>
            <w:top w:val="none" w:sz="0" w:space="0" w:color="auto"/>
            <w:left w:val="none" w:sz="0" w:space="0" w:color="auto"/>
            <w:bottom w:val="none" w:sz="0" w:space="0" w:color="auto"/>
            <w:right w:val="none" w:sz="0" w:space="0" w:color="auto"/>
          </w:divBdr>
        </w:div>
        <w:div w:id="1451047361">
          <w:marLeft w:val="360"/>
          <w:marRight w:val="0"/>
          <w:marTop w:val="200"/>
          <w:marBottom w:val="0"/>
          <w:divBdr>
            <w:top w:val="none" w:sz="0" w:space="0" w:color="auto"/>
            <w:left w:val="none" w:sz="0" w:space="0" w:color="auto"/>
            <w:bottom w:val="none" w:sz="0" w:space="0" w:color="auto"/>
            <w:right w:val="none" w:sz="0" w:space="0" w:color="auto"/>
          </w:divBdr>
        </w:div>
        <w:div w:id="1762018746">
          <w:marLeft w:val="360"/>
          <w:marRight w:val="0"/>
          <w:marTop w:val="200"/>
          <w:marBottom w:val="0"/>
          <w:divBdr>
            <w:top w:val="none" w:sz="0" w:space="0" w:color="auto"/>
            <w:left w:val="none" w:sz="0" w:space="0" w:color="auto"/>
            <w:bottom w:val="none" w:sz="0" w:space="0" w:color="auto"/>
            <w:right w:val="none" w:sz="0" w:space="0" w:color="auto"/>
          </w:divBdr>
        </w:div>
      </w:divsChild>
    </w:div>
    <w:div w:id="1179271415">
      <w:bodyDiv w:val="1"/>
      <w:marLeft w:val="0"/>
      <w:marRight w:val="0"/>
      <w:marTop w:val="0"/>
      <w:marBottom w:val="0"/>
      <w:divBdr>
        <w:top w:val="none" w:sz="0" w:space="0" w:color="auto"/>
        <w:left w:val="none" w:sz="0" w:space="0" w:color="auto"/>
        <w:bottom w:val="none" w:sz="0" w:space="0" w:color="auto"/>
        <w:right w:val="none" w:sz="0" w:space="0" w:color="auto"/>
      </w:divBdr>
    </w:div>
    <w:div w:id="1196964982">
      <w:bodyDiv w:val="1"/>
      <w:marLeft w:val="0"/>
      <w:marRight w:val="0"/>
      <w:marTop w:val="0"/>
      <w:marBottom w:val="0"/>
      <w:divBdr>
        <w:top w:val="none" w:sz="0" w:space="0" w:color="auto"/>
        <w:left w:val="none" w:sz="0" w:space="0" w:color="auto"/>
        <w:bottom w:val="none" w:sz="0" w:space="0" w:color="auto"/>
        <w:right w:val="none" w:sz="0" w:space="0" w:color="auto"/>
      </w:divBdr>
    </w:div>
    <w:div w:id="1229220338">
      <w:bodyDiv w:val="1"/>
      <w:marLeft w:val="0"/>
      <w:marRight w:val="0"/>
      <w:marTop w:val="0"/>
      <w:marBottom w:val="0"/>
      <w:divBdr>
        <w:top w:val="none" w:sz="0" w:space="0" w:color="auto"/>
        <w:left w:val="none" w:sz="0" w:space="0" w:color="auto"/>
        <w:bottom w:val="none" w:sz="0" w:space="0" w:color="auto"/>
        <w:right w:val="none" w:sz="0" w:space="0" w:color="auto"/>
      </w:divBdr>
    </w:div>
    <w:div w:id="1255087492">
      <w:bodyDiv w:val="1"/>
      <w:marLeft w:val="0"/>
      <w:marRight w:val="0"/>
      <w:marTop w:val="0"/>
      <w:marBottom w:val="0"/>
      <w:divBdr>
        <w:top w:val="none" w:sz="0" w:space="0" w:color="auto"/>
        <w:left w:val="none" w:sz="0" w:space="0" w:color="auto"/>
        <w:bottom w:val="none" w:sz="0" w:space="0" w:color="auto"/>
        <w:right w:val="none" w:sz="0" w:space="0" w:color="auto"/>
      </w:divBdr>
      <w:divsChild>
        <w:div w:id="216167694">
          <w:marLeft w:val="360"/>
          <w:marRight w:val="0"/>
          <w:marTop w:val="200"/>
          <w:marBottom w:val="0"/>
          <w:divBdr>
            <w:top w:val="none" w:sz="0" w:space="0" w:color="auto"/>
            <w:left w:val="none" w:sz="0" w:space="0" w:color="auto"/>
            <w:bottom w:val="none" w:sz="0" w:space="0" w:color="auto"/>
            <w:right w:val="none" w:sz="0" w:space="0" w:color="auto"/>
          </w:divBdr>
        </w:div>
        <w:div w:id="916550412">
          <w:marLeft w:val="360"/>
          <w:marRight w:val="0"/>
          <w:marTop w:val="200"/>
          <w:marBottom w:val="0"/>
          <w:divBdr>
            <w:top w:val="none" w:sz="0" w:space="0" w:color="auto"/>
            <w:left w:val="none" w:sz="0" w:space="0" w:color="auto"/>
            <w:bottom w:val="none" w:sz="0" w:space="0" w:color="auto"/>
            <w:right w:val="none" w:sz="0" w:space="0" w:color="auto"/>
          </w:divBdr>
        </w:div>
        <w:div w:id="1146047444">
          <w:marLeft w:val="360"/>
          <w:marRight w:val="0"/>
          <w:marTop w:val="200"/>
          <w:marBottom w:val="0"/>
          <w:divBdr>
            <w:top w:val="none" w:sz="0" w:space="0" w:color="auto"/>
            <w:left w:val="none" w:sz="0" w:space="0" w:color="auto"/>
            <w:bottom w:val="none" w:sz="0" w:space="0" w:color="auto"/>
            <w:right w:val="none" w:sz="0" w:space="0" w:color="auto"/>
          </w:divBdr>
        </w:div>
        <w:div w:id="1379664276">
          <w:marLeft w:val="360"/>
          <w:marRight w:val="0"/>
          <w:marTop w:val="200"/>
          <w:marBottom w:val="0"/>
          <w:divBdr>
            <w:top w:val="none" w:sz="0" w:space="0" w:color="auto"/>
            <w:left w:val="none" w:sz="0" w:space="0" w:color="auto"/>
            <w:bottom w:val="none" w:sz="0" w:space="0" w:color="auto"/>
            <w:right w:val="none" w:sz="0" w:space="0" w:color="auto"/>
          </w:divBdr>
        </w:div>
        <w:div w:id="1710840881">
          <w:marLeft w:val="360"/>
          <w:marRight w:val="0"/>
          <w:marTop w:val="200"/>
          <w:marBottom w:val="0"/>
          <w:divBdr>
            <w:top w:val="none" w:sz="0" w:space="0" w:color="auto"/>
            <w:left w:val="none" w:sz="0" w:space="0" w:color="auto"/>
            <w:bottom w:val="none" w:sz="0" w:space="0" w:color="auto"/>
            <w:right w:val="none" w:sz="0" w:space="0" w:color="auto"/>
          </w:divBdr>
        </w:div>
      </w:divsChild>
    </w:div>
    <w:div w:id="1380855770">
      <w:bodyDiv w:val="1"/>
      <w:marLeft w:val="0"/>
      <w:marRight w:val="0"/>
      <w:marTop w:val="0"/>
      <w:marBottom w:val="0"/>
      <w:divBdr>
        <w:top w:val="none" w:sz="0" w:space="0" w:color="auto"/>
        <w:left w:val="none" w:sz="0" w:space="0" w:color="auto"/>
        <w:bottom w:val="none" w:sz="0" w:space="0" w:color="auto"/>
        <w:right w:val="none" w:sz="0" w:space="0" w:color="auto"/>
      </w:divBdr>
    </w:div>
    <w:div w:id="1457329519">
      <w:bodyDiv w:val="1"/>
      <w:marLeft w:val="0"/>
      <w:marRight w:val="0"/>
      <w:marTop w:val="0"/>
      <w:marBottom w:val="0"/>
      <w:divBdr>
        <w:top w:val="none" w:sz="0" w:space="0" w:color="auto"/>
        <w:left w:val="none" w:sz="0" w:space="0" w:color="auto"/>
        <w:bottom w:val="none" w:sz="0" w:space="0" w:color="auto"/>
        <w:right w:val="none" w:sz="0" w:space="0" w:color="auto"/>
      </w:divBdr>
      <w:divsChild>
        <w:div w:id="1527058088">
          <w:marLeft w:val="1166"/>
          <w:marRight w:val="0"/>
          <w:marTop w:val="120"/>
          <w:marBottom w:val="0"/>
          <w:divBdr>
            <w:top w:val="none" w:sz="0" w:space="0" w:color="auto"/>
            <w:left w:val="none" w:sz="0" w:space="0" w:color="auto"/>
            <w:bottom w:val="none" w:sz="0" w:space="0" w:color="auto"/>
            <w:right w:val="none" w:sz="0" w:space="0" w:color="auto"/>
          </w:divBdr>
        </w:div>
        <w:div w:id="1841460620">
          <w:marLeft w:val="1166"/>
          <w:marRight w:val="0"/>
          <w:marTop w:val="120"/>
          <w:marBottom w:val="0"/>
          <w:divBdr>
            <w:top w:val="none" w:sz="0" w:space="0" w:color="auto"/>
            <w:left w:val="none" w:sz="0" w:space="0" w:color="auto"/>
            <w:bottom w:val="none" w:sz="0" w:space="0" w:color="auto"/>
            <w:right w:val="none" w:sz="0" w:space="0" w:color="auto"/>
          </w:divBdr>
        </w:div>
        <w:div w:id="2053263748">
          <w:marLeft w:val="1166"/>
          <w:marRight w:val="0"/>
          <w:marTop w:val="120"/>
          <w:marBottom w:val="0"/>
          <w:divBdr>
            <w:top w:val="none" w:sz="0" w:space="0" w:color="auto"/>
            <w:left w:val="none" w:sz="0" w:space="0" w:color="auto"/>
            <w:bottom w:val="none" w:sz="0" w:space="0" w:color="auto"/>
            <w:right w:val="none" w:sz="0" w:space="0" w:color="auto"/>
          </w:divBdr>
        </w:div>
      </w:divsChild>
    </w:div>
    <w:div w:id="1502045483">
      <w:bodyDiv w:val="1"/>
      <w:marLeft w:val="0"/>
      <w:marRight w:val="0"/>
      <w:marTop w:val="0"/>
      <w:marBottom w:val="0"/>
      <w:divBdr>
        <w:top w:val="none" w:sz="0" w:space="0" w:color="auto"/>
        <w:left w:val="none" w:sz="0" w:space="0" w:color="auto"/>
        <w:bottom w:val="none" w:sz="0" w:space="0" w:color="auto"/>
        <w:right w:val="none" w:sz="0" w:space="0" w:color="auto"/>
      </w:divBdr>
    </w:div>
    <w:div w:id="1527867182">
      <w:bodyDiv w:val="1"/>
      <w:marLeft w:val="0"/>
      <w:marRight w:val="0"/>
      <w:marTop w:val="0"/>
      <w:marBottom w:val="0"/>
      <w:divBdr>
        <w:top w:val="none" w:sz="0" w:space="0" w:color="auto"/>
        <w:left w:val="none" w:sz="0" w:space="0" w:color="auto"/>
        <w:bottom w:val="none" w:sz="0" w:space="0" w:color="auto"/>
        <w:right w:val="none" w:sz="0" w:space="0" w:color="auto"/>
      </w:divBdr>
      <w:divsChild>
        <w:div w:id="1716930908">
          <w:marLeft w:val="360"/>
          <w:marRight w:val="0"/>
          <w:marTop w:val="200"/>
          <w:marBottom w:val="0"/>
          <w:divBdr>
            <w:top w:val="none" w:sz="0" w:space="0" w:color="auto"/>
            <w:left w:val="none" w:sz="0" w:space="0" w:color="auto"/>
            <w:bottom w:val="none" w:sz="0" w:space="0" w:color="auto"/>
            <w:right w:val="none" w:sz="0" w:space="0" w:color="auto"/>
          </w:divBdr>
        </w:div>
      </w:divsChild>
    </w:div>
    <w:div w:id="1538927435">
      <w:bodyDiv w:val="1"/>
      <w:marLeft w:val="0"/>
      <w:marRight w:val="0"/>
      <w:marTop w:val="0"/>
      <w:marBottom w:val="0"/>
      <w:divBdr>
        <w:top w:val="none" w:sz="0" w:space="0" w:color="auto"/>
        <w:left w:val="none" w:sz="0" w:space="0" w:color="auto"/>
        <w:bottom w:val="none" w:sz="0" w:space="0" w:color="auto"/>
        <w:right w:val="none" w:sz="0" w:space="0" w:color="auto"/>
      </w:divBdr>
    </w:div>
    <w:div w:id="1574974910">
      <w:bodyDiv w:val="1"/>
      <w:marLeft w:val="0"/>
      <w:marRight w:val="0"/>
      <w:marTop w:val="0"/>
      <w:marBottom w:val="0"/>
      <w:divBdr>
        <w:top w:val="none" w:sz="0" w:space="0" w:color="auto"/>
        <w:left w:val="none" w:sz="0" w:space="0" w:color="auto"/>
        <w:bottom w:val="none" w:sz="0" w:space="0" w:color="auto"/>
        <w:right w:val="none" w:sz="0" w:space="0" w:color="auto"/>
      </w:divBdr>
      <w:divsChild>
        <w:div w:id="29771935">
          <w:marLeft w:val="360"/>
          <w:marRight w:val="0"/>
          <w:marTop w:val="200"/>
          <w:marBottom w:val="0"/>
          <w:divBdr>
            <w:top w:val="none" w:sz="0" w:space="0" w:color="auto"/>
            <w:left w:val="none" w:sz="0" w:space="0" w:color="auto"/>
            <w:bottom w:val="none" w:sz="0" w:space="0" w:color="auto"/>
            <w:right w:val="none" w:sz="0" w:space="0" w:color="auto"/>
          </w:divBdr>
        </w:div>
        <w:div w:id="330177783">
          <w:marLeft w:val="360"/>
          <w:marRight w:val="0"/>
          <w:marTop w:val="200"/>
          <w:marBottom w:val="0"/>
          <w:divBdr>
            <w:top w:val="none" w:sz="0" w:space="0" w:color="auto"/>
            <w:left w:val="none" w:sz="0" w:space="0" w:color="auto"/>
            <w:bottom w:val="none" w:sz="0" w:space="0" w:color="auto"/>
            <w:right w:val="none" w:sz="0" w:space="0" w:color="auto"/>
          </w:divBdr>
        </w:div>
        <w:div w:id="669405311">
          <w:marLeft w:val="360"/>
          <w:marRight w:val="0"/>
          <w:marTop w:val="200"/>
          <w:marBottom w:val="0"/>
          <w:divBdr>
            <w:top w:val="none" w:sz="0" w:space="0" w:color="auto"/>
            <w:left w:val="none" w:sz="0" w:space="0" w:color="auto"/>
            <w:bottom w:val="none" w:sz="0" w:space="0" w:color="auto"/>
            <w:right w:val="none" w:sz="0" w:space="0" w:color="auto"/>
          </w:divBdr>
        </w:div>
        <w:div w:id="895581142">
          <w:marLeft w:val="360"/>
          <w:marRight w:val="0"/>
          <w:marTop w:val="200"/>
          <w:marBottom w:val="0"/>
          <w:divBdr>
            <w:top w:val="none" w:sz="0" w:space="0" w:color="auto"/>
            <w:left w:val="none" w:sz="0" w:space="0" w:color="auto"/>
            <w:bottom w:val="none" w:sz="0" w:space="0" w:color="auto"/>
            <w:right w:val="none" w:sz="0" w:space="0" w:color="auto"/>
          </w:divBdr>
        </w:div>
        <w:div w:id="1831477633">
          <w:marLeft w:val="360"/>
          <w:marRight w:val="0"/>
          <w:marTop w:val="200"/>
          <w:marBottom w:val="0"/>
          <w:divBdr>
            <w:top w:val="none" w:sz="0" w:space="0" w:color="auto"/>
            <w:left w:val="none" w:sz="0" w:space="0" w:color="auto"/>
            <w:bottom w:val="none" w:sz="0" w:space="0" w:color="auto"/>
            <w:right w:val="none" w:sz="0" w:space="0" w:color="auto"/>
          </w:divBdr>
        </w:div>
      </w:divsChild>
    </w:div>
    <w:div w:id="1584099181">
      <w:bodyDiv w:val="1"/>
      <w:marLeft w:val="0"/>
      <w:marRight w:val="0"/>
      <w:marTop w:val="0"/>
      <w:marBottom w:val="0"/>
      <w:divBdr>
        <w:top w:val="none" w:sz="0" w:space="0" w:color="auto"/>
        <w:left w:val="none" w:sz="0" w:space="0" w:color="auto"/>
        <w:bottom w:val="none" w:sz="0" w:space="0" w:color="auto"/>
        <w:right w:val="none" w:sz="0" w:space="0" w:color="auto"/>
      </w:divBdr>
    </w:div>
    <w:div w:id="1623489285">
      <w:bodyDiv w:val="1"/>
      <w:marLeft w:val="0"/>
      <w:marRight w:val="0"/>
      <w:marTop w:val="0"/>
      <w:marBottom w:val="0"/>
      <w:divBdr>
        <w:top w:val="none" w:sz="0" w:space="0" w:color="auto"/>
        <w:left w:val="none" w:sz="0" w:space="0" w:color="auto"/>
        <w:bottom w:val="none" w:sz="0" w:space="0" w:color="auto"/>
        <w:right w:val="none" w:sz="0" w:space="0" w:color="auto"/>
      </w:divBdr>
      <w:divsChild>
        <w:div w:id="325592595">
          <w:marLeft w:val="360"/>
          <w:marRight w:val="0"/>
          <w:marTop w:val="200"/>
          <w:marBottom w:val="0"/>
          <w:divBdr>
            <w:top w:val="none" w:sz="0" w:space="0" w:color="auto"/>
            <w:left w:val="none" w:sz="0" w:space="0" w:color="auto"/>
            <w:bottom w:val="none" w:sz="0" w:space="0" w:color="auto"/>
            <w:right w:val="none" w:sz="0" w:space="0" w:color="auto"/>
          </w:divBdr>
        </w:div>
        <w:div w:id="566456680">
          <w:marLeft w:val="360"/>
          <w:marRight w:val="0"/>
          <w:marTop w:val="200"/>
          <w:marBottom w:val="0"/>
          <w:divBdr>
            <w:top w:val="none" w:sz="0" w:space="0" w:color="auto"/>
            <w:left w:val="none" w:sz="0" w:space="0" w:color="auto"/>
            <w:bottom w:val="none" w:sz="0" w:space="0" w:color="auto"/>
            <w:right w:val="none" w:sz="0" w:space="0" w:color="auto"/>
          </w:divBdr>
        </w:div>
        <w:div w:id="921453268">
          <w:marLeft w:val="360"/>
          <w:marRight w:val="0"/>
          <w:marTop w:val="200"/>
          <w:marBottom w:val="0"/>
          <w:divBdr>
            <w:top w:val="none" w:sz="0" w:space="0" w:color="auto"/>
            <w:left w:val="none" w:sz="0" w:space="0" w:color="auto"/>
            <w:bottom w:val="none" w:sz="0" w:space="0" w:color="auto"/>
            <w:right w:val="none" w:sz="0" w:space="0" w:color="auto"/>
          </w:divBdr>
        </w:div>
        <w:div w:id="936595254">
          <w:marLeft w:val="360"/>
          <w:marRight w:val="0"/>
          <w:marTop w:val="200"/>
          <w:marBottom w:val="0"/>
          <w:divBdr>
            <w:top w:val="none" w:sz="0" w:space="0" w:color="auto"/>
            <w:left w:val="none" w:sz="0" w:space="0" w:color="auto"/>
            <w:bottom w:val="none" w:sz="0" w:space="0" w:color="auto"/>
            <w:right w:val="none" w:sz="0" w:space="0" w:color="auto"/>
          </w:divBdr>
        </w:div>
        <w:div w:id="2111391969">
          <w:marLeft w:val="360"/>
          <w:marRight w:val="0"/>
          <w:marTop w:val="200"/>
          <w:marBottom w:val="0"/>
          <w:divBdr>
            <w:top w:val="none" w:sz="0" w:space="0" w:color="auto"/>
            <w:left w:val="none" w:sz="0" w:space="0" w:color="auto"/>
            <w:bottom w:val="none" w:sz="0" w:space="0" w:color="auto"/>
            <w:right w:val="none" w:sz="0" w:space="0" w:color="auto"/>
          </w:divBdr>
        </w:div>
      </w:divsChild>
    </w:div>
    <w:div w:id="1664969547">
      <w:bodyDiv w:val="1"/>
      <w:marLeft w:val="0"/>
      <w:marRight w:val="0"/>
      <w:marTop w:val="0"/>
      <w:marBottom w:val="0"/>
      <w:divBdr>
        <w:top w:val="none" w:sz="0" w:space="0" w:color="auto"/>
        <w:left w:val="none" w:sz="0" w:space="0" w:color="auto"/>
        <w:bottom w:val="none" w:sz="0" w:space="0" w:color="auto"/>
        <w:right w:val="none" w:sz="0" w:space="0" w:color="auto"/>
      </w:divBdr>
    </w:div>
    <w:div w:id="1667594160">
      <w:bodyDiv w:val="1"/>
      <w:marLeft w:val="0"/>
      <w:marRight w:val="0"/>
      <w:marTop w:val="0"/>
      <w:marBottom w:val="0"/>
      <w:divBdr>
        <w:top w:val="none" w:sz="0" w:space="0" w:color="auto"/>
        <w:left w:val="none" w:sz="0" w:space="0" w:color="auto"/>
        <w:bottom w:val="none" w:sz="0" w:space="0" w:color="auto"/>
        <w:right w:val="none" w:sz="0" w:space="0" w:color="auto"/>
      </w:divBdr>
    </w:div>
    <w:div w:id="1668022370">
      <w:bodyDiv w:val="1"/>
      <w:marLeft w:val="0"/>
      <w:marRight w:val="0"/>
      <w:marTop w:val="0"/>
      <w:marBottom w:val="0"/>
      <w:divBdr>
        <w:top w:val="none" w:sz="0" w:space="0" w:color="auto"/>
        <w:left w:val="none" w:sz="0" w:space="0" w:color="auto"/>
        <w:bottom w:val="none" w:sz="0" w:space="0" w:color="auto"/>
        <w:right w:val="none" w:sz="0" w:space="0" w:color="auto"/>
      </w:divBdr>
    </w:div>
    <w:div w:id="1682929656">
      <w:bodyDiv w:val="1"/>
      <w:marLeft w:val="0"/>
      <w:marRight w:val="0"/>
      <w:marTop w:val="0"/>
      <w:marBottom w:val="0"/>
      <w:divBdr>
        <w:top w:val="none" w:sz="0" w:space="0" w:color="auto"/>
        <w:left w:val="none" w:sz="0" w:space="0" w:color="auto"/>
        <w:bottom w:val="none" w:sz="0" w:space="0" w:color="auto"/>
        <w:right w:val="none" w:sz="0" w:space="0" w:color="auto"/>
      </w:divBdr>
    </w:div>
    <w:div w:id="1688825474">
      <w:bodyDiv w:val="1"/>
      <w:marLeft w:val="0"/>
      <w:marRight w:val="0"/>
      <w:marTop w:val="0"/>
      <w:marBottom w:val="0"/>
      <w:divBdr>
        <w:top w:val="none" w:sz="0" w:space="0" w:color="auto"/>
        <w:left w:val="none" w:sz="0" w:space="0" w:color="auto"/>
        <w:bottom w:val="none" w:sz="0" w:space="0" w:color="auto"/>
        <w:right w:val="none" w:sz="0" w:space="0" w:color="auto"/>
      </w:divBdr>
    </w:div>
    <w:div w:id="1766459955">
      <w:bodyDiv w:val="1"/>
      <w:marLeft w:val="0"/>
      <w:marRight w:val="0"/>
      <w:marTop w:val="0"/>
      <w:marBottom w:val="0"/>
      <w:divBdr>
        <w:top w:val="none" w:sz="0" w:space="0" w:color="auto"/>
        <w:left w:val="none" w:sz="0" w:space="0" w:color="auto"/>
        <w:bottom w:val="none" w:sz="0" w:space="0" w:color="auto"/>
        <w:right w:val="none" w:sz="0" w:space="0" w:color="auto"/>
      </w:divBdr>
      <w:divsChild>
        <w:div w:id="193466365">
          <w:marLeft w:val="360"/>
          <w:marRight w:val="0"/>
          <w:marTop w:val="0"/>
          <w:marBottom w:val="0"/>
          <w:divBdr>
            <w:top w:val="none" w:sz="0" w:space="0" w:color="auto"/>
            <w:left w:val="none" w:sz="0" w:space="0" w:color="auto"/>
            <w:bottom w:val="none" w:sz="0" w:space="0" w:color="auto"/>
            <w:right w:val="none" w:sz="0" w:space="0" w:color="auto"/>
          </w:divBdr>
        </w:div>
        <w:div w:id="204949249">
          <w:marLeft w:val="360"/>
          <w:marRight w:val="0"/>
          <w:marTop w:val="0"/>
          <w:marBottom w:val="0"/>
          <w:divBdr>
            <w:top w:val="none" w:sz="0" w:space="0" w:color="auto"/>
            <w:left w:val="none" w:sz="0" w:space="0" w:color="auto"/>
            <w:bottom w:val="none" w:sz="0" w:space="0" w:color="auto"/>
            <w:right w:val="none" w:sz="0" w:space="0" w:color="auto"/>
          </w:divBdr>
        </w:div>
        <w:div w:id="260577344">
          <w:marLeft w:val="360"/>
          <w:marRight w:val="0"/>
          <w:marTop w:val="0"/>
          <w:marBottom w:val="0"/>
          <w:divBdr>
            <w:top w:val="none" w:sz="0" w:space="0" w:color="auto"/>
            <w:left w:val="none" w:sz="0" w:space="0" w:color="auto"/>
            <w:bottom w:val="none" w:sz="0" w:space="0" w:color="auto"/>
            <w:right w:val="none" w:sz="0" w:space="0" w:color="auto"/>
          </w:divBdr>
        </w:div>
        <w:div w:id="547834845">
          <w:marLeft w:val="360"/>
          <w:marRight w:val="0"/>
          <w:marTop w:val="0"/>
          <w:marBottom w:val="0"/>
          <w:divBdr>
            <w:top w:val="none" w:sz="0" w:space="0" w:color="auto"/>
            <w:left w:val="none" w:sz="0" w:space="0" w:color="auto"/>
            <w:bottom w:val="none" w:sz="0" w:space="0" w:color="auto"/>
            <w:right w:val="none" w:sz="0" w:space="0" w:color="auto"/>
          </w:divBdr>
        </w:div>
        <w:div w:id="802388283">
          <w:marLeft w:val="360"/>
          <w:marRight w:val="0"/>
          <w:marTop w:val="0"/>
          <w:marBottom w:val="0"/>
          <w:divBdr>
            <w:top w:val="none" w:sz="0" w:space="0" w:color="auto"/>
            <w:left w:val="none" w:sz="0" w:space="0" w:color="auto"/>
            <w:bottom w:val="none" w:sz="0" w:space="0" w:color="auto"/>
            <w:right w:val="none" w:sz="0" w:space="0" w:color="auto"/>
          </w:divBdr>
        </w:div>
        <w:div w:id="1448230328">
          <w:marLeft w:val="360"/>
          <w:marRight w:val="0"/>
          <w:marTop w:val="0"/>
          <w:marBottom w:val="0"/>
          <w:divBdr>
            <w:top w:val="none" w:sz="0" w:space="0" w:color="auto"/>
            <w:left w:val="none" w:sz="0" w:space="0" w:color="auto"/>
            <w:bottom w:val="none" w:sz="0" w:space="0" w:color="auto"/>
            <w:right w:val="none" w:sz="0" w:space="0" w:color="auto"/>
          </w:divBdr>
        </w:div>
        <w:div w:id="1721706372">
          <w:marLeft w:val="360"/>
          <w:marRight w:val="0"/>
          <w:marTop w:val="0"/>
          <w:marBottom w:val="0"/>
          <w:divBdr>
            <w:top w:val="none" w:sz="0" w:space="0" w:color="auto"/>
            <w:left w:val="none" w:sz="0" w:space="0" w:color="auto"/>
            <w:bottom w:val="none" w:sz="0" w:space="0" w:color="auto"/>
            <w:right w:val="none" w:sz="0" w:space="0" w:color="auto"/>
          </w:divBdr>
        </w:div>
        <w:div w:id="1883440164">
          <w:marLeft w:val="360"/>
          <w:marRight w:val="0"/>
          <w:marTop w:val="0"/>
          <w:marBottom w:val="0"/>
          <w:divBdr>
            <w:top w:val="none" w:sz="0" w:space="0" w:color="auto"/>
            <w:left w:val="none" w:sz="0" w:space="0" w:color="auto"/>
            <w:bottom w:val="none" w:sz="0" w:space="0" w:color="auto"/>
            <w:right w:val="none" w:sz="0" w:space="0" w:color="auto"/>
          </w:divBdr>
        </w:div>
      </w:divsChild>
    </w:div>
    <w:div w:id="1831284048">
      <w:bodyDiv w:val="1"/>
      <w:marLeft w:val="0"/>
      <w:marRight w:val="0"/>
      <w:marTop w:val="0"/>
      <w:marBottom w:val="0"/>
      <w:divBdr>
        <w:top w:val="none" w:sz="0" w:space="0" w:color="auto"/>
        <w:left w:val="none" w:sz="0" w:space="0" w:color="auto"/>
        <w:bottom w:val="none" w:sz="0" w:space="0" w:color="auto"/>
        <w:right w:val="none" w:sz="0" w:space="0" w:color="auto"/>
      </w:divBdr>
    </w:div>
    <w:div w:id="1839222729">
      <w:bodyDiv w:val="1"/>
      <w:marLeft w:val="0"/>
      <w:marRight w:val="0"/>
      <w:marTop w:val="0"/>
      <w:marBottom w:val="0"/>
      <w:divBdr>
        <w:top w:val="none" w:sz="0" w:space="0" w:color="auto"/>
        <w:left w:val="none" w:sz="0" w:space="0" w:color="auto"/>
        <w:bottom w:val="none" w:sz="0" w:space="0" w:color="auto"/>
        <w:right w:val="none" w:sz="0" w:space="0" w:color="auto"/>
      </w:divBdr>
    </w:div>
    <w:div w:id="1894001514">
      <w:bodyDiv w:val="1"/>
      <w:marLeft w:val="0"/>
      <w:marRight w:val="0"/>
      <w:marTop w:val="0"/>
      <w:marBottom w:val="0"/>
      <w:divBdr>
        <w:top w:val="none" w:sz="0" w:space="0" w:color="auto"/>
        <w:left w:val="none" w:sz="0" w:space="0" w:color="auto"/>
        <w:bottom w:val="none" w:sz="0" w:space="0" w:color="auto"/>
        <w:right w:val="none" w:sz="0" w:space="0" w:color="auto"/>
      </w:divBdr>
    </w:div>
    <w:div w:id="1898466013">
      <w:bodyDiv w:val="1"/>
      <w:marLeft w:val="0"/>
      <w:marRight w:val="0"/>
      <w:marTop w:val="0"/>
      <w:marBottom w:val="0"/>
      <w:divBdr>
        <w:top w:val="none" w:sz="0" w:space="0" w:color="auto"/>
        <w:left w:val="none" w:sz="0" w:space="0" w:color="auto"/>
        <w:bottom w:val="none" w:sz="0" w:space="0" w:color="auto"/>
        <w:right w:val="none" w:sz="0" w:space="0" w:color="auto"/>
      </w:divBdr>
    </w:div>
    <w:div w:id="1955404104">
      <w:bodyDiv w:val="1"/>
      <w:marLeft w:val="0"/>
      <w:marRight w:val="0"/>
      <w:marTop w:val="0"/>
      <w:marBottom w:val="0"/>
      <w:divBdr>
        <w:top w:val="none" w:sz="0" w:space="0" w:color="auto"/>
        <w:left w:val="none" w:sz="0" w:space="0" w:color="auto"/>
        <w:bottom w:val="none" w:sz="0" w:space="0" w:color="auto"/>
        <w:right w:val="none" w:sz="0" w:space="0" w:color="auto"/>
      </w:divBdr>
    </w:div>
    <w:div w:id="1973248078">
      <w:bodyDiv w:val="1"/>
      <w:marLeft w:val="0"/>
      <w:marRight w:val="0"/>
      <w:marTop w:val="0"/>
      <w:marBottom w:val="0"/>
      <w:divBdr>
        <w:top w:val="none" w:sz="0" w:space="0" w:color="auto"/>
        <w:left w:val="none" w:sz="0" w:space="0" w:color="auto"/>
        <w:bottom w:val="none" w:sz="0" w:space="0" w:color="auto"/>
        <w:right w:val="none" w:sz="0" w:space="0" w:color="auto"/>
      </w:divBdr>
    </w:div>
    <w:div w:id="2061322744">
      <w:bodyDiv w:val="1"/>
      <w:marLeft w:val="0"/>
      <w:marRight w:val="0"/>
      <w:marTop w:val="0"/>
      <w:marBottom w:val="0"/>
      <w:divBdr>
        <w:top w:val="none" w:sz="0" w:space="0" w:color="auto"/>
        <w:left w:val="none" w:sz="0" w:space="0" w:color="auto"/>
        <w:bottom w:val="none" w:sz="0" w:space="0" w:color="auto"/>
        <w:right w:val="none" w:sz="0" w:space="0" w:color="auto"/>
      </w:divBdr>
    </w:div>
    <w:div w:id="2070767193">
      <w:bodyDiv w:val="1"/>
      <w:marLeft w:val="0"/>
      <w:marRight w:val="0"/>
      <w:marTop w:val="0"/>
      <w:marBottom w:val="0"/>
      <w:divBdr>
        <w:top w:val="none" w:sz="0" w:space="0" w:color="auto"/>
        <w:left w:val="none" w:sz="0" w:space="0" w:color="auto"/>
        <w:bottom w:val="none" w:sz="0" w:space="0" w:color="auto"/>
        <w:right w:val="none" w:sz="0" w:space="0" w:color="auto"/>
      </w:divBdr>
      <w:divsChild>
        <w:div w:id="106122499">
          <w:marLeft w:val="360"/>
          <w:marRight w:val="0"/>
          <w:marTop w:val="200"/>
          <w:marBottom w:val="0"/>
          <w:divBdr>
            <w:top w:val="none" w:sz="0" w:space="0" w:color="auto"/>
            <w:left w:val="none" w:sz="0" w:space="0" w:color="auto"/>
            <w:bottom w:val="none" w:sz="0" w:space="0" w:color="auto"/>
            <w:right w:val="none" w:sz="0" w:space="0" w:color="auto"/>
          </w:divBdr>
        </w:div>
        <w:div w:id="289022324">
          <w:marLeft w:val="360"/>
          <w:marRight w:val="0"/>
          <w:marTop w:val="200"/>
          <w:marBottom w:val="0"/>
          <w:divBdr>
            <w:top w:val="none" w:sz="0" w:space="0" w:color="auto"/>
            <w:left w:val="none" w:sz="0" w:space="0" w:color="auto"/>
            <w:bottom w:val="none" w:sz="0" w:space="0" w:color="auto"/>
            <w:right w:val="none" w:sz="0" w:space="0" w:color="auto"/>
          </w:divBdr>
        </w:div>
        <w:div w:id="890578591">
          <w:marLeft w:val="360"/>
          <w:marRight w:val="0"/>
          <w:marTop w:val="200"/>
          <w:marBottom w:val="0"/>
          <w:divBdr>
            <w:top w:val="none" w:sz="0" w:space="0" w:color="auto"/>
            <w:left w:val="none" w:sz="0" w:space="0" w:color="auto"/>
            <w:bottom w:val="none" w:sz="0" w:space="0" w:color="auto"/>
            <w:right w:val="none" w:sz="0" w:space="0" w:color="auto"/>
          </w:divBdr>
        </w:div>
        <w:div w:id="1207716143">
          <w:marLeft w:val="360"/>
          <w:marRight w:val="0"/>
          <w:marTop w:val="200"/>
          <w:marBottom w:val="0"/>
          <w:divBdr>
            <w:top w:val="none" w:sz="0" w:space="0" w:color="auto"/>
            <w:left w:val="none" w:sz="0" w:space="0" w:color="auto"/>
            <w:bottom w:val="none" w:sz="0" w:space="0" w:color="auto"/>
            <w:right w:val="none" w:sz="0" w:space="0" w:color="auto"/>
          </w:divBdr>
        </w:div>
        <w:div w:id="1237592710">
          <w:marLeft w:val="360"/>
          <w:marRight w:val="0"/>
          <w:marTop w:val="200"/>
          <w:marBottom w:val="0"/>
          <w:divBdr>
            <w:top w:val="none" w:sz="0" w:space="0" w:color="auto"/>
            <w:left w:val="none" w:sz="0" w:space="0" w:color="auto"/>
            <w:bottom w:val="none" w:sz="0" w:space="0" w:color="auto"/>
            <w:right w:val="none" w:sz="0" w:space="0" w:color="auto"/>
          </w:divBdr>
        </w:div>
        <w:div w:id="1556314191">
          <w:marLeft w:val="360"/>
          <w:marRight w:val="0"/>
          <w:marTop w:val="200"/>
          <w:marBottom w:val="0"/>
          <w:divBdr>
            <w:top w:val="none" w:sz="0" w:space="0" w:color="auto"/>
            <w:left w:val="none" w:sz="0" w:space="0" w:color="auto"/>
            <w:bottom w:val="none" w:sz="0" w:space="0" w:color="auto"/>
            <w:right w:val="none" w:sz="0" w:space="0" w:color="auto"/>
          </w:divBdr>
        </w:div>
      </w:divsChild>
    </w:div>
    <w:div w:id="212476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xml"/><Relationship Id="rId117" Type="http://schemas.microsoft.com/office/2019/05/relationships/documenttasks" Target="documenttasks/documenttasks1.xml"/><Relationship Id="rId21" Type="http://schemas.openxmlformats.org/officeDocument/2006/relationships/hyperlink" Target="https://sites.ed.gov/idea/regs/b/f/300.608" TargetMode="External"/><Relationship Id="rId42" Type="http://schemas.openxmlformats.org/officeDocument/2006/relationships/hyperlink" Target="https://www.doe.mass.edu/infoservices/reports/gradrates/gradratesfaq.html" TargetMode="External"/><Relationship Id="rId47" Type="http://schemas.openxmlformats.org/officeDocument/2006/relationships/hyperlink" Target="https://www.doe.mass.edu/infoservices/data/diradmin/export_list.aspx" TargetMode="External"/><Relationship Id="rId63" Type="http://schemas.openxmlformats.org/officeDocument/2006/relationships/hyperlink" Target="https://www.doe.mass.edu/psm/resources/tfm-toolkit.docx" TargetMode="External"/><Relationship Id="rId68" Type="http://schemas.openxmlformats.org/officeDocument/2006/relationships/hyperlink" Target="mailto:compliance@doe.mass.edu" TargetMode="External"/><Relationship Id="rId84" Type="http://schemas.openxmlformats.org/officeDocument/2006/relationships/hyperlink" Target="https://www.doe.mass.edu/turnaround/redesign/m3/yearend-report-template.docx" TargetMode="External"/><Relationship Id="rId89" Type="http://schemas.openxmlformats.org/officeDocument/2006/relationships/hyperlink" Target="https://datawise.gse.harvard.edu/" TargetMode="External"/><Relationship Id="rId112" Type="http://schemas.openxmlformats.org/officeDocument/2006/relationships/hyperlink" Target="https://www.doe.mass.edu/psm/contact-info.html" TargetMode="External"/><Relationship Id="rId16" Type="http://schemas.openxmlformats.org/officeDocument/2006/relationships/hyperlink" Target="https://sites.ed.gov/idea/idea-files/2022-determination-letters-on-state-implementation-of-idea/" TargetMode="External"/><Relationship Id="rId107" Type="http://schemas.openxmlformats.org/officeDocument/2006/relationships/hyperlink" Target="https://www.doe.mass.edu/contact/qanda.aspx?orgcode=ATAC_SA09" TargetMode="External"/><Relationship Id="rId11" Type="http://schemas.openxmlformats.org/officeDocument/2006/relationships/hyperlink" Target="https://sites.ed.gov/idea/regs/b/f/300.600" TargetMode="External"/><Relationship Id="rId32" Type="http://schemas.openxmlformats.org/officeDocument/2006/relationships/hyperlink" Target="https://www.doe.mass.edu/infoservices/reports/gradrates/dropoutvsgrad.html" TargetMode="External"/><Relationship Id="rId37" Type="http://schemas.openxmlformats.org/officeDocument/2006/relationships/image" Target="media/image1.png"/><Relationship Id="rId53" Type="http://schemas.openxmlformats.org/officeDocument/2006/relationships/hyperlink" Target="https://www.doe.mass.edu/sped/spp/maspp.html" TargetMode="External"/><Relationship Id="rId58" Type="http://schemas.openxmlformats.org/officeDocument/2006/relationships/hyperlink" Target="mailto:specialeducation@doe.mass.edu" TargetMode="External"/><Relationship Id="rId74" Type="http://schemas.openxmlformats.org/officeDocument/2006/relationships/hyperlink" Target="https://cifr.wested.org/resources/lea-moe/calculator/" TargetMode="External"/><Relationship Id="rId79" Type="http://schemas.openxmlformats.org/officeDocument/2006/relationships/hyperlink" Target="https://www.doe.mass.edu/research/radar/" TargetMode="External"/><Relationship Id="rId102" Type="http://schemas.openxmlformats.org/officeDocument/2006/relationships/hyperlink" Target="https://gateway.edu.state.ma.us/" TargetMode="External"/><Relationship Id="rId5" Type="http://schemas.openxmlformats.org/officeDocument/2006/relationships/numbering" Target="numbering.xml"/><Relationship Id="rId90" Type="http://schemas.openxmlformats.org/officeDocument/2006/relationships/hyperlink" Target="https://www.doe.mass.edu/turnaround/redesign/m3/" TargetMode="External"/><Relationship Id="rId95" Type="http://schemas.openxmlformats.org/officeDocument/2006/relationships/hyperlink" Target="https://www.doe.mass.edu/sped/osep/ResultsDrivenAccountability.html" TargetMode="External"/><Relationship Id="rId22" Type="http://schemas.openxmlformats.org/officeDocument/2006/relationships/hyperlink" Target="https://sites.ed.gov/idea/files/08-0101_Monitoring_FINAL_June_2009.pdf" TargetMode="External"/><Relationship Id="rId27" Type="http://schemas.openxmlformats.org/officeDocument/2006/relationships/footer" Target="footer1.xml"/><Relationship Id="rId43" Type="http://schemas.openxmlformats.org/officeDocument/2006/relationships/hyperlink" Target="https://profiles.doe.mass.edu/statereport/gradrates.aspx" TargetMode="External"/><Relationship Id="rId48" Type="http://schemas.openxmlformats.org/officeDocument/2006/relationships/hyperlink" Target="https://www.doe.mass.edu/infoservices/reports/gradrates/" TargetMode="External"/><Relationship Id="rId64" Type="http://schemas.openxmlformats.org/officeDocument/2006/relationships/hyperlink" Target="https://www.doe.mass.edu/psm/tfm/reports/" TargetMode="External"/><Relationship Id="rId69" Type="http://schemas.openxmlformats.org/officeDocument/2006/relationships/hyperlink" Target="https://www.doe.mass.edu/federalgrants/idea/qrg-moe.docx" TargetMode="External"/><Relationship Id="rId113" Type="http://schemas.openxmlformats.org/officeDocument/2006/relationships/header" Target="header3.xml"/><Relationship Id="rId80" Type="http://schemas.openxmlformats.org/officeDocument/2006/relationships/hyperlink" Target="https://www.doe.mass.edu/sped/osep/determinations.html" TargetMode="External"/><Relationship Id="rId85" Type="http://schemas.openxmlformats.org/officeDocument/2006/relationships/hyperlink" Target="https://www.doe.mass.edu/research/success/" TargetMode="External"/><Relationship Id="rId12" Type="http://schemas.openxmlformats.org/officeDocument/2006/relationships/hyperlink" Target="https://sites.ed.gov/idea/regs/b/f/300.600" TargetMode="External"/><Relationship Id="rId17" Type="http://schemas.openxmlformats.org/officeDocument/2006/relationships/hyperlink" Target="https://sites.ed.gov/idea/idea-files/guidance-on-state-general-supervision-responsibilities-under-parts-b-and-c-of-the-idea-july-24-2023/" TargetMode="External"/><Relationship Id="rId33" Type="http://schemas.openxmlformats.org/officeDocument/2006/relationships/hyperlink" Target="https://www.doe.mass.edu/infoservices/data/guides/dropout-calc.html" TargetMode="External"/><Relationship Id="rId38" Type="http://schemas.openxmlformats.org/officeDocument/2006/relationships/hyperlink" Target="https://www.doe.mass.edu/infoservices/data/diradmin/list.aspx" TargetMode="External"/><Relationship Id="rId59" Type="http://schemas.openxmlformats.org/officeDocument/2006/relationships/hyperlink" Target="https://www.doe.mass.edu/sped/spp/indicators/indicator11/" TargetMode="External"/><Relationship Id="rId103" Type="http://schemas.openxmlformats.org/officeDocument/2006/relationships/hyperlink" Target="https://profiles.doe.mass.edu/statereport/special_education.aspx" TargetMode="External"/><Relationship Id="rId108" Type="http://schemas.openxmlformats.org/officeDocument/2006/relationships/hyperlink" Target="mailto:Specialeducation@doe.mass.edu" TargetMode="External"/><Relationship Id="rId54" Type="http://schemas.openxmlformats.org/officeDocument/2006/relationships/hyperlink" Target="mailto:specialeducation@doe.mass.edu" TargetMode="External"/><Relationship Id="rId70" Type="http://schemas.openxmlformats.org/officeDocument/2006/relationships/hyperlink" Target="https://www.doe.mass.edu/federalgrants/idea/qrg-moe.docx" TargetMode="External"/><Relationship Id="rId75" Type="http://schemas.openxmlformats.org/officeDocument/2006/relationships/hyperlink" Target="https://cifr.wested.org/resources/lea-moe/organizer/" TargetMode="External"/><Relationship Id="rId91" Type="http://schemas.openxmlformats.org/officeDocument/2006/relationships/hyperlink" Target="https://www.doe.mass.edu/turnaround/redesign/m3/firstyear.html" TargetMode="External"/><Relationship Id="rId96" Type="http://schemas.openxmlformats.org/officeDocument/2006/relationships/hyperlink" Target="https://www.doe.mass.edu/sped/osep/determinations.html"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sites.ed.gov/idea/regs/b/f/300.600" TargetMode="External"/><Relationship Id="rId28" Type="http://schemas.openxmlformats.org/officeDocument/2006/relationships/header" Target="header2.xml"/><Relationship Id="rId49" Type="http://schemas.openxmlformats.org/officeDocument/2006/relationships/hyperlink" Target="https://www.doe.mass.edu/infoservices/reports/gradrates/gradratesfaq.html" TargetMode="External"/><Relationship Id="rId114" Type="http://schemas.openxmlformats.org/officeDocument/2006/relationships/footer" Target="footer3.xml"/><Relationship Id="rId10" Type="http://schemas.openxmlformats.org/officeDocument/2006/relationships/endnotes" Target="endnotes.xml"/><Relationship Id="rId31" Type="http://schemas.openxmlformats.org/officeDocument/2006/relationships/hyperlink" Target="https://www.doe.mass.edu/infoservices/data/diradmin/list.aspx" TargetMode="External"/><Relationship Id="rId44" Type="http://schemas.openxmlformats.org/officeDocument/2006/relationships/hyperlink" Target="https://www.doe.mass.edu/infoservices/reports/gradrates/gradratesfaq.html" TargetMode="External"/><Relationship Id="rId52" Type="http://schemas.openxmlformats.org/officeDocument/2006/relationships/hyperlink" Target="https://www.doe.mass.edu/sped/spp/indicators/" TargetMode="External"/><Relationship Id="rId60" Type="http://schemas.openxmlformats.org/officeDocument/2006/relationships/hyperlink" Target="https://www.doe.mass.edu/sped/spp/indicators/indicator12/" TargetMode="External"/><Relationship Id="rId65" Type="http://schemas.openxmlformats.org/officeDocument/2006/relationships/hyperlink" Target="http://www.doe.mass.edu/prs/" TargetMode="External"/><Relationship Id="rId73" Type="http://schemas.openxmlformats.org/officeDocument/2006/relationships/hyperlink" Target="https://sites.ed.gov/idea/regs/b/c/300.205" TargetMode="External"/><Relationship Id="rId78" Type="http://schemas.openxmlformats.org/officeDocument/2006/relationships/hyperlink" Target="mailto:Abigail.T.Slayton@mass.gov" TargetMode="External"/><Relationship Id="rId81" Type="http://schemas.openxmlformats.org/officeDocument/2006/relationships/hyperlink" Target="https://www.doe.mass.edu/sped/osep/determinations.html" TargetMode="External"/><Relationship Id="rId86" Type="http://schemas.openxmlformats.org/officeDocument/2006/relationships/hyperlink" Target="https://www.ideadata.org/resources/resource/1538/success-gaps-toolkit-addressing-equity-inclusion-and-opportunity" TargetMode="External"/><Relationship Id="rId94" Type="http://schemas.openxmlformats.org/officeDocument/2006/relationships/hyperlink" Target="https://www.researchgate.net/profile/Alfredo-Artiles/publication/265225110_Equity_in_Special_Education_Placement_A_School_Self-Assessment_Guide_for_Culturally_Responsive_Practice/links/54b7da710cf269d8cbf5529e/Equity-in-Special-Education-Placement-A-School-Self-Assessment-Guide-for-Culturally-Responsive-Practice.pdf" TargetMode="External"/><Relationship Id="rId99" Type="http://schemas.openxmlformats.org/officeDocument/2006/relationships/hyperlink" Target="https://profiles.doe.mass.edu/statereport/gradrates.aspx" TargetMode="External"/><Relationship Id="rId101" Type="http://schemas.openxmlformats.org/officeDocument/2006/relationships/hyperlink" Target="https://profiles.doe.mass.edu/statereport/nextgenmcas.asp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sites.ed.gov/idea/regs/b/f/300.603" TargetMode="External"/><Relationship Id="rId18" Type="http://schemas.openxmlformats.org/officeDocument/2006/relationships/hyperlink" Target="https://sites.ed.gov/idea/topic-areas/" TargetMode="External"/><Relationship Id="rId39" Type="http://schemas.openxmlformats.org/officeDocument/2006/relationships/hyperlink" Target="https://www.doe.mass.edu/infoservices/data/sims/reporting-guidance.docx" TargetMode="External"/><Relationship Id="rId109" Type="http://schemas.openxmlformats.org/officeDocument/2006/relationships/hyperlink" Target="mailto:Specialeducation@doe.mass.edu" TargetMode="External"/><Relationship Id="rId34" Type="http://schemas.openxmlformats.org/officeDocument/2006/relationships/hyperlink" Target="https://profiles.doe.mass.edu/statereport/dropout.aspx" TargetMode="External"/><Relationship Id="rId50" Type="http://schemas.openxmlformats.org/officeDocument/2006/relationships/hyperlink" Target="mailto:data@doe.mass.edu" TargetMode="External"/><Relationship Id="rId55" Type="http://schemas.openxmlformats.org/officeDocument/2006/relationships/hyperlink" Target="https://profiles.doe.mass.edu/statereport/special_education.aspx" TargetMode="External"/><Relationship Id="rId76" Type="http://schemas.openxmlformats.org/officeDocument/2006/relationships/hyperlink" Target="https://youtu.be/XwMEoFFOVt8" TargetMode="External"/><Relationship Id="rId97" Type="http://schemas.openxmlformats.org/officeDocument/2006/relationships/hyperlink" Target="https://profiles.doe.mass.edu/statereport/dropout.aspx" TargetMode="External"/><Relationship Id="rId104" Type="http://schemas.openxmlformats.org/officeDocument/2006/relationships/hyperlink" Target="https://www.doe.mass.edu/psm/tfm/reports/" TargetMode="External"/><Relationship Id="rId7" Type="http://schemas.openxmlformats.org/officeDocument/2006/relationships/settings" Target="settings.xml"/><Relationship Id="rId71" Type="http://schemas.openxmlformats.org/officeDocument/2006/relationships/hyperlink" Target="https://sites.ed.gov/idea/regs/b/c/300.203" TargetMode="External"/><Relationship Id="rId92" Type="http://schemas.openxmlformats.org/officeDocument/2006/relationships/hyperlink" Target="https://www.doe.mass.edu/turnaround/redesign/m3/introduction.pptx" TargetMode="External"/><Relationship Id="rId2" Type="http://schemas.openxmlformats.org/officeDocument/2006/relationships/customXml" Target="../customXml/item2.xml"/><Relationship Id="rId29" Type="http://schemas.openxmlformats.org/officeDocument/2006/relationships/footer" Target="footer2.xml"/><Relationship Id="rId24" Type="http://schemas.openxmlformats.org/officeDocument/2006/relationships/hyperlink" Target="https://sites.ed.gov/idea/regs/b/f/300.600" TargetMode="External"/><Relationship Id="rId40" Type="http://schemas.openxmlformats.org/officeDocument/2006/relationships/hyperlink" Target="https://www.doe.mass.edu/infoservices/data/guides/dropout-calc.html" TargetMode="External"/><Relationship Id="rId45" Type="http://schemas.openxmlformats.org/officeDocument/2006/relationships/hyperlink" Target="https://gateway.edu.state.ma.us/" TargetMode="External"/><Relationship Id="rId66" Type="http://schemas.openxmlformats.org/officeDocument/2006/relationships/hyperlink" Target="https://www.doe.mass.edu/prs/specialist.html" TargetMode="External"/><Relationship Id="rId87" Type="http://schemas.openxmlformats.org/officeDocument/2006/relationships/hyperlink" Target="https://www.doe.mass.edu/accountability/toolkit/district-data-toolkit.pdf" TargetMode="External"/><Relationship Id="rId110" Type="http://schemas.openxmlformats.org/officeDocument/2006/relationships/hyperlink" Target="https://www.doe.mass.edu/psm/contact-info.html" TargetMode="External"/><Relationship Id="rId115" Type="http://schemas.openxmlformats.org/officeDocument/2006/relationships/fontTable" Target="fontTable.xml"/><Relationship Id="rId61" Type="http://schemas.openxmlformats.org/officeDocument/2006/relationships/hyperlink" Target="https://www.doe.mass.edu/sped/spp/indicators/indicator13/indicator13-qrg.docx" TargetMode="External"/><Relationship Id="rId82" Type="http://schemas.openxmlformats.org/officeDocument/2006/relationships/hyperlink" Target="https://www.doe.mass.edu/turnaround/redesign/m3/" TargetMode="External"/><Relationship Id="rId19" Type="http://schemas.openxmlformats.org/officeDocument/2006/relationships/hyperlink" Target="https://www.doe.mass.edu/sped/osep/determinations.html" TargetMode="External"/><Relationship Id="rId14" Type="http://schemas.openxmlformats.org/officeDocument/2006/relationships/hyperlink" Target="https://sites.ed.gov/idea/regs/b/b/300.149" TargetMode="External"/><Relationship Id="rId30" Type="http://schemas.openxmlformats.org/officeDocument/2006/relationships/hyperlink" Target="https://sites.ed.gov/idea/regs/b/c" TargetMode="External"/><Relationship Id="rId35" Type="http://schemas.openxmlformats.org/officeDocument/2006/relationships/hyperlink" Target="https://gateway.edu.state.ma.us/" TargetMode="External"/><Relationship Id="rId56" Type="http://schemas.openxmlformats.org/officeDocument/2006/relationships/hyperlink" Target="https://www.doe.mass.edu/sped/spp/maspp.html" TargetMode="External"/><Relationship Id="rId77" Type="http://schemas.openxmlformats.org/officeDocument/2006/relationships/hyperlink" Target="https://youtu.be/XwMEoFFOVt8" TargetMode="External"/><Relationship Id="rId100" Type="http://schemas.openxmlformats.org/officeDocument/2006/relationships/hyperlink" Target="https://gateway.edu.state.ma.us/" TargetMode="External"/><Relationship Id="rId105" Type="http://schemas.openxmlformats.org/officeDocument/2006/relationships/hyperlink" Target="mailto:compliance@doe.mass.edu" TargetMode="External"/><Relationship Id="rId8" Type="http://schemas.openxmlformats.org/officeDocument/2006/relationships/webSettings" Target="webSettings.xml"/><Relationship Id="rId51" Type="http://schemas.openxmlformats.org/officeDocument/2006/relationships/hyperlink" Target="https://profiles.doe.mass.edu/statereport/nextgenmcas.aspx" TargetMode="External"/><Relationship Id="rId72" Type="http://schemas.openxmlformats.org/officeDocument/2006/relationships/hyperlink" Target="https://sites.ed.gov/idea/regs/b/c/300.204" TargetMode="External"/><Relationship Id="rId93" Type="http://schemas.openxmlformats.org/officeDocument/2006/relationships/hyperlink" Target="https://www.doe.mass.edu/turnaround/redesign/m3/m3-video-conference.pptx" TargetMode="External"/><Relationship Id="rId98" Type="http://schemas.openxmlformats.org/officeDocument/2006/relationships/hyperlink" Target="https://gateway.edu.state.ma.us/" TargetMode="External"/><Relationship Id="rId3" Type="http://schemas.openxmlformats.org/officeDocument/2006/relationships/customXml" Target="../customXml/item3.xml"/><Relationship Id="rId25" Type="http://schemas.openxmlformats.org/officeDocument/2006/relationships/hyperlink" Target="https://sites.ed.gov/idea/regs/b/f/300.608" TargetMode="External"/><Relationship Id="rId46" Type="http://schemas.openxmlformats.org/officeDocument/2006/relationships/hyperlink" Target="https://www.doe.mass.edu/infoservices/data/diradmin/export_list.aspx" TargetMode="External"/><Relationship Id="rId67" Type="http://schemas.openxmlformats.org/officeDocument/2006/relationships/hyperlink" Target="https://www.doe.mass.edu/prs/guide/default.html" TargetMode="External"/><Relationship Id="rId116" Type="http://schemas.openxmlformats.org/officeDocument/2006/relationships/theme" Target="theme/theme1.xml"/><Relationship Id="rId20" Type="http://schemas.openxmlformats.org/officeDocument/2006/relationships/hyperlink" Target="https://sites.ed.gov/idea/regs/b/c/300.203" TargetMode="External"/><Relationship Id="rId41" Type="http://schemas.openxmlformats.org/officeDocument/2006/relationships/hyperlink" Target="mailto:data@doe.mass.edu" TargetMode="External"/><Relationship Id="rId62" Type="http://schemas.openxmlformats.org/officeDocument/2006/relationships/hyperlink" Target="https://www.doe.mass.edu/psm/" TargetMode="External"/><Relationship Id="rId83" Type="http://schemas.openxmlformats.org/officeDocument/2006/relationships/hyperlink" Target="https://www.doe.mass.edu/sped/osep/resultsdrivenaccountability.html" TargetMode="External"/><Relationship Id="rId88" Type="http://schemas.openxmlformats.org/officeDocument/2006/relationships/hyperlink" Target="https://nirn.fpg.unc.edu/ai-hub" TargetMode="External"/><Relationship Id="rId111" Type="http://schemas.openxmlformats.org/officeDocument/2006/relationships/hyperlink" Target="mailto:compliance@doe.mass.edu" TargetMode="External"/><Relationship Id="rId15" Type="http://schemas.openxmlformats.org/officeDocument/2006/relationships/hyperlink" Target="https://www2.ed.gov/about/offices/list/osers/osep/rda/index.html" TargetMode="External"/><Relationship Id="rId36" Type="http://schemas.openxmlformats.org/officeDocument/2006/relationships/hyperlink" Target="https://www.doe.mass.edu/infoservices/data/diradmin/list.aspx" TargetMode="External"/><Relationship Id="rId57" Type="http://schemas.openxmlformats.org/officeDocument/2006/relationships/hyperlink" Target="https://www.doe.mass.edu/sfs/discipline/indicators-4-9-10.pdf" TargetMode="External"/><Relationship Id="rId106" Type="http://schemas.openxmlformats.org/officeDocument/2006/relationships/hyperlink" Target="mailto:data@doe.mass.ed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sites.ed.gov/idea/files/Guidance_on_State_General_Supervision_Responsibilities_under_Parts_B_and_C_of_IDEA-07-24-2023.pdf" TargetMode="External"/><Relationship Id="rId1" Type="http://schemas.openxmlformats.org/officeDocument/2006/relationships/hyperlink" Target="https://sites.ed.gov/idea/statuteregulations/" TargetMode="External"/></Relationships>
</file>

<file path=word/documenttasks/documenttasks1.xml><?xml version="1.0" encoding="utf-8"?>
<t:Tasks xmlns:t="http://schemas.microsoft.com/office/tasks/2019/documenttasks" xmlns:oel="http://schemas.microsoft.com/office/2019/extlst">
  <t:Task id="{4C7528C1-2711-4AE7-836A-3B9EF73BAF0B}">
    <t:Anchor>
      <t:Comment id="1976969690"/>
    </t:Anchor>
    <t:History>
      <t:Event id="{A931B454-1C46-443F-9189-B5C9C4BC4BCE}" time="2022-10-11T13:41:25.179Z">
        <t:Attribution userId="S::vandana.r.rastogi-kelly@mass.gov::04ea3925-efd3-4cb6-91ff-2bb834262727" userProvider="AD" userName="Rastogi-Kelly, Vandana (DESE)"/>
        <t:Anchor>
          <t:Comment id="1976969690"/>
        </t:Anchor>
        <t:Create/>
      </t:Event>
      <t:Event id="{0BA8E9FC-EA5E-4C9D-9355-6EF1E60386E6}" time="2022-10-11T13:41:25.179Z">
        <t:Attribution userId="S::vandana.r.rastogi-kelly@mass.gov::04ea3925-efd3-4cb6-91ff-2bb834262727" userProvider="AD" userName="Rastogi-Kelly, Vandana (DESE)"/>
        <t:Anchor>
          <t:Comment id="1976969690"/>
        </t:Anchor>
        <t:Assign userId="S::Holly-Anne.Neal@mass.gov::5d7410a8-4dbb-4303-a91e-2d331ca3ffb9" userProvider="AD" userName="Neal, Holly-Anne (DESE)"/>
      </t:Event>
      <t:Event id="{75BA3C6D-0717-4858-8EC2-8B87B1857E06}" time="2022-10-11T13:41:25.179Z">
        <t:Attribution userId="S::vandana.r.rastogi-kelly@mass.gov::04ea3925-efd3-4cb6-91ff-2bb834262727" userProvider="AD" userName="Rastogi-Kelly, Vandana (DESE)"/>
        <t:Anchor>
          <t:Comment id="1976969690"/>
        </t:Anchor>
        <t:SetTitle title="@Neal, Holly-Anne (DESE) This is not true this year. PSM compliance focuses on the number of special education findings. Indicators 11, 12 and 13 appear to have been removed from the rubric this year. Amy and I just realized this about two weeks ago."/>
      </t:Event>
    </t:History>
  </t:Task>
  <t:Task id="{B444A9E2-5C94-450D-A9D8-5AFEA4D99261}">
    <t:Anchor>
      <t:Comment id="652924502"/>
    </t:Anchor>
    <t:History>
      <t:Event id="{83DC8E63-536B-4849-AA05-7A0CA832AD6E}" time="2022-10-11T17:32:25.808Z">
        <t:Attribution userId="S::holly-anne.neal@mass.gov::5d7410a8-4dbb-4303-a91e-2d331ca3ffb9" userProvider="AD" userName="Neal, Holly-Anne (DESE)"/>
        <t:Anchor>
          <t:Comment id="151915216"/>
        </t:Anchor>
        <t:Create/>
      </t:Event>
      <t:Event id="{22ECC249-1840-4A93-BF36-FAD4A38D6931}" time="2022-10-11T17:32:25.808Z">
        <t:Attribution userId="S::holly-anne.neal@mass.gov::5d7410a8-4dbb-4303-a91e-2d331ca3ffb9" userProvider="AD" userName="Neal, Holly-Anne (DESE)"/>
        <t:Anchor>
          <t:Comment id="151915216"/>
        </t:Anchor>
        <t:Assign userId="S::Abigail.T.Slayton@mass.gov::61745462-2233-4b2b-9e81-f32d76df286d" userProvider="AD" userName="Slayton, Abigail T (DESE)"/>
      </t:Event>
      <t:Event id="{D6393CB0-CAA3-4F1A-B00D-EFC7688651E1}" time="2022-10-11T17:32:25.808Z">
        <t:Attribution userId="S::holly-anne.neal@mass.gov::5d7410a8-4dbb-4303-a91e-2d331ca3ffb9" userProvider="AD" userName="Neal, Holly-Anne (DESE)"/>
        <t:Anchor>
          <t:Comment id="151915216"/>
        </t:Anchor>
        <t:SetTitle title="@Slayton, Abigail T (DESE)"/>
      </t:Event>
    </t:History>
  </t:Task>
  <t:Task id="{0AAADEC6-5CB8-41C5-99B1-D0565924BA2F}">
    <t:Anchor>
      <t:Comment id="693696731"/>
    </t:Anchor>
    <t:History>
      <t:Event id="{DFAF1FE4-24A2-4851-B880-2E560F8B10DE}" time="2024-01-25T16:52:38.659Z">
        <t:Attribution userId="S::Jamie.L.Camacho@mass.gov::21f49f1e-e593-4860-b32e-bdd5656b5338" userProvider="AD" userName="Camacho, Jamie L. (DESE)"/>
        <t:Anchor>
          <t:Comment id="693946886"/>
        </t:Anchor>
        <t:Create/>
      </t:Event>
      <t:Event id="{D21C437D-88A8-483A-A84F-D0C434ABAE8E}" time="2024-01-25T16:52:38.659Z">
        <t:Attribution userId="S::Jamie.L.Camacho@mass.gov::21f49f1e-e593-4860-b32e-bdd5656b5338" userProvider="AD" userName="Camacho, Jamie L. (DESE)"/>
        <t:Anchor>
          <t:Comment id="693946886"/>
        </t:Anchor>
        <t:Assign userId="S::Arabela.Thomas@mass.gov::c61caa2c-bd09-41fa-982d-4db69e7cef18" userProvider="AD" userName="Thomas, Arabela (DESE)"/>
      </t:Event>
      <t:Event id="{3BBC0992-6ED9-4D35-8C99-773D9992CA32}" time="2024-01-25T16:52:38.659Z">
        <t:Attribution userId="S::Jamie.L.Camacho@mass.gov::21f49f1e-e593-4860-b32e-bdd5656b5338" userProvider="AD" userName="Camacho, Jamie L. (DESE)"/>
        <t:Anchor>
          <t:Comment id="693946886"/>
        </t:Anchor>
        <t:SetTitle title="@Thomas, Arabela (DESE) Are you ok with this languag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11464DB40EBCF4CAD3CE0AE1CB60F48" ma:contentTypeVersion="5" ma:contentTypeDescription="Create a new document." ma:contentTypeScope="" ma:versionID="fddd7e4fc333e1398ab8cdcfb2bb380f">
  <xsd:schema xmlns:xsd="http://www.w3.org/2001/XMLSchema" xmlns:xs="http://www.w3.org/2001/XMLSchema" xmlns:p="http://schemas.microsoft.com/office/2006/metadata/properties" xmlns:ns2="c8027b71-02cc-4dec-aaf7-185a8092092f" xmlns:ns3="0eb367d7-c08b-4e4b-8ed0-241863a9fc80" targetNamespace="http://schemas.microsoft.com/office/2006/metadata/properties" ma:root="true" ma:fieldsID="20fe7cbe03b995b338244c3198e9135a" ns2:_="" ns3:_="">
    <xsd:import namespace="c8027b71-02cc-4dec-aaf7-185a8092092f"/>
    <xsd:import namespace="0eb367d7-c08b-4e4b-8ed0-241863a9fc8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027b71-02cc-4dec-aaf7-185a8092092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b367d7-c08b-4e4b-8ed0-241863a9fc8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c8027b71-02cc-4dec-aaf7-185a8092092f">
      <UserInfo>
        <DisplayName>Tobey, Gregory (DESE)</DisplayName>
        <AccountId>24</AccountId>
        <AccountType/>
      </UserInfo>
      <UserInfo>
        <DisplayName>SharingLinks.b762b895-9b6d-4006-b0fd-a2cf9568e5bc.Flexible.73ecb5f9-1fb3-49a7-93df-c57c3073463c</DisplayName>
        <AccountId>30</AccountId>
        <AccountType/>
      </UserInfo>
      <UserInfo>
        <DisplayName>EDU-SG-SPAdmin (MSD)</DisplayName>
        <AccountId>17</AccountId>
        <AccountType/>
      </UserInfo>
      <UserInfo>
        <DisplayName>SVC-EOE-IT-Apps (EOE)</DisplayName>
        <AccountId>20</AccountId>
        <AccountType/>
      </UserInfo>
      <UserInfo>
        <DisplayName>SharingLinks.a17651ec-e5cc-4abe-b47a-613e82f50cf7.Flexible.c6369698-7009-4f06-84f8-876eb5b83438</DisplayName>
        <AccountId>25</AccountId>
        <AccountType/>
      </UserInfo>
      <UserInfo>
        <DisplayName>Limited Access System Group For Web c8027b71-02cc-4dec-aaf7-185a8092092f</DisplayName>
        <AccountId>27</AccountId>
        <AccountType/>
      </UserInfo>
      <UserInfo>
        <DisplayName>Hanafin, Bob (DESE)</DisplayName>
        <AccountId>44</AccountId>
        <AccountType/>
      </UserInfo>
      <UserInfo>
        <DisplayName>Camacho, Jamie L. (DESE)</DisplayName>
        <AccountId>23</AccountId>
        <AccountType/>
      </UserInfo>
    </SharedWithUsers>
  </documentManagement>
</p:properties>
</file>

<file path=customXml/itemProps1.xml><?xml version="1.0" encoding="utf-8"?>
<ds:datastoreItem xmlns:ds="http://schemas.openxmlformats.org/officeDocument/2006/customXml" ds:itemID="{35FF1686-5B58-4004-B3E8-20E285E80ACA}">
  <ds:schemaRefs>
    <ds:schemaRef ds:uri="http://schemas.openxmlformats.org/officeDocument/2006/bibliography"/>
  </ds:schemaRefs>
</ds:datastoreItem>
</file>

<file path=customXml/itemProps2.xml><?xml version="1.0" encoding="utf-8"?>
<ds:datastoreItem xmlns:ds="http://schemas.openxmlformats.org/officeDocument/2006/customXml" ds:itemID="{DD63B0DE-A7CC-4336-96C7-C8BA165314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027b71-02cc-4dec-aaf7-185a8092092f"/>
    <ds:schemaRef ds:uri="0eb367d7-c08b-4e4b-8ed0-241863a9fc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D08D0E7-CBC0-4025-B416-37D035F8BB9E}">
  <ds:schemaRefs>
    <ds:schemaRef ds:uri="http://schemas.microsoft.com/sharepoint/v3/contenttype/forms"/>
  </ds:schemaRefs>
</ds:datastoreItem>
</file>

<file path=customXml/itemProps4.xml><?xml version="1.0" encoding="utf-8"?>
<ds:datastoreItem xmlns:ds="http://schemas.openxmlformats.org/officeDocument/2006/customXml" ds:itemID="{277FA789-1036-40DE-9CAC-847E958D8018}">
  <ds:schemaRefs>
    <ds:schemaRef ds:uri="http://schemas.microsoft.com/office/2006/metadata/properties"/>
    <ds:schemaRef ds:uri="http://schemas.microsoft.com/office/infopath/2007/PartnerControls"/>
    <ds:schemaRef ds:uri="c8027b71-02cc-4dec-aaf7-185a8092092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6920</Words>
  <Characters>39446</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Frequently Asked Questions about LEA Determinations of Need for Special Education Technical Assistance or Intervention</dc:title>
  <dc:subject/>
  <dc:creator>DESE</dc:creator>
  <cp:keywords/>
  <dc:description/>
  <cp:lastModifiedBy>Zou, Dong (EOE)</cp:lastModifiedBy>
  <cp:revision>952</cp:revision>
  <cp:lastPrinted>2024-01-09T21:32:00Z</cp:lastPrinted>
  <dcterms:created xsi:type="dcterms:W3CDTF">2024-01-08T19:58:00Z</dcterms:created>
  <dcterms:modified xsi:type="dcterms:W3CDTF">2024-01-25T21:51:00Z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25 2024 12:00AM</vt:lpwstr>
  </property>
</Properties>
</file>