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98" w:rsidRPr="003969BA" w:rsidRDefault="003969BA" w:rsidP="003969BA">
      <w:pPr>
        <w:pStyle w:val="BodyText"/>
        <w:tabs>
          <w:tab w:val="left" w:pos="2856"/>
        </w:tabs>
        <w:rPr>
          <w:sz w:val="20"/>
        </w:rPr>
      </w:pPr>
      <w:r w:rsidRPr="003969BA">
        <w:rPr>
          <w:sz w:val="20"/>
        </w:rPr>
        <w:tab/>
      </w:r>
    </w:p>
    <w:p w:rsidR="008C3A98" w:rsidRPr="003969BA" w:rsidRDefault="008C3A98">
      <w:pPr>
        <w:pStyle w:val="BodyText"/>
        <w:spacing w:before="10"/>
        <w:rPr>
          <w:sz w:val="19"/>
        </w:rPr>
      </w:pPr>
    </w:p>
    <w:p w:rsidR="008C3A98" w:rsidRPr="003969BA" w:rsidRDefault="005D6817">
      <w:pPr>
        <w:spacing w:before="92"/>
        <w:ind w:left="1069" w:right="218"/>
        <w:jc w:val="center"/>
        <w:rPr>
          <w:sz w:val="21"/>
        </w:rPr>
      </w:pPr>
      <w:r w:rsidRPr="003969BA">
        <w:rPr>
          <w:sz w:val="21"/>
        </w:rPr>
        <w:t>UNITED STATES DEPARTMENT OF EDUCATION</w:t>
      </w:r>
    </w:p>
    <w:p w:rsidR="008C3A98" w:rsidRPr="003969BA" w:rsidRDefault="005D6817">
      <w:pPr>
        <w:spacing w:before="93"/>
        <w:ind w:left="1069" w:right="218"/>
        <w:jc w:val="center"/>
        <w:rPr>
          <w:rFonts w:ascii="Arial"/>
          <w:sz w:val="15"/>
        </w:rPr>
      </w:pPr>
      <w:r w:rsidRPr="003969BA">
        <w:rPr>
          <w:rFonts w:ascii="Arial"/>
          <w:w w:val="110"/>
          <w:sz w:val="15"/>
        </w:rPr>
        <w:t>O FF I CE OF SPECIAL EDUCATION AND REHABILITATIVE SERVICES</w:t>
      </w:r>
    </w:p>
    <w:p w:rsidR="008C3A98" w:rsidRPr="003969BA" w:rsidRDefault="008C3A98">
      <w:pPr>
        <w:pStyle w:val="BodyText"/>
        <w:rPr>
          <w:rFonts w:ascii="Arial"/>
          <w:sz w:val="20"/>
        </w:rPr>
      </w:pPr>
    </w:p>
    <w:p w:rsidR="008C3A98" w:rsidRPr="003969BA" w:rsidRDefault="005D6817">
      <w:pPr>
        <w:spacing w:before="258"/>
        <w:ind w:left="1085" w:right="218"/>
        <w:jc w:val="center"/>
        <w:rPr>
          <w:b/>
          <w:sz w:val="34"/>
        </w:rPr>
      </w:pPr>
      <w:r w:rsidRPr="003969BA">
        <w:rPr>
          <w:b/>
          <w:w w:val="80"/>
          <w:sz w:val="34"/>
        </w:rPr>
        <w:t xml:space="preserve">FEB </w:t>
      </w:r>
      <w:r w:rsidRPr="003969BA">
        <w:rPr>
          <w:w w:val="80"/>
          <w:sz w:val="34"/>
        </w:rPr>
        <w:t xml:space="preserve">- </w:t>
      </w:r>
      <w:r w:rsidRPr="003969BA">
        <w:rPr>
          <w:b/>
          <w:w w:val="80"/>
          <w:sz w:val="34"/>
        </w:rPr>
        <w:t>2 2018</w:t>
      </w:r>
    </w:p>
    <w:p w:rsidR="008C3A98" w:rsidRPr="003969BA" w:rsidRDefault="005D6817">
      <w:pPr>
        <w:pStyle w:val="BodyText"/>
        <w:spacing w:before="212" w:line="249" w:lineRule="auto"/>
        <w:ind w:left="732" w:right="6474" w:firstLine="9"/>
      </w:pPr>
      <w:r w:rsidRPr="003969BA">
        <w:rPr>
          <w:w w:val="105"/>
        </w:rPr>
        <w:t>Honorable Jeffrey R. Wulfson Acting Commissioner Massachusetts Department of</w:t>
      </w:r>
    </w:p>
    <w:p w:rsidR="008C3A98" w:rsidRPr="003969BA" w:rsidRDefault="005D6817">
      <w:pPr>
        <w:pStyle w:val="BodyText"/>
        <w:spacing w:before="2" w:line="244" w:lineRule="auto"/>
        <w:ind w:left="727" w:right="5770" w:firstLine="61"/>
      </w:pPr>
      <w:r w:rsidRPr="003969BA">
        <w:rPr>
          <w:w w:val="105"/>
        </w:rPr>
        <w:t>Elementary and Secondary Education 75 Pleasant Street</w:t>
      </w:r>
    </w:p>
    <w:p w:rsidR="008C3A98" w:rsidRPr="003969BA" w:rsidRDefault="005D6817">
      <w:pPr>
        <w:pStyle w:val="BodyText"/>
        <w:spacing w:before="9"/>
        <w:ind w:left="722"/>
      </w:pPr>
      <w:r w:rsidRPr="003969BA">
        <w:rPr>
          <w:w w:val="105"/>
        </w:rPr>
        <w:t>Malden, Massachusetts 02148</w:t>
      </w:r>
    </w:p>
    <w:p w:rsidR="008C3A98" w:rsidRPr="003969BA" w:rsidRDefault="008C3A98">
      <w:pPr>
        <w:pStyle w:val="BodyText"/>
        <w:spacing w:before="6"/>
        <w:rPr>
          <w:sz w:val="25"/>
        </w:rPr>
      </w:pPr>
    </w:p>
    <w:p w:rsidR="008C3A98" w:rsidRPr="003969BA" w:rsidRDefault="005D6817">
      <w:pPr>
        <w:pStyle w:val="BodyText"/>
        <w:spacing w:before="1"/>
        <w:ind w:left="722"/>
      </w:pPr>
      <w:r w:rsidRPr="003969BA">
        <w:rPr>
          <w:w w:val="105"/>
        </w:rPr>
        <w:t>Dear Acting Commissioner Wulfson:</w:t>
      </w:r>
    </w:p>
    <w:p w:rsidR="008C3A98" w:rsidRPr="003969BA" w:rsidRDefault="008C3A98">
      <w:pPr>
        <w:pStyle w:val="BodyText"/>
        <w:spacing w:before="11"/>
        <w:rPr>
          <w:sz w:val="15"/>
        </w:rPr>
      </w:pPr>
    </w:p>
    <w:p w:rsidR="008C3A98" w:rsidRPr="003969BA" w:rsidRDefault="005D6817">
      <w:pPr>
        <w:pStyle w:val="BodyText"/>
        <w:spacing w:before="91" w:line="247" w:lineRule="auto"/>
        <w:ind w:left="685" w:right="192" w:firstLine="23"/>
      </w:pPr>
      <w:r w:rsidRPr="003969BA">
        <w:rPr>
          <w:w w:val="105"/>
        </w:rPr>
        <w:t xml:space="preserve">The purpose of this letter is to provide you a summary of the results of the differentiated monitoring and support (DMS) activities conducted </w:t>
      </w:r>
      <w:r w:rsidRPr="003969BA">
        <w:rPr>
          <w:w w:val="105"/>
          <w:sz w:val="22"/>
        </w:rPr>
        <w:t xml:space="preserve">by </w:t>
      </w:r>
      <w:r w:rsidRPr="003969BA">
        <w:rPr>
          <w:w w:val="105"/>
        </w:rPr>
        <w:t xml:space="preserve">the United States Department of Education's Office of Special Education Programs (OSEP) during an on-site visit to the Massachusetts Department of Elementary and Secondary Education May 8-10, 2017'. </w:t>
      </w:r>
      <w:r w:rsidRPr="003969BA">
        <w:rPr>
          <w:w w:val="105"/>
          <w:sz w:val="24"/>
        </w:rPr>
        <w:t xml:space="preserve">In </w:t>
      </w:r>
      <w:r w:rsidRPr="003969BA">
        <w:rPr>
          <w:w w:val="105"/>
        </w:rPr>
        <w:t>2016, OSEP began engaging in DMS activities with States as part of its Results Driven Accountability (RDA) framework. Under RDA, OSEP made a shift from monitoring based solely on compliance to monitoring and support focused on both compliance and improving results for students with disabilities. OSEP differentiates its approach for each State based on the State's unique strengths, progress, challenges, and needs.</w:t>
      </w:r>
    </w:p>
    <w:p w:rsidR="008C3A98" w:rsidRPr="003969BA" w:rsidRDefault="005D6817">
      <w:pPr>
        <w:pStyle w:val="BodyText"/>
        <w:spacing w:before="211" w:line="249" w:lineRule="auto"/>
        <w:ind w:left="679" w:right="202" w:firstLine="14"/>
      </w:pPr>
      <w:r w:rsidRPr="003969BA">
        <w:rPr>
          <w:w w:val="105"/>
        </w:rPr>
        <w:t>With the DMS process, OSEP conducts an organizational assessment (OA) of risk factors to identify States' progress in meeting performance standards and complying with the requirements of Part B of the Individuals with Disabilities Education Act (IDEA) and its implementing regulations, the Education Department General Administrative Regulations and the Unifo1m Administrative Requirements, Cost Principles, and Audit Requirements for Federal</w:t>
      </w:r>
    </w:p>
    <w:p w:rsidR="008C3A98" w:rsidRPr="003969BA" w:rsidRDefault="005D6817">
      <w:pPr>
        <w:pStyle w:val="BodyText"/>
        <w:spacing w:before="1" w:line="244" w:lineRule="auto"/>
        <w:ind w:left="670" w:right="437" w:firstLine="15"/>
        <w:jc w:val="both"/>
      </w:pPr>
      <w:r w:rsidRPr="003969BA">
        <w:rPr>
          <w:w w:val="105"/>
        </w:rPr>
        <w:t xml:space="preserve">Awards. OSEP </w:t>
      </w:r>
      <w:r w:rsidRPr="003969BA">
        <w:rPr>
          <w:spacing w:val="-6"/>
          <w:w w:val="105"/>
        </w:rPr>
        <w:t xml:space="preserve">uses </w:t>
      </w:r>
      <w:r w:rsidRPr="003969BA">
        <w:rPr>
          <w:spacing w:val="-3"/>
          <w:w w:val="105"/>
        </w:rPr>
        <w:t xml:space="preserve">the </w:t>
      </w:r>
      <w:r w:rsidRPr="003969BA">
        <w:rPr>
          <w:w w:val="105"/>
        </w:rPr>
        <w:t xml:space="preserve">information from the OA and an </w:t>
      </w:r>
      <w:r w:rsidRPr="003969BA">
        <w:rPr>
          <w:spacing w:val="-3"/>
          <w:w w:val="105"/>
        </w:rPr>
        <w:t xml:space="preserve">Engagement </w:t>
      </w:r>
      <w:r w:rsidRPr="003969BA">
        <w:rPr>
          <w:w w:val="105"/>
        </w:rPr>
        <w:t xml:space="preserve">Decision Tree to make decisions about how it will engage with States over </w:t>
      </w:r>
      <w:r w:rsidRPr="003969BA">
        <w:rPr>
          <w:spacing w:val="-3"/>
          <w:w w:val="105"/>
        </w:rPr>
        <w:t xml:space="preserve">the </w:t>
      </w:r>
      <w:r w:rsidRPr="003969BA">
        <w:rPr>
          <w:spacing w:val="-6"/>
          <w:w w:val="105"/>
        </w:rPr>
        <w:t xml:space="preserve">course </w:t>
      </w:r>
      <w:r w:rsidRPr="003969BA">
        <w:rPr>
          <w:w w:val="105"/>
        </w:rPr>
        <w:t xml:space="preserve">of the federal fiscal year (FFY). The FFY 2016 OMS areas were: 1) Results; 2) Compliance; 3) SSIP; 4) </w:t>
      </w:r>
      <w:r w:rsidRPr="003969BA">
        <w:rPr>
          <w:spacing w:val="-3"/>
          <w:w w:val="105"/>
        </w:rPr>
        <w:t xml:space="preserve">Fiscal; </w:t>
      </w:r>
      <w:r w:rsidRPr="003969BA">
        <w:rPr>
          <w:w w:val="105"/>
        </w:rPr>
        <w:t>and</w:t>
      </w:r>
    </w:p>
    <w:p w:rsidR="008C3A98" w:rsidRPr="003969BA" w:rsidRDefault="005D6817">
      <w:pPr>
        <w:pStyle w:val="BodyText"/>
        <w:spacing w:line="264" w:lineRule="exact"/>
        <w:ind w:left="666"/>
      </w:pPr>
      <w:r w:rsidRPr="003969BA">
        <w:rPr>
          <w:w w:val="105"/>
        </w:rPr>
        <w:t>5) Correctional Education (FFY 2016 Special Focus Area).</w:t>
      </w:r>
    </w:p>
    <w:p w:rsidR="008C3A98" w:rsidRPr="003969BA" w:rsidRDefault="005D6817">
      <w:pPr>
        <w:pStyle w:val="BodyText"/>
        <w:spacing w:before="217" w:line="247" w:lineRule="auto"/>
        <w:ind w:left="656" w:right="192" w:firstLine="7"/>
      </w:pPr>
      <w:r w:rsidRPr="003969BA">
        <w:rPr>
          <w:w w:val="105"/>
        </w:rPr>
        <w:t>For FFY 2016, Massachusetts was assigned a "Targeted" level of engagement in the area of Compliance due, in part, to the State having 10 or more fully adjudicated hearings with at least 75 percent of decisions issued within an extended timeline during the reporting periods 2012- 2013 and 2013-2014. Massachusetts reported that one hundred percent of its fully adjudicated hearings held in Federal fiscal year 2013 (2013-2014) were conducted within an extended</w:t>
      </w:r>
    </w:p>
    <w:p w:rsidR="008C3A98" w:rsidRPr="003969BA" w:rsidRDefault="008C3A98">
      <w:pPr>
        <w:pStyle w:val="BodyText"/>
        <w:rPr>
          <w:sz w:val="20"/>
        </w:rPr>
      </w:pPr>
    </w:p>
    <w:p w:rsidR="008C3A98" w:rsidRPr="003969BA" w:rsidRDefault="005D6817">
      <w:pPr>
        <w:pStyle w:val="BodyText"/>
        <w:spacing w:before="8"/>
      </w:pPr>
      <w:bookmarkStart w:id="0" w:name="_GoBack"/>
      <w:r w:rsidRPr="003969BA">
        <w:rPr>
          <w:noProof/>
          <w:lang w:eastAsia="zh-CN"/>
        </w:rPr>
        <mc:AlternateContent>
          <mc:Choice Requires="wps">
            <w:drawing>
              <wp:anchor distT="0" distB="0" distL="0" distR="0" simplePos="0" relativeHeight="251656704" behindDoc="0" locked="0" layoutInCell="1" allowOverlap="1">
                <wp:simplePos x="0" y="0"/>
                <wp:positionH relativeFrom="page">
                  <wp:posOffset>843915</wp:posOffset>
                </wp:positionH>
                <wp:positionV relativeFrom="paragraph">
                  <wp:posOffset>200660</wp:posOffset>
                </wp:positionV>
                <wp:extent cx="1834515" cy="0"/>
                <wp:effectExtent l="5715" t="5080" r="7620" b="13970"/>
                <wp:wrapTopAndBottom/>
                <wp:docPr id="4"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D824B" id="Line 4" o:spid="_x0000_s1026" alt="horizontal line"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45pt,15.8pt" to="210.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" strokeweight=".16975mm">
                <w10:wrap type="topAndBottom" anchorx="page"/>
              </v:line>
            </w:pict>
          </mc:Fallback>
        </mc:AlternateContent>
      </w:r>
      <w:bookmarkEnd w:id="0"/>
    </w:p>
    <w:p w:rsidR="008C3A98" w:rsidRPr="003969BA" w:rsidRDefault="005D6817">
      <w:pPr>
        <w:spacing w:before="114" w:line="276" w:lineRule="auto"/>
        <w:ind w:left="651" w:right="192" w:firstLine="107"/>
        <w:rPr>
          <w:rFonts w:ascii="Arial"/>
          <w:sz w:val="18"/>
        </w:rPr>
      </w:pPr>
      <w:r w:rsidRPr="003969BA">
        <w:rPr>
          <w:rFonts w:ascii="Arial"/>
          <w:w w:val="105"/>
          <w:sz w:val="18"/>
        </w:rPr>
        <w:t>For</w:t>
      </w:r>
      <w:r w:rsidRPr="003969BA">
        <w:rPr>
          <w:rFonts w:ascii="Arial"/>
          <w:spacing w:val="-21"/>
          <w:w w:val="105"/>
          <w:sz w:val="18"/>
        </w:rPr>
        <w:t xml:space="preserve"> </w:t>
      </w:r>
      <w:r w:rsidRPr="003969BA">
        <w:rPr>
          <w:rFonts w:ascii="Arial"/>
          <w:w w:val="105"/>
          <w:sz w:val="18"/>
        </w:rPr>
        <w:t>FFY</w:t>
      </w:r>
      <w:r w:rsidRPr="003969BA">
        <w:rPr>
          <w:rFonts w:ascii="Arial"/>
          <w:spacing w:val="-27"/>
          <w:w w:val="105"/>
          <w:sz w:val="18"/>
        </w:rPr>
        <w:t xml:space="preserve"> </w:t>
      </w:r>
      <w:r w:rsidRPr="003969BA">
        <w:rPr>
          <w:rFonts w:ascii="Arial"/>
          <w:w w:val="105"/>
          <w:sz w:val="18"/>
        </w:rPr>
        <w:t>2016,</w:t>
      </w:r>
      <w:r w:rsidRPr="003969BA">
        <w:rPr>
          <w:rFonts w:ascii="Arial"/>
          <w:spacing w:val="-25"/>
          <w:w w:val="105"/>
          <w:sz w:val="18"/>
        </w:rPr>
        <w:t xml:space="preserve"> </w:t>
      </w:r>
      <w:r w:rsidRPr="003969BA">
        <w:rPr>
          <w:rFonts w:ascii="Arial"/>
          <w:spacing w:val="-7"/>
          <w:w w:val="105"/>
          <w:sz w:val="18"/>
        </w:rPr>
        <w:t>Massachusetts</w:t>
      </w:r>
      <w:r w:rsidRPr="003969BA">
        <w:rPr>
          <w:rFonts w:ascii="Arial"/>
          <w:spacing w:val="-21"/>
          <w:w w:val="105"/>
          <w:sz w:val="18"/>
        </w:rPr>
        <w:t xml:space="preserve"> </w:t>
      </w:r>
      <w:r w:rsidRPr="003969BA">
        <w:rPr>
          <w:rFonts w:ascii="Arial"/>
          <w:w w:val="105"/>
          <w:sz w:val="18"/>
        </w:rPr>
        <w:t>was</w:t>
      </w:r>
      <w:r w:rsidRPr="003969BA">
        <w:rPr>
          <w:rFonts w:ascii="Arial"/>
          <w:spacing w:val="-14"/>
          <w:w w:val="105"/>
          <w:sz w:val="18"/>
        </w:rPr>
        <w:t xml:space="preserve"> </w:t>
      </w:r>
      <w:r w:rsidRPr="003969BA">
        <w:rPr>
          <w:rFonts w:ascii="Arial"/>
          <w:spacing w:val="-3"/>
          <w:w w:val="105"/>
          <w:sz w:val="18"/>
        </w:rPr>
        <w:t>assigned</w:t>
      </w:r>
      <w:r w:rsidRPr="003969BA">
        <w:rPr>
          <w:rFonts w:ascii="Arial"/>
          <w:spacing w:val="-1"/>
          <w:w w:val="105"/>
          <w:sz w:val="18"/>
        </w:rPr>
        <w:t xml:space="preserve"> </w:t>
      </w:r>
      <w:r w:rsidRPr="003969BA">
        <w:rPr>
          <w:rFonts w:ascii="Arial"/>
          <w:w w:val="105"/>
          <w:sz w:val="18"/>
        </w:rPr>
        <w:t>a</w:t>
      </w:r>
      <w:r w:rsidRPr="003969BA">
        <w:rPr>
          <w:rFonts w:ascii="Arial"/>
          <w:spacing w:val="-19"/>
          <w:w w:val="105"/>
          <w:sz w:val="18"/>
        </w:rPr>
        <w:t xml:space="preserve"> </w:t>
      </w:r>
      <w:r w:rsidRPr="003969BA">
        <w:rPr>
          <w:rFonts w:ascii="Arial"/>
          <w:w w:val="105"/>
          <w:sz w:val="18"/>
        </w:rPr>
        <w:t>"Targeted"</w:t>
      </w:r>
      <w:r w:rsidRPr="003969BA">
        <w:rPr>
          <w:rFonts w:ascii="Arial"/>
          <w:spacing w:val="-36"/>
          <w:w w:val="105"/>
          <w:sz w:val="18"/>
        </w:rPr>
        <w:t xml:space="preserve"> </w:t>
      </w:r>
      <w:r w:rsidRPr="003969BA">
        <w:rPr>
          <w:rFonts w:ascii="Arial"/>
          <w:spacing w:val="-8"/>
          <w:w w:val="105"/>
          <w:sz w:val="18"/>
        </w:rPr>
        <w:t>Level</w:t>
      </w:r>
      <w:r w:rsidRPr="003969BA">
        <w:rPr>
          <w:rFonts w:ascii="Arial"/>
          <w:spacing w:val="-16"/>
          <w:w w:val="105"/>
          <w:sz w:val="18"/>
        </w:rPr>
        <w:t xml:space="preserve"> </w:t>
      </w:r>
      <w:r w:rsidRPr="003969BA">
        <w:rPr>
          <w:rFonts w:ascii="Arial"/>
          <w:w w:val="105"/>
          <w:sz w:val="18"/>
        </w:rPr>
        <w:t>of</w:t>
      </w:r>
      <w:r w:rsidRPr="003969BA">
        <w:rPr>
          <w:rFonts w:ascii="Arial"/>
          <w:spacing w:val="-17"/>
          <w:w w:val="105"/>
          <w:sz w:val="18"/>
        </w:rPr>
        <w:t xml:space="preserve"> </w:t>
      </w:r>
      <w:r w:rsidRPr="003969BA">
        <w:rPr>
          <w:rFonts w:ascii="Arial"/>
          <w:spacing w:val="-5"/>
          <w:w w:val="105"/>
          <w:sz w:val="18"/>
        </w:rPr>
        <w:t>Engagement</w:t>
      </w:r>
      <w:r w:rsidRPr="003969BA">
        <w:rPr>
          <w:rFonts w:ascii="Arial"/>
          <w:spacing w:val="-25"/>
          <w:w w:val="105"/>
          <w:sz w:val="18"/>
        </w:rPr>
        <w:t xml:space="preserve"> </w:t>
      </w:r>
      <w:r w:rsidRPr="003969BA">
        <w:rPr>
          <w:rFonts w:ascii="Arial"/>
          <w:w w:val="105"/>
          <w:sz w:val="18"/>
        </w:rPr>
        <w:t>in</w:t>
      </w:r>
      <w:r w:rsidRPr="003969BA">
        <w:rPr>
          <w:rFonts w:ascii="Arial"/>
          <w:spacing w:val="-13"/>
          <w:w w:val="105"/>
          <w:sz w:val="18"/>
        </w:rPr>
        <w:t xml:space="preserve"> </w:t>
      </w:r>
      <w:r w:rsidRPr="003969BA">
        <w:rPr>
          <w:rFonts w:ascii="Arial"/>
          <w:w w:val="105"/>
          <w:sz w:val="18"/>
        </w:rPr>
        <w:t>the</w:t>
      </w:r>
      <w:r w:rsidRPr="003969BA">
        <w:rPr>
          <w:rFonts w:ascii="Arial"/>
          <w:spacing w:val="-24"/>
          <w:w w:val="105"/>
          <w:sz w:val="18"/>
        </w:rPr>
        <w:t xml:space="preserve"> </w:t>
      </w:r>
      <w:r w:rsidRPr="003969BA">
        <w:rPr>
          <w:rFonts w:ascii="Arial"/>
          <w:w w:val="105"/>
          <w:sz w:val="18"/>
        </w:rPr>
        <w:t>area</w:t>
      </w:r>
      <w:r w:rsidRPr="003969BA">
        <w:rPr>
          <w:rFonts w:ascii="Arial"/>
          <w:spacing w:val="-22"/>
          <w:w w:val="105"/>
          <w:sz w:val="18"/>
        </w:rPr>
        <w:t xml:space="preserve"> </w:t>
      </w:r>
      <w:r w:rsidRPr="003969BA">
        <w:rPr>
          <w:rFonts w:ascii="Arial"/>
          <w:w w:val="105"/>
          <w:sz w:val="18"/>
        </w:rPr>
        <w:t>of</w:t>
      </w:r>
      <w:r w:rsidRPr="003969BA">
        <w:rPr>
          <w:rFonts w:ascii="Arial"/>
          <w:spacing w:val="-10"/>
          <w:w w:val="105"/>
          <w:sz w:val="18"/>
        </w:rPr>
        <w:t xml:space="preserve"> </w:t>
      </w:r>
      <w:r w:rsidRPr="003969BA">
        <w:rPr>
          <w:rFonts w:ascii="Arial"/>
          <w:w w:val="105"/>
          <w:sz w:val="18"/>
        </w:rPr>
        <w:t>Compliance;</w:t>
      </w:r>
      <w:r w:rsidRPr="003969BA">
        <w:rPr>
          <w:rFonts w:ascii="Arial"/>
          <w:spacing w:val="-16"/>
          <w:w w:val="105"/>
          <w:sz w:val="18"/>
        </w:rPr>
        <w:t xml:space="preserve"> </w:t>
      </w:r>
      <w:r w:rsidRPr="003969BA">
        <w:rPr>
          <w:rFonts w:ascii="Arial"/>
          <w:w w:val="105"/>
          <w:sz w:val="18"/>
        </w:rPr>
        <w:t>and</w:t>
      </w:r>
      <w:r w:rsidRPr="003969BA">
        <w:rPr>
          <w:rFonts w:ascii="Arial"/>
          <w:spacing w:val="-21"/>
          <w:w w:val="105"/>
          <w:sz w:val="18"/>
        </w:rPr>
        <w:t xml:space="preserve"> </w:t>
      </w:r>
      <w:r w:rsidRPr="003969BA">
        <w:rPr>
          <w:rFonts w:ascii="Arial"/>
          <w:w w:val="105"/>
          <w:sz w:val="18"/>
        </w:rPr>
        <w:t>an "Inte</w:t>
      </w:r>
      <w:r w:rsidRPr="003969BA">
        <w:rPr>
          <w:rFonts w:ascii="Arial"/>
          <w:spacing w:val="-10"/>
          <w:w w:val="105"/>
          <w:sz w:val="18"/>
        </w:rPr>
        <w:t xml:space="preserve">nsive" </w:t>
      </w:r>
      <w:r w:rsidRPr="003969BA">
        <w:rPr>
          <w:rFonts w:ascii="Arial"/>
          <w:w w:val="105"/>
          <w:sz w:val="18"/>
        </w:rPr>
        <w:t xml:space="preserve">Level of </w:t>
      </w:r>
      <w:r w:rsidRPr="003969BA">
        <w:rPr>
          <w:rFonts w:ascii="Arial"/>
          <w:spacing w:val="-5"/>
          <w:w w:val="105"/>
          <w:sz w:val="18"/>
        </w:rPr>
        <w:t xml:space="preserve">Engagement </w:t>
      </w:r>
      <w:r w:rsidRPr="003969BA">
        <w:rPr>
          <w:rFonts w:ascii="Arial"/>
          <w:w w:val="105"/>
          <w:sz w:val="18"/>
        </w:rPr>
        <w:t xml:space="preserve">in the area of Fiscal. This DMS letter pertains only to the results of </w:t>
      </w:r>
      <w:proofErr w:type="gramStart"/>
      <w:r w:rsidRPr="003969BA">
        <w:rPr>
          <w:rFonts w:ascii="Arial"/>
          <w:w w:val="105"/>
          <w:sz w:val="18"/>
        </w:rPr>
        <w:t>th</w:t>
      </w:r>
      <w:proofErr w:type="gramEnd"/>
      <w:r w:rsidRPr="003969BA">
        <w:rPr>
          <w:rFonts w:ascii="Arial"/>
          <w:w w:val="105"/>
          <w:sz w:val="18"/>
        </w:rPr>
        <w:t xml:space="preserve"> e OMS </w:t>
      </w:r>
      <w:r w:rsidRPr="003969BA">
        <w:rPr>
          <w:rFonts w:ascii="Arial"/>
          <w:spacing w:val="-1"/>
          <w:w w:val="110"/>
          <w:sz w:val="18"/>
        </w:rPr>
        <w:t>engagem</w:t>
      </w:r>
      <w:r w:rsidRPr="003969BA">
        <w:rPr>
          <w:rFonts w:ascii="Arial"/>
          <w:spacing w:val="-97"/>
          <w:w w:val="110"/>
          <w:sz w:val="18"/>
        </w:rPr>
        <w:t>e</w:t>
      </w:r>
      <w:r w:rsidRPr="003969BA">
        <w:rPr>
          <w:rFonts w:ascii="Arial"/>
          <w:spacing w:val="-1"/>
          <w:w w:val="110"/>
          <w:sz w:val="18"/>
        </w:rPr>
        <w:t>n</w:t>
      </w:r>
      <w:r w:rsidRPr="003969BA">
        <w:rPr>
          <w:rFonts w:ascii="Arial"/>
          <w:w w:val="110"/>
          <w:sz w:val="18"/>
        </w:rPr>
        <w:t>t</w:t>
      </w:r>
      <w:r w:rsidRPr="003969BA">
        <w:rPr>
          <w:rFonts w:ascii="Arial"/>
          <w:sz w:val="18"/>
        </w:rPr>
        <w:t xml:space="preserve"> </w:t>
      </w:r>
      <w:r w:rsidRPr="003969BA">
        <w:rPr>
          <w:rFonts w:ascii="Arial"/>
          <w:spacing w:val="-1"/>
          <w:w w:val="110"/>
          <w:sz w:val="18"/>
        </w:rPr>
        <w:t>acti</w:t>
      </w:r>
      <w:r w:rsidRPr="003969BA">
        <w:rPr>
          <w:rFonts w:ascii="Arial"/>
          <w:spacing w:val="-39"/>
          <w:w w:val="110"/>
          <w:sz w:val="18"/>
        </w:rPr>
        <w:t>v</w:t>
      </w:r>
      <w:r w:rsidRPr="003969BA">
        <w:rPr>
          <w:rFonts w:ascii="Arial"/>
          <w:spacing w:val="15"/>
          <w:w w:val="104"/>
          <w:sz w:val="18"/>
        </w:rPr>
        <w:t>i</w:t>
      </w:r>
      <w:r w:rsidRPr="003969BA">
        <w:rPr>
          <w:rFonts w:ascii="Arial"/>
          <w:spacing w:val="-1"/>
          <w:w w:val="104"/>
          <w:sz w:val="18"/>
        </w:rPr>
        <w:t>tie</w:t>
      </w:r>
      <w:r w:rsidRPr="003969BA">
        <w:rPr>
          <w:rFonts w:ascii="Arial"/>
          <w:w w:val="104"/>
          <w:sz w:val="18"/>
        </w:rPr>
        <w:t>s</w:t>
      </w:r>
      <w:r w:rsidRPr="003969BA">
        <w:rPr>
          <w:rFonts w:ascii="Arial"/>
          <w:spacing w:val="-18"/>
          <w:sz w:val="18"/>
        </w:rPr>
        <w:t xml:space="preserve"> </w:t>
      </w:r>
      <w:r w:rsidRPr="003969BA">
        <w:rPr>
          <w:rFonts w:ascii="Arial"/>
          <w:spacing w:val="-1"/>
          <w:w w:val="115"/>
          <w:sz w:val="18"/>
        </w:rPr>
        <w:t>tha</w:t>
      </w:r>
      <w:r w:rsidRPr="003969BA">
        <w:rPr>
          <w:rFonts w:ascii="Arial"/>
          <w:w w:val="115"/>
          <w:sz w:val="18"/>
        </w:rPr>
        <w:t>t</w:t>
      </w:r>
      <w:r w:rsidRPr="003969BA">
        <w:rPr>
          <w:rFonts w:ascii="Arial"/>
          <w:spacing w:val="-9"/>
          <w:sz w:val="18"/>
        </w:rPr>
        <w:t xml:space="preserve"> </w:t>
      </w:r>
      <w:r w:rsidRPr="003969BA">
        <w:rPr>
          <w:rFonts w:ascii="Arial"/>
          <w:spacing w:val="-1"/>
          <w:w w:val="111"/>
          <w:sz w:val="18"/>
        </w:rPr>
        <w:t>wer</w:t>
      </w:r>
      <w:r w:rsidRPr="003969BA">
        <w:rPr>
          <w:rFonts w:ascii="Arial"/>
          <w:w w:val="111"/>
          <w:sz w:val="18"/>
        </w:rPr>
        <w:t>e</w:t>
      </w:r>
      <w:r w:rsidRPr="003969BA">
        <w:rPr>
          <w:rFonts w:ascii="Arial"/>
          <w:spacing w:val="-20"/>
          <w:sz w:val="18"/>
        </w:rPr>
        <w:t xml:space="preserve"> </w:t>
      </w:r>
      <w:r w:rsidRPr="003969BA">
        <w:rPr>
          <w:rFonts w:ascii="Arial"/>
          <w:w w:val="106"/>
          <w:sz w:val="18"/>
        </w:rPr>
        <w:t>conducted</w:t>
      </w:r>
      <w:r w:rsidRPr="003969BA">
        <w:rPr>
          <w:rFonts w:ascii="Arial"/>
          <w:spacing w:val="-14"/>
          <w:sz w:val="18"/>
        </w:rPr>
        <w:t xml:space="preserve"> </w:t>
      </w:r>
      <w:r w:rsidRPr="003969BA">
        <w:rPr>
          <w:rFonts w:ascii="Arial"/>
          <w:w w:val="106"/>
          <w:sz w:val="18"/>
        </w:rPr>
        <w:t>related</w:t>
      </w:r>
      <w:r w:rsidRPr="003969BA">
        <w:rPr>
          <w:rFonts w:ascii="Arial"/>
          <w:spacing w:val="-11"/>
          <w:sz w:val="18"/>
        </w:rPr>
        <w:t xml:space="preserve"> </w:t>
      </w:r>
      <w:r w:rsidRPr="003969BA">
        <w:rPr>
          <w:rFonts w:ascii="Arial"/>
          <w:spacing w:val="-1"/>
          <w:w w:val="106"/>
          <w:sz w:val="18"/>
        </w:rPr>
        <w:t>t</w:t>
      </w:r>
      <w:r w:rsidRPr="003969BA">
        <w:rPr>
          <w:rFonts w:ascii="Arial"/>
          <w:w w:val="106"/>
          <w:sz w:val="18"/>
        </w:rPr>
        <w:t>o</w:t>
      </w:r>
      <w:r w:rsidRPr="003969BA">
        <w:rPr>
          <w:rFonts w:ascii="Arial"/>
          <w:sz w:val="18"/>
        </w:rPr>
        <w:t xml:space="preserve"> </w:t>
      </w:r>
      <w:r w:rsidRPr="003969BA">
        <w:rPr>
          <w:rFonts w:ascii="Arial"/>
          <w:spacing w:val="-1"/>
          <w:w w:val="110"/>
          <w:sz w:val="18"/>
        </w:rPr>
        <w:t>th</w:t>
      </w:r>
      <w:r w:rsidRPr="003969BA">
        <w:rPr>
          <w:rFonts w:ascii="Arial"/>
          <w:w w:val="110"/>
          <w:sz w:val="18"/>
        </w:rPr>
        <w:t>e</w:t>
      </w:r>
      <w:r w:rsidRPr="003969BA">
        <w:rPr>
          <w:rFonts w:ascii="Arial"/>
          <w:spacing w:val="-12"/>
          <w:sz w:val="18"/>
        </w:rPr>
        <w:t xml:space="preserve"> </w:t>
      </w:r>
      <w:r w:rsidRPr="003969BA">
        <w:rPr>
          <w:rFonts w:ascii="Arial"/>
          <w:spacing w:val="-1"/>
          <w:w w:val="101"/>
          <w:sz w:val="18"/>
        </w:rPr>
        <w:t>are</w:t>
      </w:r>
      <w:r w:rsidRPr="003969BA">
        <w:rPr>
          <w:rFonts w:ascii="Arial"/>
          <w:w w:val="101"/>
          <w:sz w:val="18"/>
        </w:rPr>
        <w:t>a</w:t>
      </w:r>
      <w:r w:rsidRPr="003969BA">
        <w:rPr>
          <w:rFonts w:ascii="Arial"/>
          <w:spacing w:val="-10"/>
          <w:sz w:val="18"/>
        </w:rPr>
        <w:t xml:space="preserve"> </w:t>
      </w:r>
      <w:r w:rsidRPr="003969BA">
        <w:rPr>
          <w:rFonts w:ascii="Arial"/>
          <w:spacing w:val="-1"/>
          <w:w w:val="101"/>
          <w:sz w:val="18"/>
        </w:rPr>
        <w:t>o</w:t>
      </w:r>
      <w:r w:rsidRPr="003969BA">
        <w:rPr>
          <w:rFonts w:ascii="Arial"/>
          <w:w w:val="101"/>
          <w:sz w:val="18"/>
        </w:rPr>
        <w:t>f</w:t>
      </w:r>
      <w:r w:rsidRPr="003969BA">
        <w:rPr>
          <w:rFonts w:ascii="Arial"/>
          <w:spacing w:val="15"/>
          <w:sz w:val="18"/>
        </w:rPr>
        <w:t xml:space="preserve"> </w:t>
      </w:r>
      <w:r w:rsidRPr="003969BA">
        <w:rPr>
          <w:rFonts w:ascii="Arial"/>
          <w:spacing w:val="-1"/>
          <w:w w:val="99"/>
          <w:sz w:val="18"/>
        </w:rPr>
        <w:t>Compl</w:t>
      </w:r>
      <w:r w:rsidRPr="003969BA">
        <w:rPr>
          <w:rFonts w:ascii="Arial"/>
          <w:spacing w:val="3"/>
          <w:w w:val="99"/>
          <w:sz w:val="18"/>
        </w:rPr>
        <w:t>i</w:t>
      </w:r>
      <w:r w:rsidRPr="003969BA">
        <w:rPr>
          <w:rFonts w:ascii="Arial"/>
          <w:spacing w:val="-1"/>
          <w:w w:val="110"/>
          <w:sz w:val="18"/>
        </w:rPr>
        <w:t>a</w:t>
      </w:r>
      <w:r w:rsidRPr="003969BA">
        <w:rPr>
          <w:rFonts w:ascii="Arial"/>
          <w:spacing w:val="-20"/>
          <w:w w:val="110"/>
          <w:sz w:val="18"/>
        </w:rPr>
        <w:t>n</w:t>
      </w:r>
      <w:r w:rsidRPr="003969BA">
        <w:rPr>
          <w:rFonts w:ascii="Arial"/>
          <w:w w:val="110"/>
          <w:sz w:val="18"/>
        </w:rPr>
        <w:t>ce.</w:t>
      </w:r>
      <w:r w:rsidRPr="003969BA">
        <w:rPr>
          <w:rFonts w:ascii="Arial"/>
          <w:spacing w:val="-33"/>
          <w:sz w:val="18"/>
        </w:rPr>
        <w:t xml:space="preserve"> </w:t>
      </w:r>
      <w:r w:rsidRPr="003969BA">
        <w:rPr>
          <w:rFonts w:ascii="Arial"/>
          <w:spacing w:val="-1"/>
          <w:w w:val="101"/>
          <w:sz w:val="18"/>
        </w:rPr>
        <w:t>Th</w:t>
      </w:r>
      <w:r w:rsidRPr="003969BA">
        <w:rPr>
          <w:rFonts w:ascii="Arial"/>
          <w:w w:val="101"/>
          <w:sz w:val="18"/>
        </w:rPr>
        <w:t>e</w:t>
      </w:r>
      <w:r w:rsidRPr="003969BA">
        <w:rPr>
          <w:rFonts w:ascii="Arial"/>
          <w:spacing w:val="-6"/>
          <w:sz w:val="18"/>
        </w:rPr>
        <w:t xml:space="preserve"> </w:t>
      </w:r>
      <w:r w:rsidRPr="003969BA">
        <w:rPr>
          <w:rFonts w:ascii="Arial"/>
          <w:w w:val="101"/>
          <w:sz w:val="18"/>
        </w:rPr>
        <w:t>r</w:t>
      </w:r>
      <w:r w:rsidRPr="003969BA">
        <w:rPr>
          <w:rFonts w:ascii="Arial"/>
          <w:spacing w:val="-2"/>
          <w:w w:val="101"/>
          <w:sz w:val="18"/>
        </w:rPr>
        <w:t>e</w:t>
      </w:r>
      <w:r w:rsidRPr="003969BA">
        <w:rPr>
          <w:rFonts w:ascii="Arial"/>
          <w:w w:val="109"/>
          <w:sz w:val="18"/>
        </w:rPr>
        <w:t>s</w:t>
      </w:r>
      <w:r w:rsidRPr="003969BA">
        <w:rPr>
          <w:rFonts w:ascii="Arial"/>
          <w:spacing w:val="-22"/>
          <w:w w:val="109"/>
          <w:sz w:val="18"/>
        </w:rPr>
        <w:t>u</w:t>
      </w:r>
      <w:r w:rsidRPr="003969BA">
        <w:rPr>
          <w:rFonts w:ascii="Arial"/>
          <w:spacing w:val="-1"/>
          <w:w w:val="109"/>
          <w:sz w:val="18"/>
        </w:rPr>
        <w:t>l</w:t>
      </w:r>
      <w:r w:rsidRPr="003969BA">
        <w:rPr>
          <w:rFonts w:ascii="Arial"/>
          <w:spacing w:val="12"/>
          <w:w w:val="109"/>
          <w:sz w:val="18"/>
        </w:rPr>
        <w:t>t</w:t>
      </w:r>
      <w:r w:rsidRPr="003969BA">
        <w:rPr>
          <w:rFonts w:ascii="Arial"/>
          <w:w w:val="109"/>
          <w:sz w:val="18"/>
        </w:rPr>
        <w:t>s</w:t>
      </w:r>
      <w:r w:rsidRPr="003969BA">
        <w:rPr>
          <w:rFonts w:ascii="Arial"/>
          <w:spacing w:val="-14"/>
          <w:sz w:val="18"/>
        </w:rPr>
        <w:t xml:space="preserve"> </w:t>
      </w:r>
      <w:r w:rsidRPr="003969BA">
        <w:rPr>
          <w:rFonts w:ascii="Arial"/>
          <w:spacing w:val="-1"/>
          <w:w w:val="109"/>
          <w:sz w:val="18"/>
        </w:rPr>
        <w:t>o</w:t>
      </w:r>
      <w:r w:rsidRPr="003969BA">
        <w:rPr>
          <w:rFonts w:ascii="Arial"/>
          <w:w w:val="109"/>
          <w:sz w:val="18"/>
        </w:rPr>
        <w:t>f</w:t>
      </w:r>
      <w:r w:rsidRPr="003969BA">
        <w:rPr>
          <w:rFonts w:ascii="Arial"/>
          <w:spacing w:val="-9"/>
          <w:sz w:val="18"/>
        </w:rPr>
        <w:t xml:space="preserve"> </w:t>
      </w:r>
      <w:r w:rsidRPr="003969BA">
        <w:rPr>
          <w:rFonts w:ascii="Arial"/>
          <w:spacing w:val="-1"/>
          <w:w w:val="109"/>
          <w:sz w:val="18"/>
        </w:rPr>
        <w:t>th</w:t>
      </w:r>
      <w:r w:rsidRPr="003969BA">
        <w:rPr>
          <w:rFonts w:ascii="Arial"/>
          <w:w w:val="109"/>
          <w:sz w:val="18"/>
        </w:rPr>
        <w:t>e</w:t>
      </w:r>
      <w:r w:rsidRPr="003969BA">
        <w:rPr>
          <w:rFonts w:ascii="Arial"/>
          <w:spacing w:val="-2"/>
          <w:sz w:val="18"/>
        </w:rPr>
        <w:t xml:space="preserve"> </w:t>
      </w:r>
      <w:r w:rsidRPr="003969BA">
        <w:rPr>
          <w:rFonts w:ascii="Arial"/>
          <w:spacing w:val="-1"/>
          <w:w w:val="96"/>
          <w:sz w:val="18"/>
        </w:rPr>
        <w:t>OM</w:t>
      </w:r>
      <w:r w:rsidRPr="003969BA">
        <w:rPr>
          <w:rFonts w:ascii="Arial"/>
          <w:w w:val="96"/>
          <w:sz w:val="18"/>
        </w:rPr>
        <w:t>S</w:t>
      </w:r>
      <w:r w:rsidRPr="003969BA">
        <w:rPr>
          <w:rFonts w:ascii="Arial"/>
          <w:spacing w:val="-11"/>
          <w:sz w:val="18"/>
        </w:rPr>
        <w:t xml:space="preserve"> </w:t>
      </w:r>
      <w:r w:rsidRPr="003969BA">
        <w:rPr>
          <w:rFonts w:ascii="Arial"/>
          <w:spacing w:val="-1"/>
          <w:sz w:val="18"/>
        </w:rPr>
        <w:t xml:space="preserve">engagement </w:t>
      </w:r>
      <w:r w:rsidRPr="003969BA">
        <w:rPr>
          <w:rFonts w:ascii="Arial"/>
          <w:w w:val="105"/>
          <w:sz w:val="18"/>
        </w:rPr>
        <w:t>activity</w:t>
      </w:r>
      <w:r w:rsidRPr="003969BA">
        <w:rPr>
          <w:rFonts w:ascii="Arial"/>
          <w:spacing w:val="-5"/>
          <w:w w:val="105"/>
          <w:sz w:val="18"/>
        </w:rPr>
        <w:t xml:space="preserve"> </w:t>
      </w:r>
      <w:r w:rsidRPr="003969BA">
        <w:rPr>
          <w:rFonts w:ascii="Arial"/>
          <w:w w:val="105"/>
          <w:sz w:val="18"/>
        </w:rPr>
        <w:t>related</w:t>
      </w:r>
      <w:r w:rsidRPr="003969BA">
        <w:rPr>
          <w:rFonts w:ascii="Arial"/>
          <w:spacing w:val="-30"/>
          <w:w w:val="105"/>
          <w:sz w:val="18"/>
        </w:rPr>
        <w:t xml:space="preserve"> </w:t>
      </w:r>
      <w:r w:rsidRPr="003969BA">
        <w:rPr>
          <w:rFonts w:ascii="Arial"/>
          <w:w w:val="105"/>
          <w:sz w:val="18"/>
        </w:rPr>
        <w:t>to</w:t>
      </w:r>
      <w:r w:rsidRPr="003969BA">
        <w:rPr>
          <w:rFonts w:ascii="Arial"/>
          <w:spacing w:val="-7"/>
          <w:w w:val="105"/>
          <w:sz w:val="18"/>
        </w:rPr>
        <w:t xml:space="preserve"> </w:t>
      </w:r>
      <w:r w:rsidRPr="003969BA">
        <w:rPr>
          <w:rFonts w:ascii="Arial"/>
          <w:w w:val="105"/>
          <w:sz w:val="18"/>
        </w:rPr>
        <w:t>the</w:t>
      </w:r>
      <w:r w:rsidRPr="003969BA">
        <w:rPr>
          <w:rFonts w:ascii="Arial"/>
          <w:spacing w:val="-5"/>
          <w:w w:val="105"/>
          <w:sz w:val="18"/>
        </w:rPr>
        <w:t xml:space="preserve"> </w:t>
      </w:r>
      <w:r w:rsidRPr="003969BA">
        <w:rPr>
          <w:rFonts w:ascii="Arial"/>
          <w:w w:val="105"/>
          <w:sz w:val="18"/>
        </w:rPr>
        <w:t>area</w:t>
      </w:r>
      <w:r w:rsidRPr="003969BA">
        <w:rPr>
          <w:rFonts w:ascii="Arial"/>
          <w:spacing w:val="-13"/>
          <w:w w:val="105"/>
          <w:sz w:val="18"/>
        </w:rPr>
        <w:t xml:space="preserve"> </w:t>
      </w:r>
      <w:r w:rsidRPr="003969BA">
        <w:rPr>
          <w:rFonts w:ascii="Arial"/>
          <w:w w:val="105"/>
          <w:sz w:val="18"/>
        </w:rPr>
        <w:t>of</w:t>
      </w:r>
      <w:r w:rsidRPr="003969BA">
        <w:rPr>
          <w:rFonts w:ascii="Arial"/>
          <w:spacing w:val="16"/>
          <w:w w:val="105"/>
          <w:sz w:val="18"/>
        </w:rPr>
        <w:t xml:space="preserve"> </w:t>
      </w:r>
      <w:r w:rsidRPr="003969BA">
        <w:rPr>
          <w:rFonts w:ascii="Arial"/>
          <w:spacing w:val="-3"/>
          <w:w w:val="105"/>
          <w:sz w:val="18"/>
        </w:rPr>
        <w:t xml:space="preserve">Fiscal </w:t>
      </w:r>
      <w:r w:rsidRPr="003969BA">
        <w:rPr>
          <w:rFonts w:ascii="Arial"/>
          <w:w w:val="105"/>
          <w:sz w:val="18"/>
        </w:rPr>
        <w:t>will</w:t>
      </w:r>
      <w:r w:rsidRPr="003969BA">
        <w:rPr>
          <w:rFonts w:ascii="Arial"/>
          <w:spacing w:val="-28"/>
          <w:w w:val="105"/>
          <w:sz w:val="18"/>
        </w:rPr>
        <w:t xml:space="preserve"> </w:t>
      </w:r>
      <w:r w:rsidRPr="003969BA">
        <w:rPr>
          <w:rFonts w:ascii="Arial"/>
          <w:w w:val="105"/>
          <w:sz w:val="18"/>
        </w:rPr>
        <w:t>be</w:t>
      </w:r>
      <w:r w:rsidRPr="003969BA">
        <w:rPr>
          <w:rFonts w:ascii="Arial"/>
          <w:spacing w:val="-13"/>
          <w:w w:val="105"/>
          <w:sz w:val="18"/>
        </w:rPr>
        <w:t xml:space="preserve"> </w:t>
      </w:r>
      <w:r w:rsidRPr="003969BA">
        <w:rPr>
          <w:rFonts w:ascii="Arial"/>
          <w:w w:val="105"/>
          <w:sz w:val="18"/>
        </w:rPr>
        <w:t>provided under a</w:t>
      </w:r>
      <w:r w:rsidRPr="003969BA">
        <w:rPr>
          <w:rFonts w:ascii="Arial"/>
          <w:spacing w:val="-16"/>
          <w:w w:val="105"/>
          <w:sz w:val="18"/>
        </w:rPr>
        <w:t xml:space="preserve"> </w:t>
      </w:r>
      <w:r w:rsidRPr="003969BA">
        <w:rPr>
          <w:rFonts w:ascii="Arial"/>
          <w:w w:val="105"/>
          <w:sz w:val="18"/>
        </w:rPr>
        <w:t>separate cover.</w:t>
      </w:r>
    </w:p>
    <w:p w:rsidR="008C3A98" w:rsidRPr="003969BA" w:rsidRDefault="008C3A98">
      <w:pPr>
        <w:pStyle w:val="BodyText"/>
        <w:rPr>
          <w:rFonts w:ascii="Arial"/>
          <w:sz w:val="20"/>
        </w:rPr>
      </w:pPr>
    </w:p>
    <w:p w:rsidR="008C3A98" w:rsidRPr="003969BA" w:rsidRDefault="005D6817" w:rsidP="003969BA">
      <w:pPr>
        <w:rPr>
          <w:rFonts w:ascii="Arial"/>
          <w:sz w:val="15"/>
        </w:rPr>
      </w:pPr>
      <w:r w:rsidRPr="003969BA">
        <w:rPr>
          <w:noProof/>
          <w:lang w:eastAsia="zh-CN"/>
        </w:rPr>
        <mc:AlternateContent>
          <mc:Choice Requires="wps">
            <w:drawing>
              <wp:anchor distT="0" distB="0" distL="114300" distR="114300" simplePos="0" relativeHeight="251659776" behindDoc="1" locked="0" layoutInCell="1" allowOverlap="1">
                <wp:simplePos x="0" y="0"/>
                <wp:positionH relativeFrom="page">
                  <wp:posOffset>847725</wp:posOffset>
                </wp:positionH>
                <wp:positionV relativeFrom="paragraph">
                  <wp:posOffset>-1048385</wp:posOffset>
                </wp:positionV>
                <wp:extent cx="36830" cy="78105"/>
                <wp:effectExtent l="0" t="4445"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A98" w:rsidRDefault="005D6817">
                            <w:pPr>
                              <w:spacing w:line="122" w:lineRule="exact"/>
                              <w:rPr>
                                <w:sz w:val="11"/>
                              </w:rPr>
                            </w:pPr>
                            <w:r>
                              <w:rPr>
                                <w:color w:val="525252"/>
                                <w:w w:val="104"/>
                                <w:sz w:val="1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75pt;margin-top:-82.55pt;width:2.9pt;height:6.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plqgIAAK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" filled="f" stroked="f">
                <v:textbox inset="0,0,0,0">
                  <w:txbxContent>
                    <w:p w:rsidR="008C3A98" w:rsidRDefault="005D6817">
                      <w:pPr>
                        <w:spacing w:line="122" w:lineRule="exact"/>
                        <w:rPr>
                          <w:sz w:val="11"/>
                        </w:rPr>
                      </w:pPr>
                      <w:r>
                        <w:rPr>
                          <w:color w:val="525252"/>
                          <w:w w:val="104"/>
                          <w:sz w:val="11"/>
                        </w:rPr>
                        <w:t>1</w:t>
                      </w:r>
                    </w:p>
                  </w:txbxContent>
                </v:textbox>
                <w10:wrap anchorx="page"/>
              </v:shape>
            </w:pict>
          </mc:Fallback>
        </mc:AlternateContent>
      </w:r>
      <w:r w:rsidRPr="003969BA">
        <w:rPr>
          <w:rFonts w:ascii="Arial"/>
          <w:w w:val="110"/>
          <w:sz w:val="15"/>
        </w:rPr>
        <w:t>400 M ARYL AND AVE. S.W., WASHI N GTON DC 20202-2600</w:t>
      </w:r>
    </w:p>
    <w:p w:rsidR="008C3A98" w:rsidRPr="003969BA" w:rsidRDefault="003824BE">
      <w:pPr>
        <w:spacing w:before="21"/>
        <w:ind w:left="758" w:right="218"/>
        <w:jc w:val="center"/>
        <w:rPr>
          <w:sz w:val="17"/>
        </w:rPr>
      </w:pPr>
      <w:hyperlink r:id="rId10">
        <w:r w:rsidR="005D6817" w:rsidRPr="003969BA">
          <w:rPr>
            <w:w w:val="110"/>
            <w:sz w:val="17"/>
          </w:rPr>
          <w:t>www.ed.gov</w:t>
        </w:r>
      </w:hyperlink>
    </w:p>
    <w:p w:rsidR="008C3A98" w:rsidRPr="003969BA" w:rsidRDefault="005D6817">
      <w:pPr>
        <w:spacing w:before="26" w:line="271" w:lineRule="auto"/>
        <w:ind w:left="795" w:right="218"/>
        <w:jc w:val="center"/>
        <w:rPr>
          <w:i/>
          <w:sz w:val="17"/>
        </w:rPr>
      </w:pPr>
      <w:r w:rsidRPr="003969BA">
        <w:rPr>
          <w:i/>
          <w:w w:val="115"/>
          <w:sz w:val="17"/>
        </w:rPr>
        <w:t>The</w:t>
      </w:r>
      <w:r w:rsidRPr="003969BA">
        <w:rPr>
          <w:i/>
          <w:spacing w:val="-15"/>
          <w:w w:val="115"/>
          <w:sz w:val="17"/>
        </w:rPr>
        <w:t xml:space="preserve"> </w:t>
      </w:r>
      <w:r w:rsidRPr="003969BA">
        <w:rPr>
          <w:i/>
          <w:w w:val="115"/>
          <w:sz w:val="17"/>
        </w:rPr>
        <w:t>Department</w:t>
      </w:r>
      <w:r w:rsidRPr="003969BA">
        <w:rPr>
          <w:i/>
          <w:spacing w:val="-15"/>
          <w:w w:val="115"/>
          <w:sz w:val="17"/>
        </w:rPr>
        <w:t xml:space="preserve"> </w:t>
      </w:r>
      <w:r w:rsidRPr="003969BA">
        <w:rPr>
          <w:i/>
          <w:w w:val="115"/>
          <w:sz w:val="17"/>
        </w:rPr>
        <w:t>of</w:t>
      </w:r>
      <w:r w:rsidRPr="003969BA">
        <w:rPr>
          <w:i/>
          <w:spacing w:val="-20"/>
          <w:w w:val="115"/>
          <w:sz w:val="17"/>
        </w:rPr>
        <w:t xml:space="preserve"> </w:t>
      </w:r>
      <w:r w:rsidRPr="003969BA">
        <w:rPr>
          <w:i/>
          <w:w w:val="115"/>
          <w:sz w:val="17"/>
        </w:rPr>
        <w:t>Education's</w:t>
      </w:r>
      <w:r w:rsidRPr="003969BA">
        <w:rPr>
          <w:i/>
          <w:spacing w:val="-13"/>
          <w:w w:val="115"/>
          <w:sz w:val="17"/>
        </w:rPr>
        <w:t xml:space="preserve"> </w:t>
      </w:r>
      <w:r w:rsidRPr="003969BA">
        <w:rPr>
          <w:i/>
          <w:w w:val="115"/>
          <w:sz w:val="17"/>
        </w:rPr>
        <w:t>mission</w:t>
      </w:r>
      <w:r w:rsidRPr="003969BA">
        <w:rPr>
          <w:i/>
          <w:spacing w:val="-25"/>
          <w:w w:val="115"/>
          <w:sz w:val="17"/>
        </w:rPr>
        <w:t xml:space="preserve"> </w:t>
      </w:r>
      <w:r w:rsidRPr="003969BA">
        <w:rPr>
          <w:w w:val="115"/>
          <w:sz w:val="16"/>
        </w:rPr>
        <w:t>is</w:t>
      </w:r>
      <w:r w:rsidRPr="003969BA">
        <w:rPr>
          <w:spacing w:val="-11"/>
          <w:w w:val="115"/>
          <w:sz w:val="16"/>
        </w:rPr>
        <w:t xml:space="preserve"> </w:t>
      </w:r>
      <w:r w:rsidRPr="003969BA">
        <w:rPr>
          <w:i/>
          <w:w w:val="115"/>
          <w:sz w:val="17"/>
        </w:rPr>
        <w:t>to</w:t>
      </w:r>
      <w:r w:rsidRPr="003969BA">
        <w:rPr>
          <w:i/>
          <w:spacing w:val="-27"/>
          <w:w w:val="115"/>
          <w:sz w:val="17"/>
        </w:rPr>
        <w:t xml:space="preserve"> </w:t>
      </w:r>
      <w:r w:rsidRPr="003969BA">
        <w:rPr>
          <w:i/>
          <w:w w:val="115"/>
          <w:sz w:val="17"/>
        </w:rPr>
        <w:t>promote</w:t>
      </w:r>
      <w:r w:rsidRPr="003969BA">
        <w:rPr>
          <w:i/>
          <w:spacing w:val="-24"/>
          <w:w w:val="115"/>
          <w:sz w:val="17"/>
        </w:rPr>
        <w:t xml:space="preserve"> </w:t>
      </w:r>
      <w:r w:rsidRPr="003969BA">
        <w:rPr>
          <w:i/>
          <w:w w:val="115"/>
          <w:sz w:val="17"/>
        </w:rPr>
        <w:t>student</w:t>
      </w:r>
      <w:r w:rsidRPr="003969BA">
        <w:rPr>
          <w:i/>
          <w:spacing w:val="-18"/>
          <w:w w:val="115"/>
          <w:sz w:val="17"/>
        </w:rPr>
        <w:t xml:space="preserve"> </w:t>
      </w:r>
      <w:r w:rsidRPr="003969BA">
        <w:rPr>
          <w:i/>
          <w:w w:val="115"/>
          <w:sz w:val="17"/>
        </w:rPr>
        <w:t>achievement</w:t>
      </w:r>
      <w:r w:rsidRPr="003969BA">
        <w:rPr>
          <w:i/>
          <w:spacing w:val="-25"/>
          <w:w w:val="115"/>
          <w:sz w:val="17"/>
        </w:rPr>
        <w:t xml:space="preserve"> </w:t>
      </w:r>
      <w:r w:rsidRPr="003969BA">
        <w:rPr>
          <w:i/>
          <w:w w:val="115"/>
          <w:sz w:val="17"/>
        </w:rPr>
        <w:t>and</w:t>
      </w:r>
      <w:r w:rsidRPr="003969BA">
        <w:rPr>
          <w:i/>
          <w:spacing w:val="-16"/>
          <w:w w:val="115"/>
          <w:sz w:val="17"/>
        </w:rPr>
        <w:t xml:space="preserve"> </w:t>
      </w:r>
      <w:r w:rsidRPr="003969BA">
        <w:rPr>
          <w:i/>
          <w:w w:val="115"/>
          <w:sz w:val="17"/>
        </w:rPr>
        <w:t>preparation</w:t>
      </w:r>
      <w:r w:rsidRPr="003969BA">
        <w:rPr>
          <w:i/>
          <w:spacing w:val="-19"/>
          <w:w w:val="115"/>
          <w:sz w:val="17"/>
        </w:rPr>
        <w:t xml:space="preserve"> </w:t>
      </w:r>
      <w:r w:rsidRPr="003969BA">
        <w:rPr>
          <w:i/>
          <w:w w:val="115"/>
          <w:sz w:val="17"/>
        </w:rPr>
        <w:t>for</w:t>
      </w:r>
      <w:r w:rsidRPr="003969BA">
        <w:rPr>
          <w:i/>
          <w:spacing w:val="-22"/>
          <w:w w:val="115"/>
          <w:sz w:val="17"/>
        </w:rPr>
        <w:t xml:space="preserve"> </w:t>
      </w:r>
      <w:r w:rsidRPr="003969BA">
        <w:rPr>
          <w:i/>
          <w:w w:val="115"/>
          <w:sz w:val="17"/>
        </w:rPr>
        <w:t>global</w:t>
      </w:r>
      <w:r w:rsidRPr="003969BA">
        <w:rPr>
          <w:i/>
          <w:spacing w:val="-27"/>
          <w:w w:val="115"/>
          <w:sz w:val="17"/>
        </w:rPr>
        <w:t xml:space="preserve"> </w:t>
      </w:r>
      <w:r w:rsidRPr="003969BA">
        <w:rPr>
          <w:i/>
          <w:w w:val="115"/>
          <w:sz w:val="17"/>
        </w:rPr>
        <w:t>competitiveness</w:t>
      </w:r>
      <w:r w:rsidRPr="003969BA">
        <w:rPr>
          <w:i/>
          <w:spacing w:val="-30"/>
          <w:w w:val="115"/>
          <w:sz w:val="17"/>
        </w:rPr>
        <w:t xml:space="preserve"> </w:t>
      </w:r>
      <w:r w:rsidRPr="003969BA">
        <w:rPr>
          <w:i/>
          <w:w w:val="115"/>
          <w:sz w:val="17"/>
        </w:rPr>
        <w:t>by fostering educational excellence and ensuring equal</w:t>
      </w:r>
      <w:r w:rsidRPr="003969BA">
        <w:rPr>
          <w:i/>
          <w:spacing w:val="7"/>
          <w:w w:val="115"/>
          <w:sz w:val="17"/>
        </w:rPr>
        <w:t xml:space="preserve"> </w:t>
      </w:r>
      <w:r w:rsidRPr="003969BA">
        <w:rPr>
          <w:i/>
          <w:spacing w:val="1"/>
          <w:w w:val="115"/>
          <w:sz w:val="17"/>
        </w:rPr>
        <w:t>access.</w:t>
      </w:r>
    </w:p>
    <w:p w:rsidR="008C3A98" w:rsidRPr="003969BA" w:rsidRDefault="008C3A98" w:rsidP="003969BA">
      <w:pPr>
        <w:spacing w:line="271" w:lineRule="auto"/>
        <w:rPr>
          <w:sz w:val="17"/>
        </w:rPr>
        <w:sectPr w:rsidR="008C3A98" w:rsidRPr="003969BA">
          <w:headerReference w:type="default" r:id="rId11"/>
          <w:type w:val="continuous"/>
          <w:pgSz w:w="12240" w:h="15840"/>
          <w:pgMar w:top="360" w:right="1340" w:bottom="0" w:left="680" w:header="720" w:footer="720" w:gutter="0"/>
          <w:cols w:space="720"/>
        </w:sectPr>
      </w:pPr>
    </w:p>
    <w:p w:rsidR="008C3A98" w:rsidRPr="003969BA" w:rsidRDefault="005D6817" w:rsidP="003969BA">
      <w:pPr>
        <w:spacing w:before="72"/>
        <w:rPr>
          <w:sz w:val="27"/>
        </w:rPr>
      </w:pPr>
      <w:r w:rsidRPr="003969BA">
        <w:rPr>
          <w:sz w:val="27"/>
        </w:rPr>
        <w:lastRenderedPageBreak/>
        <w:t>Page 2 - Chief State School Officer</w:t>
      </w:r>
    </w:p>
    <w:p w:rsidR="008C3A98" w:rsidRPr="003969BA" w:rsidRDefault="008C3A98">
      <w:pPr>
        <w:pStyle w:val="BodyText"/>
        <w:spacing w:before="6"/>
        <w:rPr>
          <w:sz w:val="41"/>
        </w:rPr>
      </w:pPr>
    </w:p>
    <w:p w:rsidR="008C3A98" w:rsidRPr="003969BA" w:rsidRDefault="005D6817">
      <w:pPr>
        <w:spacing w:line="247" w:lineRule="auto"/>
        <w:ind w:left="761" w:firstLine="1"/>
        <w:rPr>
          <w:w w:val="105"/>
          <w:sz w:val="23"/>
          <w:szCs w:val="23"/>
        </w:rPr>
      </w:pPr>
      <w:proofErr w:type="gramStart"/>
      <w:r w:rsidRPr="003969BA">
        <w:rPr>
          <w:w w:val="105"/>
          <w:sz w:val="23"/>
          <w:szCs w:val="23"/>
        </w:rPr>
        <w:t>timeline</w:t>
      </w:r>
      <w:proofErr w:type="gramEnd"/>
      <w:r w:rsidRPr="003969BA">
        <w:rPr>
          <w:w w:val="105"/>
          <w:sz w:val="23"/>
          <w:szCs w:val="23"/>
        </w:rPr>
        <w:t>. As part of its engagement, OSEP is providing targeted monitoring and suppo1t to assist Massachusetts in improving its dispute resolution system.</w:t>
      </w:r>
    </w:p>
    <w:p w:rsidR="008C3A98" w:rsidRPr="003969BA" w:rsidRDefault="005D6817">
      <w:pPr>
        <w:spacing w:before="211" w:line="254" w:lineRule="auto"/>
        <w:ind w:left="731" w:right="106" w:firstLine="16"/>
        <w:rPr>
          <w:w w:val="105"/>
          <w:sz w:val="23"/>
          <w:szCs w:val="23"/>
        </w:rPr>
      </w:pPr>
      <w:r w:rsidRPr="003969BA">
        <w:rPr>
          <w:w w:val="105"/>
          <w:sz w:val="23"/>
          <w:szCs w:val="23"/>
        </w:rPr>
        <w:t>The enclosed Monitoring and Support Visit Summary and Next Steps document describes the: 1) Background; 2) Purpose of Monitoring Activity; 3) Visit Summary; and 4) Next Steps and Required Actions. If OSEP identified findings of noncompliance with the IDEA requirements, you will find specific details pertaining to the finding of noncompliance, along with the respective citation(s); and the corrective action required to address the identified finding of noncompliance. If you have any questions, please contact Dwight R. Thomas II, your OSEP State Lead, at 202-245-6238.</w:t>
      </w:r>
    </w:p>
    <w:p w:rsidR="008C3A98" w:rsidRPr="003969BA" w:rsidRDefault="008C3A98">
      <w:pPr>
        <w:pStyle w:val="BodyText"/>
        <w:rPr>
          <w:w w:val="105"/>
        </w:rPr>
      </w:pPr>
    </w:p>
    <w:p w:rsidR="008C3A98" w:rsidRPr="003969BA" w:rsidRDefault="008C3A98">
      <w:pPr>
        <w:pStyle w:val="BodyText"/>
        <w:rPr>
          <w:sz w:val="20"/>
        </w:rPr>
      </w:pPr>
    </w:p>
    <w:p w:rsidR="008C3A98" w:rsidRPr="003969BA" w:rsidRDefault="008C3A98">
      <w:pPr>
        <w:pStyle w:val="BodyText"/>
        <w:spacing w:before="9"/>
        <w:rPr>
          <w:sz w:val="22"/>
        </w:rPr>
      </w:pPr>
    </w:p>
    <w:p w:rsidR="008C3A98" w:rsidRPr="003969BA" w:rsidRDefault="005D6817">
      <w:pPr>
        <w:spacing w:before="1" w:line="220" w:lineRule="exact"/>
        <w:ind w:left="1066" w:right="218"/>
        <w:jc w:val="center"/>
        <w:rPr>
          <w:w w:val="105"/>
          <w:sz w:val="23"/>
          <w:szCs w:val="23"/>
        </w:rPr>
      </w:pPr>
      <w:r w:rsidRPr="003969BA">
        <w:rPr>
          <w:w w:val="105"/>
          <w:sz w:val="23"/>
          <w:szCs w:val="23"/>
        </w:rPr>
        <w:t>Sincerely,</w:t>
      </w:r>
    </w:p>
    <w:p w:rsidR="008C3A98" w:rsidRPr="003969BA" w:rsidRDefault="008C3A98">
      <w:pPr>
        <w:spacing w:line="259" w:lineRule="exact"/>
        <w:ind w:left="6691"/>
        <w:rPr>
          <w:w w:val="105"/>
          <w:sz w:val="23"/>
          <w:szCs w:val="23"/>
        </w:rPr>
      </w:pPr>
    </w:p>
    <w:p w:rsidR="008C3A98" w:rsidRPr="003969BA" w:rsidRDefault="005D6817">
      <w:pPr>
        <w:spacing w:line="793" w:lineRule="exact"/>
        <w:ind w:left="5036"/>
        <w:rPr>
          <w:w w:val="105"/>
          <w:sz w:val="23"/>
          <w:szCs w:val="23"/>
        </w:rPr>
      </w:pPr>
      <w:r w:rsidRPr="003969BA">
        <w:rPr>
          <w:w w:val="105"/>
          <w:sz w:val="23"/>
          <w:szCs w:val="23"/>
        </w:rPr>
        <w:t>Ruth E. Ryder</w:t>
      </w:r>
    </w:p>
    <w:p w:rsidR="008C3A98" w:rsidRPr="003969BA" w:rsidRDefault="005D6817">
      <w:pPr>
        <w:spacing w:line="203" w:lineRule="exact"/>
        <w:ind w:left="1584" w:right="218"/>
        <w:jc w:val="center"/>
        <w:rPr>
          <w:w w:val="105"/>
          <w:sz w:val="23"/>
          <w:szCs w:val="23"/>
        </w:rPr>
      </w:pPr>
      <w:r w:rsidRPr="003969BA">
        <w:rPr>
          <w:w w:val="105"/>
          <w:sz w:val="23"/>
          <w:szCs w:val="23"/>
        </w:rPr>
        <w:t>Acting Director</w:t>
      </w:r>
    </w:p>
    <w:p w:rsidR="008C3A98" w:rsidRPr="003969BA" w:rsidRDefault="005D6817">
      <w:pPr>
        <w:spacing w:before="35"/>
        <w:ind w:left="5032"/>
        <w:rPr>
          <w:w w:val="105"/>
          <w:sz w:val="23"/>
          <w:szCs w:val="23"/>
        </w:rPr>
      </w:pPr>
      <w:r w:rsidRPr="003969BA">
        <w:rPr>
          <w:w w:val="105"/>
          <w:sz w:val="23"/>
          <w:szCs w:val="23"/>
        </w:rPr>
        <w:t>Office of Special Education Programs</w:t>
      </w:r>
    </w:p>
    <w:p w:rsidR="008C3A98" w:rsidRPr="003969BA" w:rsidRDefault="008C3A98">
      <w:pPr>
        <w:pStyle w:val="BodyText"/>
        <w:rPr>
          <w:w w:val="105"/>
        </w:rPr>
      </w:pPr>
    </w:p>
    <w:p w:rsidR="008C3A98" w:rsidRPr="003969BA" w:rsidRDefault="008C3A98">
      <w:pPr>
        <w:pStyle w:val="BodyText"/>
        <w:spacing w:before="8"/>
        <w:rPr>
          <w:w w:val="105"/>
        </w:rPr>
      </w:pPr>
    </w:p>
    <w:p w:rsidR="008C3A98" w:rsidRPr="003969BA" w:rsidRDefault="005D6817">
      <w:pPr>
        <w:spacing w:before="92" w:line="364" w:lineRule="auto"/>
        <w:ind w:left="702" w:right="4804" w:hanging="4"/>
        <w:rPr>
          <w:w w:val="105"/>
          <w:sz w:val="23"/>
          <w:szCs w:val="23"/>
        </w:rPr>
      </w:pPr>
      <w:r w:rsidRPr="003969BA">
        <w:rPr>
          <w:w w:val="105"/>
          <w:sz w:val="23"/>
          <w:szCs w:val="23"/>
        </w:rPr>
        <w:t>cc: State Director of Special Education Enclosure</w:t>
      </w:r>
    </w:p>
    <w:sectPr w:rsidR="008C3A98" w:rsidRPr="003969BA">
      <w:pgSz w:w="12240" w:h="15840"/>
      <w:pgMar w:top="320" w:right="1340" w:bottom="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BE" w:rsidRDefault="003824BE" w:rsidP="003969BA">
      <w:r>
        <w:separator/>
      </w:r>
    </w:p>
  </w:endnote>
  <w:endnote w:type="continuationSeparator" w:id="0">
    <w:p w:rsidR="003824BE" w:rsidRDefault="003824BE" w:rsidP="0039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BE" w:rsidRDefault="003824BE" w:rsidP="003969BA">
      <w:r>
        <w:separator/>
      </w:r>
    </w:p>
  </w:footnote>
  <w:footnote w:type="continuationSeparator" w:id="0">
    <w:p w:rsidR="003824BE" w:rsidRDefault="003824BE" w:rsidP="0039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BA" w:rsidRPr="00C25F77" w:rsidRDefault="003969BA" w:rsidP="003969BA">
    <w:pPr>
      <w:pStyle w:val="BodyText"/>
      <w:rPr>
        <w:color w:val="FF0000"/>
        <w:sz w:val="20"/>
      </w:rPr>
    </w:pPr>
    <w:r w:rsidRPr="00C25F77">
      <w:rPr>
        <w:color w:val="FF0000"/>
        <w:sz w:val="20"/>
      </w:rPr>
      <w:t xml:space="preserve">The format of this document may differ from the original document sent by OSEP. The original scanned PDF document is available at </w:t>
    </w:r>
    <w:hyperlink r:id="rId1" w:history="1">
      <w:r w:rsidRPr="00C25F77">
        <w:rPr>
          <w:rStyle w:val="Hyperlink"/>
          <w:color w:val="FF0000"/>
          <w:sz w:val="20"/>
        </w:rPr>
        <w:t>http://www.doe.mass.edu/sped/osep/</w:t>
      </w:r>
    </w:hyperlink>
    <w:r w:rsidRPr="00C25F77">
      <w:rPr>
        <w:color w:val="FF0000"/>
        <w:sz w:val="20"/>
      </w:rPr>
      <w:t xml:space="preserve"> . </w:t>
    </w:r>
  </w:p>
  <w:p w:rsidR="003969BA" w:rsidRDefault="00396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8"/>
    <w:rsid w:val="003824BE"/>
    <w:rsid w:val="003969BA"/>
    <w:rsid w:val="004E1022"/>
    <w:rsid w:val="005D6817"/>
    <w:rsid w:val="006428E2"/>
    <w:rsid w:val="008C3A98"/>
    <w:rsid w:val="00C4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8648A-D691-44F2-B7B3-AFC4CA07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69BA"/>
    <w:pPr>
      <w:tabs>
        <w:tab w:val="center" w:pos="4680"/>
        <w:tab w:val="right" w:pos="9360"/>
      </w:tabs>
    </w:pPr>
  </w:style>
  <w:style w:type="character" w:customStyle="1" w:styleId="HeaderChar">
    <w:name w:val="Header Char"/>
    <w:basedOn w:val="DefaultParagraphFont"/>
    <w:link w:val="Header"/>
    <w:uiPriority w:val="99"/>
    <w:rsid w:val="003969BA"/>
    <w:rPr>
      <w:rFonts w:ascii="Times New Roman" w:eastAsia="Times New Roman" w:hAnsi="Times New Roman" w:cs="Times New Roman"/>
    </w:rPr>
  </w:style>
  <w:style w:type="paragraph" w:styleId="Footer">
    <w:name w:val="footer"/>
    <w:basedOn w:val="Normal"/>
    <w:link w:val="FooterChar"/>
    <w:uiPriority w:val="99"/>
    <w:unhideWhenUsed/>
    <w:rsid w:val="003969BA"/>
    <w:pPr>
      <w:tabs>
        <w:tab w:val="center" w:pos="4680"/>
        <w:tab w:val="right" w:pos="9360"/>
      </w:tabs>
    </w:pPr>
  </w:style>
  <w:style w:type="character" w:customStyle="1" w:styleId="FooterChar">
    <w:name w:val="Footer Char"/>
    <w:basedOn w:val="DefaultParagraphFont"/>
    <w:link w:val="Footer"/>
    <w:uiPriority w:val="99"/>
    <w:rsid w:val="003969BA"/>
    <w:rPr>
      <w:rFonts w:ascii="Times New Roman" w:eastAsia="Times New Roman" w:hAnsi="Times New Roman" w:cs="Times New Roman"/>
    </w:rPr>
  </w:style>
  <w:style w:type="character" w:styleId="Hyperlink">
    <w:name w:val="Hyperlink"/>
    <w:basedOn w:val="DefaultParagraphFont"/>
    <w:uiPriority w:val="99"/>
    <w:unhideWhenUsed/>
    <w:rsid w:val="00396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d.gov/"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doe.mass.edu/sped/o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DESE-231-45015</_dlc_DocId>
    <_dlc_DocIdUrl xmlns="733efe1c-5bbe-4968-87dc-d400e65c879f">
      <Url>https://sharepoint.doemass.org/ese/webteam/cps/_layouts/DocIdRedir.aspx?ID=DESE-231-45015</Url>
      <Description>DESE-231-45015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8D4C23-6056-4CAE-B1D9-974DCD209D20}">
  <ds:schemaRefs>
    <ds:schemaRef ds:uri="http://schemas.microsoft.com/sharepoint/v3/contenttype/forms"/>
  </ds:schemaRefs>
</ds:datastoreItem>
</file>

<file path=customXml/itemProps2.xml><?xml version="1.0" encoding="utf-8"?>
<ds:datastoreItem xmlns:ds="http://schemas.openxmlformats.org/officeDocument/2006/customXml" ds:itemID="{F4E0E73C-181A-4EC7-88C7-A9845AF2D5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BFA9AE7-C5DB-4F47-A27C-CBE8E8F13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C61F0-3109-4704-A4D5-02E8146ECC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MA-B DMS On-site Visit Cover Letter-DR-2-02-2018-WORD version</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MA-B DMS On-site Visit Cover Letter-DR-2-02-2018-WORD version</dc:title>
  <dc:creator>DESE</dc:creator>
  <cp:lastModifiedBy>Zou, Dong (EOE)</cp:lastModifiedBy>
  <cp:revision>7</cp:revision>
  <dcterms:created xsi:type="dcterms:W3CDTF">2018-09-17T12:59:00Z</dcterms:created>
  <dcterms:modified xsi:type="dcterms:W3CDTF">2018-09-18T17:14:00Z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2018</vt:lpwstr>
  </property>
</Properties>
</file>