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413" w:rsidRPr="00B12DBB" w:rsidRDefault="00170413" w:rsidP="00170413">
      <w:pPr>
        <w:spacing w:after="0" w:line="240" w:lineRule="auto"/>
        <w:jc w:val="center"/>
        <w:rPr>
          <w:b/>
          <w:sz w:val="32"/>
          <w:szCs w:val="32"/>
        </w:rPr>
      </w:pPr>
      <w:bookmarkStart w:id="0" w:name="_GoBack"/>
      <w:bookmarkEnd w:id="0"/>
      <w:r w:rsidRPr="00B12DBB">
        <w:rPr>
          <w:b/>
          <w:sz w:val="32"/>
          <w:szCs w:val="32"/>
        </w:rPr>
        <w:t>Differentiated Monitoring and Support Engagement Decisions</w:t>
      </w:r>
      <w:r w:rsidR="00B12DBB">
        <w:rPr>
          <w:b/>
          <w:sz w:val="32"/>
          <w:szCs w:val="32"/>
        </w:rPr>
        <w:t>:</w:t>
      </w:r>
    </w:p>
    <w:p w:rsidR="00170413" w:rsidRPr="00B12DBB" w:rsidRDefault="00035910" w:rsidP="00170413">
      <w:pPr>
        <w:spacing w:after="0"/>
        <w:jc w:val="center"/>
        <w:rPr>
          <w:b/>
          <w:sz w:val="32"/>
          <w:szCs w:val="32"/>
        </w:rPr>
      </w:pPr>
      <w:r>
        <w:rPr>
          <w:b/>
          <w:i/>
          <w:sz w:val="32"/>
          <w:szCs w:val="32"/>
        </w:rPr>
        <w:t xml:space="preserve">Massachusetts </w:t>
      </w:r>
      <w:r w:rsidR="00B12DBB">
        <w:rPr>
          <w:b/>
          <w:sz w:val="32"/>
          <w:szCs w:val="32"/>
        </w:rPr>
        <w:br/>
        <w:t>201</w:t>
      </w:r>
      <w:r w:rsidR="00DA25CC">
        <w:rPr>
          <w:b/>
          <w:sz w:val="32"/>
          <w:szCs w:val="32"/>
        </w:rPr>
        <w:t>7</w:t>
      </w:r>
      <w:r w:rsidR="00B12DBB">
        <w:rPr>
          <w:b/>
          <w:sz w:val="32"/>
          <w:szCs w:val="32"/>
        </w:rPr>
        <w:t>-201</w:t>
      </w:r>
      <w:r w:rsidR="00DA25CC">
        <w:rPr>
          <w:b/>
          <w:sz w:val="32"/>
          <w:szCs w:val="32"/>
        </w:rPr>
        <w:t>8</w:t>
      </w:r>
    </w:p>
    <w:p w:rsidR="00B12DBB" w:rsidRDefault="00B12DBB" w:rsidP="002913DE">
      <w:pPr>
        <w:spacing w:line="240" w:lineRule="auto"/>
        <w:rPr>
          <w:sz w:val="24"/>
          <w:szCs w:val="24"/>
        </w:rPr>
      </w:pPr>
    </w:p>
    <w:p w:rsidR="00695C0F" w:rsidRPr="006A5D4A" w:rsidRDefault="00695C0F" w:rsidP="00695C0F">
      <w:pPr>
        <w:rPr>
          <w:sz w:val="24"/>
          <w:szCs w:val="24"/>
        </w:rPr>
      </w:pPr>
      <w:r w:rsidRPr="006A5D4A">
        <w:rPr>
          <w:sz w:val="24"/>
          <w:szCs w:val="24"/>
        </w:rPr>
        <w:t>OSEP’s Differentiated Monitoring and Support (DMS) system is a component of Results Driven Accountability. DMS is designed to identify potential grantee risk to the Department and to assist OSEP in effectively using its resources to monitor grantees.  DMS addresses State-specific needs in the areas of results, compliance, State Systemic Improvement Plan (SSIP), and fiscal by differentiating levels and types of monitoring and support based on each State’s unique strengths, progress, and challenges in each area.</w:t>
      </w:r>
    </w:p>
    <w:p w:rsidR="00695C0F" w:rsidRPr="006A5D4A" w:rsidRDefault="00695C0F" w:rsidP="00695C0F">
      <w:pPr>
        <w:rPr>
          <w:sz w:val="24"/>
          <w:szCs w:val="24"/>
        </w:rPr>
      </w:pPr>
      <w:r w:rsidRPr="006A5D4A">
        <w:rPr>
          <w:sz w:val="24"/>
          <w:szCs w:val="24"/>
        </w:rPr>
        <w:t xml:space="preserve">DMS is a multi-tiered model for monitoring and providing support based on the principle that supports are first provided at a core or universal level to effectively address the needs of all States. DMS is focused on prevention to minimize the need for more targeted or intensive engagement at a later time. Targeted monitoring and support is generally based on OSEP’s identification of common needs among multiple States.  Intensive monitoring and support is reserved for those States with the most intense or complex challenges to implementation. </w:t>
      </w:r>
    </w:p>
    <w:p w:rsidR="00695C0F" w:rsidRPr="006A5D4A" w:rsidRDefault="00695C0F" w:rsidP="00695C0F">
      <w:pPr>
        <w:rPr>
          <w:sz w:val="24"/>
          <w:szCs w:val="24"/>
        </w:rPr>
      </w:pPr>
      <w:r w:rsidRPr="006A5D4A">
        <w:rPr>
          <w:sz w:val="24"/>
          <w:szCs w:val="24"/>
        </w:rPr>
        <w:t xml:space="preserve">OSEP developed an organizational assessment of States’ progress in meeting performance standards and compliance with the legal requirements of the Individuals with Disabilities Education Act, the Education Department General Administrative Regulations and the Uniform Administrative Requirements, Cost Principles, and Audit Requirements for Federal Awards.  The organizational assessment is used to help OSEP make decisions about a State’s levels of engagement for monitoring and support.  In completing a State’s organizational assessment, OSEP used Federal Fiscal Year 2016 data for results, compliance, the SSIP, and fiscal management, along with information about the factors contributing to elevated needs.  These factors include: previous support the State has accessed; the State’s capacity to improve results and compliance; and additional contextual information, </w:t>
      </w:r>
    </w:p>
    <w:p w:rsidR="00695C0F" w:rsidRPr="006A5D4A" w:rsidRDefault="00695C0F" w:rsidP="00695C0F">
      <w:pPr>
        <w:rPr>
          <w:sz w:val="24"/>
          <w:szCs w:val="24"/>
        </w:rPr>
      </w:pPr>
      <w:r w:rsidRPr="006A5D4A">
        <w:rPr>
          <w:sz w:val="24"/>
          <w:szCs w:val="24"/>
        </w:rPr>
        <w:t>The charts below specify your State’s level of engagement in each area – results, compliance, fiscal and SSIP.</w:t>
      </w:r>
    </w:p>
    <w:p w:rsidR="00170413" w:rsidRDefault="00170413" w:rsidP="00170413">
      <w:pPr>
        <w:spacing w:line="240" w:lineRule="auto"/>
        <w:rPr>
          <w:sz w:val="24"/>
          <w:szCs w:val="24"/>
        </w:rPr>
      </w:pPr>
    </w:p>
    <w:p w:rsidR="001628DD" w:rsidRDefault="001628DD" w:rsidP="00170413">
      <w:pPr>
        <w:spacing w:line="240" w:lineRule="auto"/>
        <w:rPr>
          <w:sz w:val="24"/>
          <w:szCs w:val="24"/>
        </w:rPr>
      </w:pPr>
    </w:p>
    <w:p w:rsidR="00170413" w:rsidRDefault="00170413" w:rsidP="00170413">
      <w:pPr>
        <w:rPr>
          <w:b/>
          <w:u w:val="single"/>
        </w:rPr>
      </w:pPr>
    </w:p>
    <w:p w:rsidR="00FB33E4" w:rsidRDefault="00FB33E4" w:rsidP="00170413">
      <w:pPr>
        <w:rPr>
          <w:b/>
          <w:u w:val="single"/>
        </w:rPr>
      </w:pPr>
    </w:p>
    <w:p w:rsidR="00FB33E4" w:rsidRDefault="00FB33E4" w:rsidP="00170413">
      <w:pPr>
        <w:rPr>
          <w:b/>
          <w:u w:val="single"/>
        </w:rPr>
      </w:pPr>
    </w:p>
    <w:p w:rsidR="00FB33E4" w:rsidRDefault="00FB33E4" w:rsidP="00170413">
      <w:pPr>
        <w:rPr>
          <w:b/>
          <w:u w:val="single"/>
        </w:rPr>
      </w:pPr>
    </w:p>
    <w:p w:rsidR="00695C0F" w:rsidRDefault="00695C0F" w:rsidP="00170413">
      <w:pPr>
        <w:rPr>
          <w:b/>
          <w:u w:val="single"/>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Description w:val="Results | Level of Engagement:  Universal&#10;Factors:• Factors are only listed when the level of engagement is targeted or intensive.&#10;Existing/Current Engagement: OSEP continues to make information and technical assistance (TA) resources available, and provide universal support to all States.  In addition, the State is receiving TA from National Center for Systemic Improvement. &#10;New Engagement: OSEP will provide universal support to improve outcomes for students with disabilities.&#10;"/>
      </w:tblPr>
      <w:tblGrid>
        <w:gridCol w:w="5250"/>
        <w:gridCol w:w="5252"/>
      </w:tblGrid>
      <w:tr w:rsidR="008B17B4" w:rsidTr="00950E16">
        <w:trPr>
          <w:tblHeader/>
        </w:trPr>
        <w:tc>
          <w:tcPr>
            <w:tcW w:w="10502" w:type="dxa"/>
            <w:gridSpan w:val="2"/>
            <w:tcBorders>
              <w:top w:val="nil"/>
              <w:bottom w:val="single" w:sz="4" w:space="0" w:color="auto"/>
            </w:tcBorders>
            <w:shd w:val="clear" w:color="auto" w:fill="D9D9D9" w:themeFill="background1" w:themeFillShade="D9"/>
          </w:tcPr>
          <w:p w:rsidR="008B17B4" w:rsidRPr="00723652" w:rsidRDefault="008B17B4" w:rsidP="003B2FD8">
            <w:pPr>
              <w:rPr>
                <w:sz w:val="28"/>
                <w:szCs w:val="28"/>
              </w:rPr>
            </w:pPr>
            <w:r w:rsidRPr="00B12DBB">
              <w:rPr>
                <w:b/>
                <w:sz w:val="32"/>
                <w:szCs w:val="32"/>
              </w:rPr>
              <w:lastRenderedPageBreak/>
              <w:t xml:space="preserve">Results </w:t>
            </w:r>
            <w:r w:rsidR="00732F96" w:rsidRPr="00B12DBB">
              <w:rPr>
                <w:b/>
                <w:sz w:val="32"/>
                <w:szCs w:val="32"/>
              </w:rPr>
              <w:t>|</w:t>
            </w:r>
            <w:r w:rsidRPr="00B12DBB">
              <w:rPr>
                <w:b/>
                <w:sz w:val="32"/>
                <w:szCs w:val="32"/>
              </w:rPr>
              <w:t xml:space="preserve"> </w:t>
            </w:r>
            <w:r w:rsidR="007C6CE7">
              <w:rPr>
                <w:b/>
                <w:sz w:val="32"/>
                <w:szCs w:val="32"/>
              </w:rPr>
              <w:t>Level of Engagement</w:t>
            </w:r>
            <w:r w:rsidR="00732F96" w:rsidRPr="00B12DBB">
              <w:rPr>
                <w:b/>
                <w:sz w:val="32"/>
                <w:szCs w:val="32"/>
              </w:rPr>
              <w:t>:</w:t>
            </w:r>
            <w:r w:rsidR="00732F96" w:rsidRPr="00723652">
              <w:rPr>
                <w:b/>
                <w:sz w:val="24"/>
                <w:szCs w:val="24"/>
              </w:rPr>
              <w:t xml:space="preserve"> </w:t>
            </w:r>
            <w:r w:rsidR="00885236">
              <w:rPr>
                <w:b/>
                <w:sz w:val="24"/>
                <w:szCs w:val="24"/>
              </w:rPr>
              <w:t xml:space="preserve"> </w:t>
            </w:r>
            <w:r w:rsidR="00885236">
              <w:rPr>
                <w:b/>
                <w:i/>
                <w:sz w:val="32"/>
                <w:szCs w:val="32"/>
              </w:rPr>
              <w:t>Universal</w:t>
            </w:r>
          </w:p>
        </w:tc>
      </w:tr>
      <w:tr w:rsidR="00732F96" w:rsidTr="00B12DBB">
        <w:tc>
          <w:tcPr>
            <w:tcW w:w="5250" w:type="dxa"/>
            <w:tcBorders>
              <w:top w:val="single" w:sz="4" w:space="0" w:color="auto"/>
            </w:tcBorders>
          </w:tcPr>
          <w:p w:rsidR="00732F96" w:rsidRPr="00B12DBB" w:rsidRDefault="00732F96" w:rsidP="00650C52">
            <w:pPr>
              <w:rPr>
                <w:sz w:val="28"/>
                <w:szCs w:val="28"/>
              </w:rPr>
            </w:pPr>
            <w:r w:rsidRPr="00B12DBB">
              <w:rPr>
                <w:b/>
                <w:color w:val="943634" w:themeColor="accent2" w:themeShade="BF"/>
                <w:sz w:val="28"/>
                <w:szCs w:val="28"/>
              </w:rPr>
              <w:t>Factors</w:t>
            </w:r>
            <w:r w:rsidR="00723652" w:rsidRPr="00B12DBB">
              <w:rPr>
                <w:b/>
                <w:sz w:val="28"/>
                <w:szCs w:val="28"/>
              </w:rPr>
              <w:t xml:space="preserve"> </w:t>
            </w:r>
          </w:p>
        </w:tc>
        <w:tc>
          <w:tcPr>
            <w:tcW w:w="5252" w:type="dxa"/>
            <w:tcBorders>
              <w:top w:val="single" w:sz="4" w:space="0" w:color="auto"/>
            </w:tcBorders>
          </w:tcPr>
          <w:p w:rsidR="00732F96" w:rsidRPr="00B12DBB" w:rsidRDefault="00732F96" w:rsidP="00732F96">
            <w:pPr>
              <w:rPr>
                <w:color w:val="403152" w:themeColor="accent4" w:themeShade="80"/>
                <w:sz w:val="28"/>
                <w:szCs w:val="28"/>
              </w:rPr>
            </w:pPr>
            <w:r w:rsidRPr="00B12DBB">
              <w:rPr>
                <w:b/>
                <w:color w:val="403152" w:themeColor="accent4" w:themeShade="80"/>
                <w:sz w:val="28"/>
                <w:szCs w:val="28"/>
              </w:rPr>
              <w:t>Existing/Current Engagement</w:t>
            </w:r>
          </w:p>
        </w:tc>
      </w:tr>
      <w:tr w:rsidR="00732F96" w:rsidTr="00C106F8">
        <w:tc>
          <w:tcPr>
            <w:tcW w:w="5250" w:type="dxa"/>
          </w:tcPr>
          <w:p w:rsidR="00906511" w:rsidRDefault="0084270B" w:rsidP="003B2FD8">
            <w:pPr>
              <w:pStyle w:val="ListParagraph"/>
              <w:numPr>
                <w:ilvl w:val="0"/>
                <w:numId w:val="7"/>
              </w:numPr>
            </w:pPr>
            <w:r w:rsidRPr="00EA5E10">
              <w:t>Factors are only listed when the level of engagement is targeted or intensive.</w:t>
            </w:r>
          </w:p>
        </w:tc>
        <w:tc>
          <w:tcPr>
            <w:tcW w:w="5252" w:type="dxa"/>
          </w:tcPr>
          <w:p w:rsidR="003B2FD8" w:rsidRPr="00732F96" w:rsidRDefault="00DE7EB7" w:rsidP="001357F3">
            <w:pPr>
              <w:rPr>
                <w:rFonts w:ascii="Calibri" w:hAnsi="Calibri"/>
                <w:color w:val="000000"/>
              </w:rPr>
            </w:pPr>
            <w:r w:rsidRPr="00DE7EB7">
              <w:rPr>
                <w:rFonts w:ascii="Calibri" w:hAnsi="Calibri"/>
                <w:color w:val="000000"/>
              </w:rPr>
              <w:t>OSEP continues to make information and technical assistance</w:t>
            </w:r>
            <w:r w:rsidR="000C25D9">
              <w:rPr>
                <w:rFonts w:ascii="Calibri" w:hAnsi="Calibri"/>
                <w:color w:val="000000"/>
              </w:rPr>
              <w:t xml:space="preserve"> (TA)</w:t>
            </w:r>
            <w:r w:rsidRPr="00DE7EB7">
              <w:rPr>
                <w:rFonts w:ascii="Calibri" w:hAnsi="Calibri"/>
                <w:color w:val="000000"/>
              </w:rPr>
              <w:t xml:space="preserve"> resources available, and provide universal support to all States.  </w:t>
            </w:r>
            <w:r w:rsidR="001357F3" w:rsidRPr="001357F3">
              <w:rPr>
                <w:rFonts w:ascii="Calibri" w:hAnsi="Calibri"/>
                <w:color w:val="000000"/>
              </w:rPr>
              <w:t xml:space="preserve">In addition, the State is receiving TA from </w:t>
            </w:r>
            <w:r w:rsidR="001357F3">
              <w:rPr>
                <w:rFonts w:ascii="Calibri" w:hAnsi="Calibri"/>
                <w:color w:val="000000"/>
              </w:rPr>
              <w:t xml:space="preserve">National Center for Systemic Improvement. </w:t>
            </w:r>
          </w:p>
        </w:tc>
      </w:tr>
      <w:tr w:rsidR="00732F96" w:rsidTr="00C106F8">
        <w:tc>
          <w:tcPr>
            <w:tcW w:w="10502" w:type="dxa"/>
            <w:gridSpan w:val="2"/>
          </w:tcPr>
          <w:p w:rsidR="00732F96" w:rsidRPr="00B12DBB" w:rsidRDefault="00732F96" w:rsidP="00732F96">
            <w:pPr>
              <w:rPr>
                <w:color w:val="215868" w:themeColor="accent5" w:themeShade="80"/>
                <w:sz w:val="28"/>
                <w:szCs w:val="28"/>
              </w:rPr>
            </w:pPr>
            <w:r w:rsidRPr="00B12DBB">
              <w:rPr>
                <w:b/>
                <w:color w:val="215868" w:themeColor="accent5" w:themeShade="80"/>
                <w:sz w:val="28"/>
                <w:szCs w:val="28"/>
              </w:rPr>
              <w:t>New Engagement</w:t>
            </w:r>
          </w:p>
        </w:tc>
      </w:tr>
      <w:tr w:rsidR="00732F96" w:rsidTr="00C106F8">
        <w:tc>
          <w:tcPr>
            <w:tcW w:w="10502" w:type="dxa"/>
            <w:gridSpan w:val="2"/>
          </w:tcPr>
          <w:p w:rsidR="003B2FD8" w:rsidRDefault="0084270B" w:rsidP="00732F96">
            <w:r>
              <w:t>OSEP will provide universal support to improve outcomes for students with disabilities</w:t>
            </w:r>
            <w:r w:rsidR="000C25D9">
              <w:t>.</w:t>
            </w:r>
          </w:p>
        </w:tc>
      </w:tr>
    </w:tbl>
    <w:p w:rsidR="00881FFC" w:rsidRDefault="00881FFC" w:rsidP="00881FFC"/>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Description w:val="Fiscal | Level of Engagement:  Targeted&#10;Factors: &#10;• Unresolved fiscal monitoring findings (within timelines) or the State has submitted information, but not sufficient&#10;• Proposed or final determination that the State failed to maintain State financial support.&#10;• Vacant or acting State director position &#10;• Size of the State's Grant award&#10;Existing/Current Engagement: OSEP continues to make information and TA resources available, and provide universal support to all States.  In addition, the State is receiving TA from the Center for IDEA Fiscal Reporting.&#10;New Engagement: OSEP will contact the State and discuss the type of TA activities that would be appropriate to address the State’s specific needs.  This may include establishing a schedule of regular contact with the State to determine the root cause of any fiscal issue and identify next steps for improvement.&#10;"/>
      </w:tblPr>
      <w:tblGrid>
        <w:gridCol w:w="5250"/>
        <w:gridCol w:w="5252"/>
      </w:tblGrid>
      <w:tr w:rsidR="00881FFC" w:rsidRPr="00723652" w:rsidTr="00950E16">
        <w:trPr>
          <w:tblHeader/>
        </w:trPr>
        <w:tc>
          <w:tcPr>
            <w:tcW w:w="10502" w:type="dxa"/>
            <w:gridSpan w:val="2"/>
            <w:tcBorders>
              <w:top w:val="nil"/>
              <w:bottom w:val="single" w:sz="4" w:space="0" w:color="auto"/>
            </w:tcBorders>
            <w:shd w:val="clear" w:color="auto" w:fill="D9D9D9" w:themeFill="background1" w:themeFillShade="D9"/>
          </w:tcPr>
          <w:p w:rsidR="00881FFC" w:rsidRPr="00B12DBB" w:rsidRDefault="00881FFC" w:rsidP="00035910">
            <w:pPr>
              <w:rPr>
                <w:sz w:val="32"/>
                <w:szCs w:val="32"/>
              </w:rPr>
            </w:pPr>
            <w:r w:rsidRPr="00B12DBB">
              <w:rPr>
                <w:b/>
                <w:sz w:val="32"/>
                <w:szCs w:val="32"/>
              </w:rPr>
              <w:t xml:space="preserve">Fiscal | </w:t>
            </w:r>
            <w:r w:rsidR="007C6CE7">
              <w:rPr>
                <w:b/>
                <w:sz w:val="32"/>
                <w:szCs w:val="32"/>
              </w:rPr>
              <w:t>Level of Engagement</w:t>
            </w:r>
            <w:r w:rsidRPr="007C6CE7">
              <w:rPr>
                <w:b/>
                <w:sz w:val="32"/>
                <w:szCs w:val="32"/>
              </w:rPr>
              <w:t xml:space="preserve">: </w:t>
            </w:r>
            <w:r w:rsidR="00885236">
              <w:rPr>
                <w:b/>
                <w:sz w:val="32"/>
                <w:szCs w:val="32"/>
              </w:rPr>
              <w:t xml:space="preserve"> </w:t>
            </w:r>
            <w:r w:rsidR="00035910">
              <w:rPr>
                <w:b/>
                <w:i/>
                <w:sz w:val="32"/>
                <w:szCs w:val="32"/>
              </w:rPr>
              <w:t>Targeted</w:t>
            </w:r>
          </w:p>
        </w:tc>
      </w:tr>
      <w:tr w:rsidR="00881FFC" w:rsidRPr="00D318AD" w:rsidTr="00B12DBB">
        <w:tc>
          <w:tcPr>
            <w:tcW w:w="5250" w:type="dxa"/>
            <w:tcBorders>
              <w:top w:val="single" w:sz="4" w:space="0" w:color="auto"/>
            </w:tcBorders>
          </w:tcPr>
          <w:p w:rsidR="00881FFC" w:rsidRPr="00B12DBB" w:rsidRDefault="00881FFC" w:rsidP="00B17205">
            <w:pPr>
              <w:rPr>
                <w:sz w:val="28"/>
                <w:szCs w:val="28"/>
              </w:rPr>
            </w:pPr>
            <w:r w:rsidRPr="00B12DBB">
              <w:rPr>
                <w:b/>
                <w:color w:val="943634" w:themeColor="accent2" w:themeShade="BF"/>
                <w:sz w:val="28"/>
                <w:szCs w:val="28"/>
              </w:rPr>
              <w:t>Factors</w:t>
            </w:r>
          </w:p>
        </w:tc>
        <w:tc>
          <w:tcPr>
            <w:tcW w:w="5252" w:type="dxa"/>
            <w:tcBorders>
              <w:top w:val="single" w:sz="4" w:space="0" w:color="auto"/>
            </w:tcBorders>
          </w:tcPr>
          <w:p w:rsidR="00881FFC" w:rsidRPr="00B12DBB" w:rsidRDefault="00881FFC" w:rsidP="00B17205">
            <w:pPr>
              <w:rPr>
                <w:color w:val="403152" w:themeColor="accent4" w:themeShade="80"/>
                <w:sz w:val="28"/>
                <w:szCs w:val="28"/>
              </w:rPr>
            </w:pPr>
            <w:r w:rsidRPr="00B12DBB">
              <w:rPr>
                <w:b/>
                <w:color w:val="403152" w:themeColor="accent4" w:themeShade="80"/>
                <w:sz w:val="28"/>
                <w:szCs w:val="28"/>
              </w:rPr>
              <w:t>Existing/Current Engagement</w:t>
            </w:r>
          </w:p>
        </w:tc>
      </w:tr>
      <w:tr w:rsidR="00881FFC" w:rsidRPr="00732F96" w:rsidTr="00B17205">
        <w:tc>
          <w:tcPr>
            <w:tcW w:w="5250" w:type="dxa"/>
          </w:tcPr>
          <w:p w:rsidR="00844782" w:rsidRDefault="00844782" w:rsidP="00844782">
            <w:pPr>
              <w:pStyle w:val="ListParagraph"/>
              <w:numPr>
                <w:ilvl w:val="0"/>
                <w:numId w:val="7"/>
              </w:numPr>
            </w:pPr>
            <w:r>
              <w:t>U</w:t>
            </w:r>
            <w:r w:rsidRPr="00DC5B93">
              <w:t>nresolved fiscal monitoring findings (within timelines) or the State has submitted information, but not sufficient</w:t>
            </w:r>
          </w:p>
          <w:p w:rsidR="00844782" w:rsidRDefault="00844782" w:rsidP="00844782">
            <w:pPr>
              <w:pStyle w:val="ListParagraph"/>
              <w:numPr>
                <w:ilvl w:val="0"/>
                <w:numId w:val="7"/>
              </w:numPr>
            </w:pPr>
            <w:r w:rsidRPr="00B06907">
              <w:t>Proposed or final determination that the State failed to maintain State financial support.</w:t>
            </w:r>
          </w:p>
          <w:p w:rsidR="00844782" w:rsidRDefault="00844782" w:rsidP="00844782">
            <w:pPr>
              <w:pStyle w:val="ListParagraph"/>
              <w:numPr>
                <w:ilvl w:val="0"/>
                <w:numId w:val="7"/>
              </w:numPr>
            </w:pPr>
            <w:r w:rsidRPr="00B06907">
              <w:t>Vacant or acting State director position</w:t>
            </w:r>
            <w:r w:rsidRPr="00B06907">
              <w:tab/>
            </w:r>
          </w:p>
          <w:p w:rsidR="00881FFC" w:rsidRPr="00BB50A6" w:rsidRDefault="009C6AA4" w:rsidP="00844782">
            <w:pPr>
              <w:pStyle w:val="ListParagraph"/>
              <w:numPr>
                <w:ilvl w:val="0"/>
                <w:numId w:val="7"/>
              </w:numPr>
            </w:pPr>
            <w:r>
              <w:t>S</w:t>
            </w:r>
            <w:r w:rsidR="00844782" w:rsidRPr="00B06907">
              <w:t>ize of the State's Grant award</w:t>
            </w:r>
            <w:r w:rsidR="00844782" w:rsidRPr="00B06907">
              <w:tab/>
            </w:r>
          </w:p>
        </w:tc>
        <w:tc>
          <w:tcPr>
            <w:tcW w:w="5252" w:type="dxa"/>
          </w:tcPr>
          <w:p w:rsidR="003B2FD8" w:rsidRPr="000C25D9" w:rsidRDefault="00035910" w:rsidP="00035910">
            <w:pPr>
              <w:rPr>
                <w:bCs/>
              </w:rPr>
            </w:pPr>
            <w:r w:rsidRPr="00035910">
              <w:rPr>
                <w:bCs/>
              </w:rPr>
              <w:t>OSEP continues to make information and TA resources available, and provide universal support to all States.  In addition, the State is receiving TA from the C</w:t>
            </w:r>
            <w:r>
              <w:rPr>
                <w:bCs/>
              </w:rPr>
              <w:t>enter for IDEA Fiscal Reporting.</w:t>
            </w:r>
          </w:p>
        </w:tc>
      </w:tr>
      <w:tr w:rsidR="00881FFC" w:rsidRPr="00723652" w:rsidTr="00B17205">
        <w:tc>
          <w:tcPr>
            <w:tcW w:w="10502" w:type="dxa"/>
            <w:gridSpan w:val="2"/>
          </w:tcPr>
          <w:p w:rsidR="00881FFC" w:rsidRPr="00B12DBB" w:rsidRDefault="00881FFC" w:rsidP="00B17205">
            <w:pPr>
              <w:rPr>
                <w:color w:val="215868" w:themeColor="accent5" w:themeShade="80"/>
                <w:sz w:val="28"/>
                <w:szCs w:val="28"/>
              </w:rPr>
            </w:pPr>
            <w:r w:rsidRPr="00B12DBB">
              <w:rPr>
                <w:b/>
                <w:color w:val="215868" w:themeColor="accent5" w:themeShade="80"/>
                <w:sz w:val="28"/>
                <w:szCs w:val="28"/>
              </w:rPr>
              <w:t>New Engagement</w:t>
            </w:r>
          </w:p>
        </w:tc>
      </w:tr>
      <w:tr w:rsidR="00881FFC" w:rsidTr="00B17205">
        <w:tc>
          <w:tcPr>
            <w:tcW w:w="10502" w:type="dxa"/>
            <w:gridSpan w:val="2"/>
          </w:tcPr>
          <w:p w:rsidR="003B2FD8" w:rsidRDefault="00844782" w:rsidP="000C25D9">
            <w:r w:rsidRPr="00844782">
              <w:t>OSEP will contact the State and discuss the type of TA activities that would be appropriate to address the State’s specific needs.  This may include establishing a schedule of regular contact with the State to determine the root cause of any fiscal issue and identify next steps for improvement.</w:t>
            </w:r>
          </w:p>
        </w:tc>
      </w:tr>
    </w:tbl>
    <w:p w:rsidR="003F42FC" w:rsidRDefault="003F42FC" w:rsidP="003F42FC"/>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Description w:val="Compliance | Level of Engagement:  Targeted&#10;Factors: • Issues related to parentally placed private school students and dispute resolution procedures may negatively impact the education of children and students with disabilities&#10;Existing/Current Engagement: OSEP continues to make information and TA resources available, and provide universal support to all States. In addition, the State is receiving TA from the National Center for Systemic Improvement.&#10;New Engagement: OSEP will contact the Sate and discuss the type of TA that may be necessary to assist the State in improving IDEA compliance.  This may include discussions to determine the factors impacting the State’s specific area of low compliance and working collaboratively with the State, and OSEP- funded TA providers, to ensure the State is in compliance with IDEA requirements.&#10;"/>
      </w:tblPr>
      <w:tblGrid>
        <w:gridCol w:w="5250"/>
        <w:gridCol w:w="5252"/>
      </w:tblGrid>
      <w:tr w:rsidR="003F42FC" w:rsidRPr="00723652" w:rsidTr="00950E16">
        <w:trPr>
          <w:tblHeader/>
        </w:trPr>
        <w:tc>
          <w:tcPr>
            <w:tcW w:w="10502" w:type="dxa"/>
            <w:gridSpan w:val="2"/>
            <w:tcBorders>
              <w:top w:val="nil"/>
              <w:bottom w:val="single" w:sz="4" w:space="0" w:color="auto"/>
            </w:tcBorders>
            <w:shd w:val="clear" w:color="auto" w:fill="D9D9D9" w:themeFill="background1" w:themeFillShade="D9"/>
          </w:tcPr>
          <w:p w:rsidR="003F42FC" w:rsidRPr="00B12DBB" w:rsidRDefault="00D4321F" w:rsidP="00210860">
            <w:pPr>
              <w:rPr>
                <w:b/>
                <w:sz w:val="32"/>
                <w:szCs w:val="32"/>
              </w:rPr>
            </w:pPr>
            <w:r w:rsidRPr="00B12DBB">
              <w:rPr>
                <w:b/>
                <w:sz w:val="32"/>
                <w:szCs w:val="32"/>
              </w:rPr>
              <w:t xml:space="preserve">Compliance </w:t>
            </w:r>
            <w:r w:rsidR="003F42FC" w:rsidRPr="00B12DBB">
              <w:rPr>
                <w:b/>
                <w:sz w:val="32"/>
                <w:szCs w:val="32"/>
              </w:rPr>
              <w:t xml:space="preserve">| </w:t>
            </w:r>
            <w:r w:rsidR="003B2FD8">
              <w:rPr>
                <w:b/>
                <w:sz w:val="32"/>
                <w:szCs w:val="32"/>
              </w:rPr>
              <w:t>Level of Engagement</w:t>
            </w:r>
            <w:r w:rsidR="003F42FC" w:rsidRPr="00B12DBB">
              <w:rPr>
                <w:b/>
                <w:sz w:val="32"/>
                <w:szCs w:val="32"/>
              </w:rPr>
              <w:t xml:space="preserve">: </w:t>
            </w:r>
            <w:r w:rsidR="00885236">
              <w:rPr>
                <w:b/>
                <w:sz w:val="32"/>
                <w:szCs w:val="32"/>
              </w:rPr>
              <w:t xml:space="preserve"> </w:t>
            </w:r>
            <w:r w:rsidR="00210860">
              <w:rPr>
                <w:b/>
                <w:i/>
                <w:sz w:val="32"/>
                <w:szCs w:val="32"/>
              </w:rPr>
              <w:t>Targeted</w:t>
            </w:r>
          </w:p>
        </w:tc>
      </w:tr>
      <w:tr w:rsidR="003F42FC" w:rsidRPr="00D318AD" w:rsidTr="00B12DBB">
        <w:tc>
          <w:tcPr>
            <w:tcW w:w="5250" w:type="dxa"/>
            <w:tcBorders>
              <w:top w:val="single" w:sz="4" w:space="0" w:color="auto"/>
            </w:tcBorders>
          </w:tcPr>
          <w:p w:rsidR="003F42FC" w:rsidRPr="00B12DBB" w:rsidRDefault="003F42FC" w:rsidP="00B17205">
            <w:pPr>
              <w:rPr>
                <w:sz w:val="28"/>
                <w:szCs w:val="28"/>
              </w:rPr>
            </w:pPr>
            <w:r w:rsidRPr="00B12DBB">
              <w:rPr>
                <w:b/>
                <w:color w:val="943634" w:themeColor="accent2" w:themeShade="BF"/>
                <w:sz w:val="28"/>
                <w:szCs w:val="28"/>
              </w:rPr>
              <w:t>Factors</w:t>
            </w:r>
          </w:p>
        </w:tc>
        <w:tc>
          <w:tcPr>
            <w:tcW w:w="5252" w:type="dxa"/>
            <w:tcBorders>
              <w:top w:val="single" w:sz="4" w:space="0" w:color="auto"/>
            </w:tcBorders>
          </w:tcPr>
          <w:p w:rsidR="003F42FC" w:rsidRPr="00B12DBB" w:rsidRDefault="003F42FC" w:rsidP="00B17205">
            <w:pPr>
              <w:rPr>
                <w:color w:val="403152" w:themeColor="accent4" w:themeShade="80"/>
                <w:sz w:val="28"/>
                <w:szCs w:val="28"/>
              </w:rPr>
            </w:pPr>
            <w:r w:rsidRPr="00B12DBB">
              <w:rPr>
                <w:b/>
                <w:color w:val="403152" w:themeColor="accent4" w:themeShade="80"/>
                <w:sz w:val="28"/>
                <w:szCs w:val="28"/>
              </w:rPr>
              <w:t>Existing/Current Engagement</w:t>
            </w:r>
          </w:p>
        </w:tc>
      </w:tr>
      <w:tr w:rsidR="003F42FC" w:rsidRPr="00732F96" w:rsidTr="00C106F8">
        <w:tc>
          <w:tcPr>
            <w:tcW w:w="5250" w:type="dxa"/>
          </w:tcPr>
          <w:p w:rsidR="002A6778" w:rsidRPr="00906511" w:rsidRDefault="009C6AA4" w:rsidP="009C6AA4">
            <w:pPr>
              <w:pStyle w:val="ListParagraph"/>
              <w:numPr>
                <w:ilvl w:val="0"/>
                <w:numId w:val="2"/>
              </w:numPr>
            </w:pPr>
            <w:r>
              <w:t xml:space="preserve">Issues related to parentally placed private school students and dispute resolution procedures </w:t>
            </w:r>
            <w:r w:rsidRPr="009C6AA4">
              <w:t>may negatively impact the education of children and students with disabilities</w:t>
            </w:r>
          </w:p>
        </w:tc>
        <w:tc>
          <w:tcPr>
            <w:tcW w:w="5252" w:type="dxa"/>
          </w:tcPr>
          <w:p w:rsidR="003F42FC" w:rsidRPr="00732F96" w:rsidRDefault="00DE7EB7" w:rsidP="000C25D9">
            <w:pPr>
              <w:rPr>
                <w:rFonts w:ascii="Calibri" w:hAnsi="Calibri"/>
                <w:color w:val="000000"/>
              </w:rPr>
            </w:pPr>
            <w:r w:rsidRPr="00DE7EB7">
              <w:rPr>
                <w:rFonts w:ascii="Calibri" w:hAnsi="Calibri"/>
                <w:color w:val="000000"/>
              </w:rPr>
              <w:t>OSEP continues to make information and</w:t>
            </w:r>
            <w:r w:rsidR="000C25D9">
              <w:rPr>
                <w:rFonts w:ascii="Calibri" w:hAnsi="Calibri"/>
                <w:color w:val="000000"/>
              </w:rPr>
              <w:t xml:space="preserve"> TA r</w:t>
            </w:r>
            <w:r w:rsidRPr="00DE7EB7">
              <w:rPr>
                <w:rFonts w:ascii="Calibri" w:hAnsi="Calibri"/>
                <w:color w:val="000000"/>
              </w:rPr>
              <w:t>esources available, and provide universal support to all States.</w:t>
            </w:r>
            <w:r w:rsidR="001357F3">
              <w:rPr>
                <w:rFonts w:ascii="Calibri" w:hAnsi="Calibri"/>
                <w:color w:val="000000"/>
              </w:rPr>
              <w:t xml:space="preserve"> </w:t>
            </w:r>
            <w:r w:rsidR="001357F3" w:rsidRPr="001357F3">
              <w:rPr>
                <w:rFonts w:ascii="Calibri" w:hAnsi="Calibri"/>
                <w:color w:val="000000"/>
              </w:rPr>
              <w:t>In addition, the State is receiving TA from the National Center for Systemic Improvement.</w:t>
            </w:r>
          </w:p>
        </w:tc>
      </w:tr>
      <w:tr w:rsidR="003F42FC" w:rsidRPr="00723652" w:rsidTr="00C106F8">
        <w:tc>
          <w:tcPr>
            <w:tcW w:w="10502" w:type="dxa"/>
            <w:gridSpan w:val="2"/>
          </w:tcPr>
          <w:p w:rsidR="003F42FC" w:rsidRPr="00B12DBB" w:rsidRDefault="003F42FC" w:rsidP="00B17205">
            <w:pPr>
              <w:rPr>
                <w:color w:val="215868" w:themeColor="accent5" w:themeShade="80"/>
                <w:sz w:val="28"/>
                <w:szCs w:val="28"/>
              </w:rPr>
            </w:pPr>
            <w:r w:rsidRPr="00B12DBB">
              <w:rPr>
                <w:b/>
                <w:color w:val="215868" w:themeColor="accent5" w:themeShade="80"/>
                <w:sz w:val="28"/>
                <w:szCs w:val="28"/>
              </w:rPr>
              <w:t>New Engagement</w:t>
            </w:r>
          </w:p>
        </w:tc>
      </w:tr>
      <w:tr w:rsidR="003F42FC" w:rsidTr="00210860">
        <w:trPr>
          <w:trHeight w:val="296"/>
        </w:trPr>
        <w:tc>
          <w:tcPr>
            <w:tcW w:w="10502" w:type="dxa"/>
            <w:gridSpan w:val="2"/>
          </w:tcPr>
          <w:p w:rsidR="00597E63" w:rsidRDefault="00210860" w:rsidP="00210860">
            <w:r w:rsidRPr="00210860">
              <w:t>OSEP will contact the Sate and discuss the type of TA that may be necessary to assist the State in improving IDEA compliance.  This may include discussions to determine the factors impacting the State’s specific area of low compliance and working collaboratively with the State, and OSEP- funded TA providers, to ensure the State is in compliance with IDEA requirements.</w:t>
            </w:r>
          </w:p>
        </w:tc>
      </w:tr>
    </w:tbl>
    <w:p w:rsidR="00821F08" w:rsidRDefault="00821F08"/>
    <w:tbl>
      <w:tblPr>
        <w:tblStyle w:val="TableGrid"/>
        <w:tblW w:w="0" w:type="auto"/>
        <w:tblLook w:val="04A0" w:firstRow="1" w:lastRow="0" w:firstColumn="1" w:lastColumn="0" w:noHBand="0" w:noVBand="1"/>
        <w:tblDescription w:val="SSIP | Level of Engagement:  Universal&#10;Factors: • Factors are only listed when the level of engagement is targeted or intensive.&#10;Existing/Current Engagement: OSEP continues to make information and TA resources available, and provide universal support to all States. In addition, the State is receiving TA from the National Center for Systemic Improvement.&#10;New Engagement: OSEP will provide universal support related to the State’s SSIP.&#10;"/>
      </w:tblPr>
      <w:tblGrid>
        <w:gridCol w:w="5250"/>
        <w:gridCol w:w="5252"/>
      </w:tblGrid>
      <w:tr w:rsidR="00D4321F" w:rsidRPr="00723652" w:rsidTr="00821F08">
        <w:trPr>
          <w:tblHeader/>
        </w:trPr>
        <w:tc>
          <w:tcPr>
            <w:tcW w:w="10502" w:type="dxa"/>
            <w:gridSpan w:val="2"/>
            <w:tcBorders>
              <w:top w:val="nil"/>
              <w:left w:val="nil"/>
              <w:right w:val="nil"/>
            </w:tcBorders>
            <w:shd w:val="clear" w:color="auto" w:fill="D9D9D9" w:themeFill="background1" w:themeFillShade="D9"/>
          </w:tcPr>
          <w:p w:rsidR="00D4321F" w:rsidRPr="00B12DBB" w:rsidRDefault="00D4321F" w:rsidP="003B2FD8">
            <w:pPr>
              <w:rPr>
                <w:b/>
                <w:sz w:val="32"/>
                <w:szCs w:val="32"/>
              </w:rPr>
            </w:pPr>
            <w:r w:rsidRPr="00B12DBB">
              <w:rPr>
                <w:b/>
                <w:sz w:val="32"/>
                <w:szCs w:val="32"/>
              </w:rPr>
              <w:t xml:space="preserve">SSIP | </w:t>
            </w:r>
            <w:r w:rsidR="003B2FD8">
              <w:rPr>
                <w:b/>
                <w:sz w:val="32"/>
                <w:szCs w:val="32"/>
              </w:rPr>
              <w:t>Level of Engagement</w:t>
            </w:r>
            <w:r w:rsidRPr="00B12DBB">
              <w:rPr>
                <w:b/>
                <w:sz w:val="32"/>
                <w:szCs w:val="32"/>
              </w:rPr>
              <w:t xml:space="preserve">: </w:t>
            </w:r>
            <w:r w:rsidR="00885236">
              <w:rPr>
                <w:b/>
                <w:sz w:val="32"/>
                <w:szCs w:val="32"/>
              </w:rPr>
              <w:t xml:space="preserve"> </w:t>
            </w:r>
            <w:r w:rsidR="00885236">
              <w:rPr>
                <w:b/>
                <w:i/>
                <w:sz w:val="32"/>
                <w:szCs w:val="32"/>
              </w:rPr>
              <w:t>Universal</w:t>
            </w:r>
          </w:p>
        </w:tc>
      </w:tr>
      <w:tr w:rsidR="00D4321F" w:rsidRPr="00D318AD" w:rsidTr="002058AD">
        <w:tc>
          <w:tcPr>
            <w:tcW w:w="5250" w:type="dxa"/>
            <w:tcBorders>
              <w:left w:val="nil"/>
            </w:tcBorders>
          </w:tcPr>
          <w:p w:rsidR="00D4321F" w:rsidRPr="00B12DBB" w:rsidRDefault="00D4321F" w:rsidP="00B17205">
            <w:pPr>
              <w:rPr>
                <w:sz w:val="28"/>
                <w:szCs w:val="28"/>
              </w:rPr>
            </w:pPr>
            <w:r w:rsidRPr="00B12DBB">
              <w:rPr>
                <w:b/>
                <w:color w:val="943634" w:themeColor="accent2" w:themeShade="BF"/>
                <w:sz w:val="28"/>
                <w:szCs w:val="28"/>
              </w:rPr>
              <w:t>Factors</w:t>
            </w:r>
          </w:p>
        </w:tc>
        <w:tc>
          <w:tcPr>
            <w:tcW w:w="5252" w:type="dxa"/>
            <w:tcBorders>
              <w:right w:val="nil"/>
            </w:tcBorders>
          </w:tcPr>
          <w:p w:rsidR="00D4321F" w:rsidRPr="00B12DBB" w:rsidRDefault="00D4321F" w:rsidP="00B17205">
            <w:pPr>
              <w:rPr>
                <w:color w:val="403152" w:themeColor="accent4" w:themeShade="80"/>
                <w:sz w:val="28"/>
                <w:szCs w:val="28"/>
              </w:rPr>
            </w:pPr>
            <w:r w:rsidRPr="00B12DBB">
              <w:rPr>
                <w:b/>
                <w:color w:val="403152" w:themeColor="accent4" w:themeShade="80"/>
                <w:sz w:val="28"/>
                <w:szCs w:val="28"/>
              </w:rPr>
              <w:t>Existing/Current Engagement</w:t>
            </w:r>
          </w:p>
        </w:tc>
      </w:tr>
      <w:tr w:rsidR="00D4321F" w:rsidRPr="00732F96" w:rsidTr="002058AD">
        <w:tc>
          <w:tcPr>
            <w:tcW w:w="5250" w:type="dxa"/>
            <w:tcBorders>
              <w:left w:val="nil"/>
            </w:tcBorders>
          </w:tcPr>
          <w:p w:rsidR="00D4321F" w:rsidRPr="00D4321F" w:rsidRDefault="0084270B" w:rsidP="0084270B">
            <w:pPr>
              <w:pStyle w:val="ListParagraph"/>
              <w:numPr>
                <w:ilvl w:val="0"/>
                <w:numId w:val="1"/>
              </w:numPr>
              <w:ind w:hanging="432"/>
              <w:rPr>
                <w:rFonts w:ascii="Calibri" w:hAnsi="Calibri"/>
                <w:color w:val="000000"/>
              </w:rPr>
            </w:pPr>
            <w:r w:rsidRPr="00EA5E10">
              <w:t>Factors are only listed when the level of engagement is targeted or intensive.</w:t>
            </w:r>
          </w:p>
        </w:tc>
        <w:tc>
          <w:tcPr>
            <w:tcW w:w="5252" w:type="dxa"/>
            <w:tcBorders>
              <w:right w:val="nil"/>
            </w:tcBorders>
          </w:tcPr>
          <w:p w:rsidR="00D4321F" w:rsidRPr="00732F96" w:rsidRDefault="00DE7EB7" w:rsidP="00597E63">
            <w:pPr>
              <w:rPr>
                <w:rFonts w:ascii="Calibri" w:hAnsi="Calibri"/>
                <w:color w:val="000000"/>
              </w:rPr>
            </w:pPr>
            <w:r w:rsidRPr="00DE7EB7">
              <w:rPr>
                <w:rFonts w:ascii="Calibri" w:hAnsi="Calibri"/>
                <w:color w:val="000000"/>
              </w:rPr>
              <w:t xml:space="preserve">OSEP continues to make information and </w:t>
            </w:r>
            <w:r w:rsidR="000C25D9">
              <w:rPr>
                <w:rFonts w:ascii="Calibri" w:hAnsi="Calibri"/>
                <w:color w:val="000000"/>
              </w:rPr>
              <w:t>TA</w:t>
            </w:r>
            <w:r w:rsidR="00210860">
              <w:rPr>
                <w:rFonts w:ascii="Calibri" w:hAnsi="Calibri"/>
                <w:color w:val="000000"/>
              </w:rPr>
              <w:t xml:space="preserve"> </w:t>
            </w:r>
            <w:r w:rsidRPr="00DE7EB7">
              <w:rPr>
                <w:rFonts w:ascii="Calibri" w:hAnsi="Calibri"/>
                <w:color w:val="000000"/>
              </w:rPr>
              <w:t>resources available, and provide universal support to all States</w:t>
            </w:r>
            <w:r w:rsidR="00597E63">
              <w:rPr>
                <w:rFonts w:ascii="Calibri" w:hAnsi="Calibri"/>
                <w:color w:val="000000"/>
              </w:rPr>
              <w:t>.</w:t>
            </w:r>
            <w:r w:rsidR="001357F3">
              <w:t xml:space="preserve"> </w:t>
            </w:r>
            <w:r w:rsidR="001357F3" w:rsidRPr="001357F3">
              <w:t xml:space="preserve">In addition, the State is receiving TA from the </w:t>
            </w:r>
            <w:r w:rsidR="001357F3" w:rsidRPr="001357F3">
              <w:rPr>
                <w:rFonts w:ascii="Calibri" w:hAnsi="Calibri"/>
                <w:color w:val="000000"/>
              </w:rPr>
              <w:t>National Center for Systemic Improvement.</w:t>
            </w:r>
          </w:p>
        </w:tc>
      </w:tr>
      <w:tr w:rsidR="00D4321F" w:rsidRPr="00723652" w:rsidTr="002058AD">
        <w:tc>
          <w:tcPr>
            <w:tcW w:w="10502" w:type="dxa"/>
            <w:gridSpan w:val="2"/>
            <w:tcBorders>
              <w:left w:val="nil"/>
              <w:right w:val="nil"/>
            </w:tcBorders>
          </w:tcPr>
          <w:p w:rsidR="00D4321F" w:rsidRPr="00B12DBB" w:rsidRDefault="00D4321F" w:rsidP="00B17205">
            <w:pPr>
              <w:rPr>
                <w:color w:val="215868" w:themeColor="accent5" w:themeShade="80"/>
                <w:sz w:val="28"/>
                <w:szCs w:val="28"/>
              </w:rPr>
            </w:pPr>
            <w:r w:rsidRPr="00B12DBB">
              <w:rPr>
                <w:b/>
                <w:color w:val="215868" w:themeColor="accent5" w:themeShade="80"/>
                <w:sz w:val="28"/>
                <w:szCs w:val="28"/>
              </w:rPr>
              <w:lastRenderedPageBreak/>
              <w:t>New Engagement</w:t>
            </w:r>
          </w:p>
        </w:tc>
      </w:tr>
      <w:tr w:rsidR="00D4321F" w:rsidTr="002058AD">
        <w:tc>
          <w:tcPr>
            <w:tcW w:w="10502" w:type="dxa"/>
            <w:gridSpan w:val="2"/>
            <w:tcBorders>
              <w:left w:val="nil"/>
              <w:bottom w:val="nil"/>
              <w:right w:val="nil"/>
            </w:tcBorders>
          </w:tcPr>
          <w:p w:rsidR="00D4321F" w:rsidRDefault="00885236" w:rsidP="00B17205">
            <w:r>
              <w:t>OSEP will provide universal support related to the State’s SSIP.</w:t>
            </w:r>
          </w:p>
        </w:tc>
      </w:tr>
    </w:tbl>
    <w:p w:rsidR="00BB50A6" w:rsidRDefault="00BB50A6"/>
    <w:sectPr w:rsidR="00BB50A6" w:rsidSect="00B12DBB">
      <w:pgSz w:w="12240" w:h="15840"/>
      <w:pgMar w:top="1350"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A90" w:rsidRDefault="00195A90" w:rsidP="00170413">
      <w:pPr>
        <w:spacing w:after="0" w:line="240" w:lineRule="auto"/>
      </w:pPr>
      <w:r>
        <w:separator/>
      </w:r>
    </w:p>
  </w:endnote>
  <w:endnote w:type="continuationSeparator" w:id="0">
    <w:p w:rsidR="00195A90" w:rsidRDefault="00195A90" w:rsidP="00170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A90" w:rsidRDefault="00195A90" w:rsidP="00170413">
      <w:pPr>
        <w:spacing w:after="0" w:line="240" w:lineRule="auto"/>
      </w:pPr>
      <w:r>
        <w:separator/>
      </w:r>
    </w:p>
  </w:footnote>
  <w:footnote w:type="continuationSeparator" w:id="0">
    <w:p w:rsidR="00195A90" w:rsidRDefault="00195A90" w:rsidP="001704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6508"/>
    <w:multiLevelType w:val="hybridMultilevel"/>
    <w:tmpl w:val="3002454E"/>
    <w:lvl w:ilvl="0" w:tplc="28408018">
      <w:start w:val="1"/>
      <w:numFmt w:val="bullet"/>
      <w:lvlText w:val="o"/>
      <w:lvlJc w:val="left"/>
      <w:pPr>
        <w:ind w:left="1440" w:hanging="360"/>
      </w:pPr>
      <w:rPr>
        <w:rFonts w:ascii="Courier New" w:hAnsi="Courier New" w:cs="Courier New" w:hint="default"/>
        <w:color w:val="943634" w:themeColor="accent2" w:themeShade="B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DB6E29"/>
    <w:multiLevelType w:val="hybridMultilevel"/>
    <w:tmpl w:val="F13AEE48"/>
    <w:lvl w:ilvl="0" w:tplc="F698CF12">
      <w:start w:val="1"/>
      <w:numFmt w:val="bullet"/>
      <w:lvlText w:val="o"/>
      <w:lvlJc w:val="left"/>
      <w:pPr>
        <w:ind w:left="720" w:hanging="360"/>
      </w:pPr>
      <w:rPr>
        <w:rFonts w:ascii="Courier New" w:hAnsi="Courier New" w:cs="Courier New"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75CA9"/>
    <w:multiLevelType w:val="hybridMultilevel"/>
    <w:tmpl w:val="121C121A"/>
    <w:lvl w:ilvl="0" w:tplc="650E380E">
      <w:start w:val="1"/>
      <w:numFmt w:val="bullet"/>
      <w:lvlText w:val=""/>
      <w:lvlJc w:val="left"/>
      <w:pPr>
        <w:ind w:left="720" w:hanging="360"/>
      </w:pPr>
      <w:rPr>
        <w:rFonts w:ascii="Symbol" w:hAnsi="Symbol"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D3768"/>
    <w:multiLevelType w:val="hybridMultilevel"/>
    <w:tmpl w:val="649ADF00"/>
    <w:lvl w:ilvl="0" w:tplc="85CA3CB0">
      <w:start w:val="1"/>
      <w:numFmt w:val="bullet"/>
      <w:lvlText w:val=""/>
      <w:lvlJc w:val="left"/>
      <w:pPr>
        <w:ind w:left="1080" w:hanging="360"/>
      </w:pPr>
      <w:rPr>
        <w:rFonts w:ascii="Symbol" w:hAnsi="Symbol" w:hint="default"/>
        <w:color w:val="943634" w:themeColor="accent2"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5F0EEC"/>
    <w:multiLevelType w:val="hybridMultilevel"/>
    <w:tmpl w:val="88CC6BC6"/>
    <w:lvl w:ilvl="0" w:tplc="650E380E">
      <w:start w:val="1"/>
      <w:numFmt w:val="bullet"/>
      <w:lvlText w:val=""/>
      <w:lvlJc w:val="left"/>
      <w:pPr>
        <w:ind w:left="360" w:hanging="360"/>
      </w:pPr>
      <w:rPr>
        <w:rFonts w:ascii="Symbol" w:hAnsi="Symbol" w:hint="default"/>
        <w:color w:val="943634" w:themeColor="accent2" w:themeShade="BF"/>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4DBE4921"/>
    <w:multiLevelType w:val="hybridMultilevel"/>
    <w:tmpl w:val="23D87BD2"/>
    <w:lvl w:ilvl="0" w:tplc="C8A28ADA">
      <w:start w:val="1"/>
      <w:numFmt w:val="bullet"/>
      <w:lvlText w:val=""/>
      <w:lvlJc w:val="left"/>
      <w:pPr>
        <w:ind w:left="720" w:hanging="360"/>
      </w:pPr>
      <w:rPr>
        <w:rFonts w:ascii="Symbol" w:hAnsi="Symbol"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F300FE"/>
    <w:multiLevelType w:val="hybridMultilevel"/>
    <w:tmpl w:val="BB6813C8"/>
    <w:lvl w:ilvl="0" w:tplc="650E380E">
      <w:start w:val="1"/>
      <w:numFmt w:val="bullet"/>
      <w:lvlText w:val=""/>
      <w:lvlJc w:val="left"/>
      <w:pPr>
        <w:ind w:left="720" w:hanging="360"/>
      </w:pPr>
      <w:rPr>
        <w:rFonts w:ascii="Symbol" w:hAnsi="Symbol" w:hint="default"/>
        <w:color w:val="943634" w:themeColor="accent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0D3"/>
    <w:rsid w:val="00003787"/>
    <w:rsid w:val="00015B55"/>
    <w:rsid w:val="00035910"/>
    <w:rsid w:val="000664AD"/>
    <w:rsid w:val="000971E2"/>
    <w:rsid w:val="0009745B"/>
    <w:rsid w:val="000C25D9"/>
    <w:rsid w:val="000D1222"/>
    <w:rsid w:val="000F7489"/>
    <w:rsid w:val="00103EA6"/>
    <w:rsid w:val="001357F3"/>
    <w:rsid w:val="00137149"/>
    <w:rsid w:val="00150B2E"/>
    <w:rsid w:val="001628DD"/>
    <w:rsid w:val="00170413"/>
    <w:rsid w:val="001814A6"/>
    <w:rsid w:val="00195A90"/>
    <w:rsid w:val="001C3566"/>
    <w:rsid w:val="002058AD"/>
    <w:rsid w:val="00210860"/>
    <w:rsid w:val="00236BB0"/>
    <w:rsid w:val="00245293"/>
    <w:rsid w:val="002913DE"/>
    <w:rsid w:val="00291CF8"/>
    <w:rsid w:val="002A6778"/>
    <w:rsid w:val="002B11F2"/>
    <w:rsid w:val="002E3C4B"/>
    <w:rsid w:val="002E4B6C"/>
    <w:rsid w:val="00305F7A"/>
    <w:rsid w:val="003439C1"/>
    <w:rsid w:val="003440F1"/>
    <w:rsid w:val="003557A8"/>
    <w:rsid w:val="003B2FD8"/>
    <w:rsid w:val="003E0C8E"/>
    <w:rsid w:val="003F42FC"/>
    <w:rsid w:val="003F717B"/>
    <w:rsid w:val="0040717F"/>
    <w:rsid w:val="00471A4F"/>
    <w:rsid w:val="00483987"/>
    <w:rsid w:val="00484CA6"/>
    <w:rsid w:val="004D07C1"/>
    <w:rsid w:val="004D679F"/>
    <w:rsid w:val="004F32E9"/>
    <w:rsid w:val="00533DAF"/>
    <w:rsid w:val="00587499"/>
    <w:rsid w:val="00597E63"/>
    <w:rsid w:val="005B589C"/>
    <w:rsid w:val="005D1A6A"/>
    <w:rsid w:val="00607E4C"/>
    <w:rsid w:val="00610939"/>
    <w:rsid w:val="00650C52"/>
    <w:rsid w:val="00681577"/>
    <w:rsid w:val="00695C0F"/>
    <w:rsid w:val="006A22DC"/>
    <w:rsid w:val="006E020B"/>
    <w:rsid w:val="006E069B"/>
    <w:rsid w:val="00723652"/>
    <w:rsid w:val="00725222"/>
    <w:rsid w:val="00732F96"/>
    <w:rsid w:val="00747D97"/>
    <w:rsid w:val="00751215"/>
    <w:rsid w:val="007A41DA"/>
    <w:rsid w:val="007C6CE7"/>
    <w:rsid w:val="007D3B3B"/>
    <w:rsid w:val="00802980"/>
    <w:rsid w:val="008104CC"/>
    <w:rsid w:val="00821F08"/>
    <w:rsid w:val="0083435F"/>
    <w:rsid w:val="0084270B"/>
    <w:rsid w:val="00844782"/>
    <w:rsid w:val="0086764E"/>
    <w:rsid w:val="00867F5D"/>
    <w:rsid w:val="00881FFC"/>
    <w:rsid w:val="00885236"/>
    <w:rsid w:val="008910B4"/>
    <w:rsid w:val="008A65A9"/>
    <w:rsid w:val="008B17B4"/>
    <w:rsid w:val="008E1171"/>
    <w:rsid w:val="00906511"/>
    <w:rsid w:val="00950E16"/>
    <w:rsid w:val="009535FB"/>
    <w:rsid w:val="00953EC4"/>
    <w:rsid w:val="009613B5"/>
    <w:rsid w:val="009616C8"/>
    <w:rsid w:val="00991725"/>
    <w:rsid w:val="009C6AA4"/>
    <w:rsid w:val="00A414C3"/>
    <w:rsid w:val="00A57CBA"/>
    <w:rsid w:val="00AC69D8"/>
    <w:rsid w:val="00B0502F"/>
    <w:rsid w:val="00B12DBB"/>
    <w:rsid w:val="00B17205"/>
    <w:rsid w:val="00B21949"/>
    <w:rsid w:val="00B353E5"/>
    <w:rsid w:val="00B6033E"/>
    <w:rsid w:val="00B663D2"/>
    <w:rsid w:val="00B72FA5"/>
    <w:rsid w:val="00BB4FCB"/>
    <w:rsid w:val="00BB50A6"/>
    <w:rsid w:val="00BB5113"/>
    <w:rsid w:val="00BC7F1E"/>
    <w:rsid w:val="00BD2BD3"/>
    <w:rsid w:val="00BE73B8"/>
    <w:rsid w:val="00C106F8"/>
    <w:rsid w:val="00C131A0"/>
    <w:rsid w:val="00C27906"/>
    <w:rsid w:val="00C3476F"/>
    <w:rsid w:val="00C550BB"/>
    <w:rsid w:val="00C837CC"/>
    <w:rsid w:val="00C929BC"/>
    <w:rsid w:val="00CA33BC"/>
    <w:rsid w:val="00CB7CF5"/>
    <w:rsid w:val="00CC5EBE"/>
    <w:rsid w:val="00CF036D"/>
    <w:rsid w:val="00CF4DEC"/>
    <w:rsid w:val="00D25F05"/>
    <w:rsid w:val="00D318AD"/>
    <w:rsid w:val="00D4321F"/>
    <w:rsid w:val="00D70B65"/>
    <w:rsid w:val="00D71E1C"/>
    <w:rsid w:val="00D83C13"/>
    <w:rsid w:val="00D85996"/>
    <w:rsid w:val="00DA25CC"/>
    <w:rsid w:val="00DD5D19"/>
    <w:rsid w:val="00DE7EB7"/>
    <w:rsid w:val="00E13AA1"/>
    <w:rsid w:val="00E40BCA"/>
    <w:rsid w:val="00E70144"/>
    <w:rsid w:val="00E93A43"/>
    <w:rsid w:val="00EC2C52"/>
    <w:rsid w:val="00EC3BED"/>
    <w:rsid w:val="00EE4633"/>
    <w:rsid w:val="00EF0109"/>
    <w:rsid w:val="00F0703A"/>
    <w:rsid w:val="00F11ED1"/>
    <w:rsid w:val="00F22E63"/>
    <w:rsid w:val="00F24CCD"/>
    <w:rsid w:val="00F47EFB"/>
    <w:rsid w:val="00F51C5C"/>
    <w:rsid w:val="00F77869"/>
    <w:rsid w:val="00F83B4E"/>
    <w:rsid w:val="00F8676E"/>
    <w:rsid w:val="00F910D3"/>
    <w:rsid w:val="00FB33E4"/>
    <w:rsid w:val="00FE13E2"/>
    <w:rsid w:val="00FF6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0F2323-61CE-47A0-9534-52F7B4B21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4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0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0413"/>
    <w:pPr>
      <w:ind w:left="720"/>
      <w:contextualSpacing/>
    </w:pPr>
  </w:style>
  <w:style w:type="paragraph" w:styleId="FootnoteText">
    <w:name w:val="footnote text"/>
    <w:basedOn w:val="Normal"/>
    <w:link w:val="FootnoteTextChar"/>
    <w:uiPriority w:val="99"/>
    <w:semiHidden/>
    <w:unhideWhenUsed/>
    <w:rsid w:val="001704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0413"/>
    <w:rPr>
      <w:sz w:val="20"/>
      <w:szCs w:val="20"/>
    </w:rPr>
  </w:style>
  <w:style w:type="character" w:styleId="FootnoteReference">
    <w:name w:val="footnote reference"/>
    <w:basedOn w:val="DefaultParagraphFont"/>
    <w:uiPriority w:val="99"/>
    <w:semiHidden/>
    <w:unhideWhenUsed/>
    <w:rsid w:val="00170413"/>
    <w:rPr>
      <w:vertAlign w:val="superscript"/>
    </w:rPr>
  </w:style>
  <w:style w:type="character" w:styleId="Hyperlink">
    <w:name w:val="Hyperlink"/>
    <w:basedOn w:val="DefaultParagraphFont"/>
    <w:uiPriority w:val="99"/>
    <w:unhideWhenUsed/>
    <w:rsid w:val="002913DE"/>
    <w:rPr>
      <w:color w:val="0000FF" w:themeColor="hyperlink"/>
      <w:u w:val="single"/>
    </w:rPr>
  </w:style>
  <w:style w:type="character" w:styleId="CommentReference">
    <w:name w:val="annotation reference"/>
    <w:basedOn w:val="DefaultParagraphFont"/>
    <w:uiPriority w:val="99"/>
    <w:semiHidden/>
    <w:unhideWhenUsed/>
    <w:rsid w:val="00A414C3"/>
    <w:rPr>
      <w:sz w:val="16"/>
      <w:szCs w:val="16"/>
    </w:rPr>
  </w:style>
  <w:style w:type="paragraph" w:styleId="CommentText">
    <w:name w:val="annotation text"/>
    <w:basedOn w:val="Normal"/>
    <w:link w:val="CommentTextChar"/>
    <w:uiPriority w:val="99"/>
    <w:semiHidden/>
    <w:unhideWhenUsed/>
    <w:rsid w:val="00A414C3"/>
    <w:pPr>
      <w:spacing w:line="240" w:lineRule="auto"/>
    </w:pPr>
    <w:rPr>
      <w:sz w:val="20"/>
      <w:szCs w:val="20"/>
    </w:rPr>
  </w:style>
  <w:style w:type="character" w:customStyle="1" w:styleId="CommentTextChar">
    <w:name w:val="Comment Text Char"/>
    <w:basedOn w:val="DefaultParagraphFont"/>
    <w:link w:val="CommentText"/>
    <w:uiPriority w:val="99"/>
    <w:semiHidden/>
    <w:rsid w:val="00A414C3"/>
    <w:rPr>
      <w:sz w:val="20"/>
      <w:szCs w:val="20"/>
    </w:rPr>
  </w:style>
  <w:style w:type="paragraph" w:styleId="CommentSubject">
    <w:name w:val="annotation subject"/>
    <w:basedOn w:val="CommentText"/>
    <w:next w:val="CommentText"/>
    <w:link w:val="CommentSubjectChar"/>
    <w:uiPriority w:val="99"/>
    <w:semiHidden/>
    <w:unhideWhenUsed/>
    <w:rsid w:val="00A414C3"/>
    <w:rPr>
      <w:b/>
      <w:bCs/>
    </w:rPr>
  </w:style>
  <w:style w:type="character" w:customStyle="1" w:styleId="CommentSubjectChar">
    <w:name w:val="Comment Subject Char"/>
    <w:basedOn w:val="CommentTextChar"/>
    <w:link w:val="CommentSubject"/>
    <w:uiPriority w:val="99"/>
    <w:semiHidden/>
    <w:rsid w:val="00A414C3"/>
    <w:rPr>
      <w:b/>
      <w:bCs/>
      <w:sz w:val="20"/>
      <w:szCs w:val="20"/>
    </w:rPr>
  </w:style>
  <w:style w:type="paragraph" w:styleId="BalloonText">
    <w:name w:val="Balloon Text"/>
    <w:basedOn w:val="Normal"/>
    <w:link w:val="BalloonTextChar"/>
    <w:uiPriority w:val="99"/>
    <w:semiHidden/>
    <w:unhideWhenUsed/>
    <w:rsid w:val="00A41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4C3"/>
    <w:rPr>
      <w:rFonts w:ascii="Segoe UI" w:hAnsi="Segoe UI" w:cs="Segoe UI"/>
      <w:sz w:val="18"/>
      <w:szCs w:val="18"/>
    </w:rPr>
  </w:style>
  <w:style w:type="character" w:styleId="FollowedHyperlink">
    <w:name w:val="FollowedHyperlink"/>
    <w:basedOn w:val="DefaultParagraphFont"/>
    <w:uiPriority w:val="99"/>
    <w:semiHidden/>
    <w:unhideWhenUsed/>
    <w:rsid w:val="00CB7CF5"/>
    <w:rPr>
      <w:color w:val="800080" w:themeColor="followedHyperlink"/>
      <w:u w:val="single"/>
    </w:rPr>
  </w:style>
  <w:style w:type="paragraph" w:styleId="Revision">
    <w:name w:val="Revision"/>
    <w:hidden/>
    <w:uiPriority w:val="99"/>
    <w:semiHidden/>
    <w:rsid w:val="000037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1276">
      <w:bodyDiv w:val="1"/>
      <w:marLeft w:val="0"/>
      <w:marRight w:val="0"/>
      <w:marTop w:val="0"/>
      <w:marBottom w:val="0"/>
      <w:divBdr>
        <w:top w:val="none" w:sz="0" w:space="0" w:color="auto"/>
        <w:left w:val="none" w:sz="0" w:space="0" w:color="auto"/>
        <w:bottom w:val="none" w:sz="0" w:space="0" w:color="auto"/>
        <w:right w:val="none" w:sz="0" w:space="0" w:color="auto"/>
      </w:divBdr>
    </w:div>
    <w:div w:id="160197912">
      <w:bodyDiv w:val="1"/>
      <w:marLeft w:val="0"/>
      <w:marRight w:val="0"/>
      <w:marTop w:val="0"/>
      <w:marBottom w:val="0"/>
      <w:divBdr>
        <w:top w:val="none" w:sz="0" w:space="0" w:color="auto"/>
        <w:left w:val="none" w:sz="0" w:space="0" w:color="auto"/>
        <w:bottom w:val="none" w:sz="0" w:space="0" w:color="auto"/>
        <w:right w:val="none" w:sz="0" w:space="0" w:color="auto"/>
      </w:divBdr>
    </w:div>
    <w:div w:id="216556281">
      <w:bodyDiv w:val="1"/>
      <w:marLeft w:val="0"/>
      <w:marRight w:val="0"/>
      <w:marTop w:val="0"/>
      <w:marBottom w:val="0"/>
      <w:divBdr>
        <w:top w:val="none" w:sz="0" w:space="0" w:color="auto"/>
        <w:left w:val="none" w:sz="0" w:space="0" w:color="auto"/>
        <w:bottom w:val="none" w:sz="0" w:space="0" w:color="auto"/>
        <w:right w:val="none" w:sz="0" w:space="0" w:color="auto"/>
      </w:divBdr>
    </w:div>
    <w:div w:id="410351066">
      <w:bodyDiv w:val="1"/>
      <w:marLeft w:val="0"/>
      <w:marRight w:val="0"/>
      <w:marTop w:val="0"/>
      <w:marBottom w:val="0"/>
      <w:divBdr>
        <w:top w:val="none" w:sz="0" w:space="0" w:color="auto"/>
        <w:left w:val="none" w:sz="0" w:space="0" w:color="auto"/>
        <w:bottom w:val="none" w:sz="0" w:space="0" w:color="auto"/>
        <w:right w:val="none" w:sz="0" w:space="0" w:color="auto"/>
      </w:divBdr>
    </w:div>
    <w:div w:id="492110831">
      <w:bodyDiv w:val="1"/>
      <w:marLeft w:val="0"/>
      <w:marRight w:val="0"/>
      <w:marTop w:val="0"/>
      <w:marBottom w:val="0"/>
      <w:divBdr>
        <w:top w:val="none" w:sz="0" w:space="0" w:color="auto"/>
        <w:left w:val="none" w:sz="0" w:space="0" w:color="auto"/>
        <w:bottom w:val="none" w:sz="0" w:space="0" w:color="auto"/>
        <w:right w:val="none" w:sz="0" w:space="0" w:color="auto"/>
      </w:divBdr>
    </w:div>
    <w:div w:id="522984331">
      <w:bodyDiv w:val="1"/>
      <w:marLeft w:val="0"/>
      <w:marRight w:val="0"/>
      <w:marTop w:val="0"/>
      <w:marBottom w:val="0"/>
      <w:divBdr>
        <w:top w:val="none" w:sz="0" w:space="0" w:color="auto"/>
        <w:left w:val="none" w:sz="0" w:space="0" w:color="auto"/>
        <w:bottom w:val="none" w:sz="0" w:space="0" w:color="auto"/>
        <w:right w:val="none" w:sz="0" w:space="0" w:color="auto"/>
      </w:divBdr>
    </w:div>
    <w:div w:id="535853364">
      <w:bodyDiv w:val="1"/>
      <w:marLeft w:val="0"/>
      <w:marRight w:val="0"/>
      <w:marTop w:val="0"/>
      <w:marBottom w:val="0"/>
      <w:divBdr>
        <w:top w:val="none" w:sz="0" w:space="0" w:color="auto"/>
        <w:left w:val="none" w:sz="0" w:space="0" w:color="auto"/>
        <w:bottom w:val="none" w:sz="0" w:space="0" w:color="auto"/>
        <w:right w:val="none" w:sz="0" w:space="0" w:color="auto"/>
      </w:divBdr>
    </w:div>
    <w:div w:id="546064676">
      <w:bodyDiv w:val="1"/>
      <w:marLeft w:val="0"/>
      <w:marRight w:val="0"/>
      <w:marTop w:val="0"/>
      <w:marBottom w:val="0"/>
      <w:divBdr>
        <w:top w:val="none" w:sz="0" w:space="0" w:color="auto"/>
        <w:left w:val="none" w:sz="0" w:space="0" w:color="auto"/>
        <w:bottom w:val="none" w:sz="0" w:space="0" w:color="auto"/>
        <w:right w:val="none" w:sz="0" w:space="0" w:color="auto"/>
      </w:divBdr>
    </w:div>
    <w:div w:id="590086685">
      <w:bodyDiv w:val="1"/>
      <w:marLeft w:val="0"/>
      <w:marRight w:val="0"/>
      <w:marTop w:val="0"/>
      <w:marBottom w:val="0"/>
      <w:divBdr>
        <w:top w:val="none" w:sz="0" w:space="0" w:color="auto"/>
        <w:left w:val="none" w:sz="0" w:space="0" w:color="auto"/>
        <w:bottom w:val="none" w:sz="0" w:space="0" w:color="auto"/>
        <w:right w:val="none" w:sz="0" w:space="0" w:color="auto"/>
      </w:divBdr>
    </w:div>
    <w:div w:id="597638749">
      <w:bodyDiv w:val="1"/>
      <w:marLeft w:val="0"/>
      <w:marRight w:val="0"/>
      <w:marTop w:val="0"/>
      <w:marBottom w:val="0"/>
      <w:divBdr>
        <w:top w:val="none" w:sz="0" w:space="0" w:color="auto"/>
        <w:left w:val="none" w:sz="0" w:space="0" w:color="auto"/>
        <w:bottom w:val="none" w:sz="0" w:space="0" w:color="auto"/>
        <w:right w:val="none" w:sz="0" w:space="0" w:color="auto"/>
      </w:divBdr>
    </w:div>
    <w:div w:id="684674460">
      <w:bodyDiv w:val="1"/>
      <w:marLeft w:val="0"/>
      <w:marRight w:val="0"/>
      <w:marTop w:val="0"/>
      <w:marBottom w:val="0"/>
      <w:divBdr>
        <w:top w:val="none" w:sz="0" w:space="0" w:color="auto"/>
        <w:left w:val="none" w:sz="0" w:space="0" w:color="auto"/>
        <w:bottom w:val="none" w:sz="0" w:space="0" w:color="auto"/>
        <w:right w:val="none" w:sz="0" w:space="0" w:color="auto"/>
      </w:divBdr>
    </w:div>
    <w:div w:id="790824047">
      <w:bodyDiv w:val="1"/>
      <w:marLeft w:val="0"/>
      <w:marRight w:val="0"/>
      <w:marTop w:val="0"/>
      <w:marBottom w:val="0"/>
      <w:divBdr>
        <w:top w:val="none" w:sz="0" w:space="0" w:color="auto"/>
        <w:left w:val="none" w:sz="0" w:space="0" w:color="auto"/>
        <w:bottom w:val="none" w:sz="0" w:space="0" w:color="auto"/>
        <w:right w:val="none" w:sz="0" w:space="0" w:color="auto"/>
      </w:divBdr>
    </w:div>
    <w:div w:id="849295761">
      <w:bodyDiv w:val="1"/>
      <w:marLeft w:val="0"/>
      <w:marRight w:val="0"/>
      <w:marTop w:val="0"/>
      <w:marBottom w:val="0"/>
      <w:divBdr>
        <w:top w:val="none" w:sz="0" w:space="0" w:color="auto"/>
        <w:left w:val="none" w:sz="0" w:space="0" w:color="auto"/>
        <w:bottom w:val="none" w:sz="0" w:space="0" w:color="auto"/>
        <w:right w:val="none" w:sz="0" w:space="0" w:color="auto"/>
      </w:divBdr>
    </w:div>
    <w:div w:id="960066294">
      <w:bodyDiv w:val="1"/>
      <w:marLeft w:val="0"/>
      <w:marRight w:val="0"/>
      <w:marTop w:val="0"/>
      <w:marBottom w:val="0"/>
      <w:divBdr>
        <w:top w:val="none" w:sz="0" w:space="0" w:color="auto"/>
        <w:left w:val="none" w:sz="0" w:space="0" w:color="auto"/>
        <w:bottom w:val="none" w:sz="0" w:space="0" w:color="auto"/>
        <w:right w:val="none" w:sz="0" w:space="0" w:color="auto"/>
      </w:divBdr>
    </w:div>
    <w:div w:id="1066146287">
      <w:bodyDiv w:val="1"/>
      <w:marLeft w:val="0"/>
      <w:marRight w:val="0"/>
      <w:marTop w:val="0"/>
      <w:marBottom w:val="0"/>
      <w:divBdr>
        <w:top w:val="none" w:sz="0" w:space="0" w:color="auto"/>
        <w:left w:val="none" w:sz="0" w:space="0" w:color="auto"/>
        <w:bottom w:val="none" w:sz="0" w:space="0" w:color="auto"/>
        <w:right w:val="none" w:sz="0" w:space="0" w:color="auto"/>
      </w:divBdr>
    </w:div>
    <w:div w:id="1326544926">
      <w:bodyDiv w:val="1"/>
      <w:marLeft w:val="0"/>
      <w:marRight w:val="0"/>
      <w:marTop w:val="0"/>
      <w:marBottom w:val="0"/>
      <w:divBdr>
        <w:top w:val="none" w:sz="0" w:space="0" w:color="auto"/>
        <w:left w:val="none" w:sz="0" w:space="0" w:color="auto"/>
        <w:bottom w:val="none" w:sz="0" w:space="0" w:color="auto"/>
        <w:right w:val="none" w:sz="0" w:space="0" w:color="auto"/>
      </w:divBdr>
    </w:div>
    <w:div w:id="1524054905">
      <w:bodyDiv w:val="1"/>
      <w:marLeft w:val="0"/>
      <w:marRight w:val="0"/>
      <w:marTop w:val="0"/>
      <w:marBottom w:val="0"/>
      <w:divBdr>
        <w:top w:val="none" w:sz="0" w:space="0" w:color="auto"/>
        <w:left w:val="none" w:sz="0" w:space="0" w:color="auto"/>
        <w:bottom w:val="none" w:sz="0" w:space="0" w:color="auto"/>
        <w:right w:val="none" w:sz="0" w:space="0" w:color="auto"/>
      </w:divBdr>
    </w:div>
    <w:div w:id="1802843609">
      <w:bodyDiv w:val="1"/>
      <w:marLeft w:val="0"/>
      <w:marRight w:val="0"/>
      <w:marTop w:val="0"/>
      <w:marBottom w:val="0"/>
      <w:divBdr>
        <w:top w:val="none" w:sz="0" w:space="0" w:color="auto"/>
        <w:left w:val="none" w:sz="0" w:space="0" w:color="auto"/>
        <w:bottom w:val="none" w:sz="0" w:space="0" w:color="auto"/>
        <w:right w:val="none" w:sz="0" w:space="0" w:color="auto"/>
      </w:divBdr>
    </w:div>
    <w:div w:id="1858612369">
      <w:bodyDiv w:val="1"/>
      <w:marLeft w:val="0"/>
      <w:marRight w:val="0"/>
      <w:marTop w:val="0"/>
      <w:marBottom w:val="0"/>
      <w:divBdr>
        <w:top w:val="none" w:sz="0" w:space="0" w:color="auto"/>
        <w:left w:val="none" w:sz="0" w:space="0" w:color="auto"/>
        <w:bottom w:val="none" w:sz="0" w:space="0" w:color="auto"/>
        <w:right w:val="none" w:sz="0" w:space="0" w:color="auto"/>
      </w:divBdr>
    </w:div>
    <w:div w:id="1864055198">
      <w:bodyDiv w:val="1"/>
      <w:marLeft w:val="0"/>
      <w:marRight w:val="0"/>
      <w:marTop w:val="0"/>
      <w:marBottom w:val="0"/>
      <w:divBdr>
        <w:top w:val="none" w:sz="0" w:space="0" w:color="auto"/>
        <w:left w:val="none" w:sz="0" w:space="0" w:color="auto"/>
        <w:bottom w:val="none" w:sz="0" w:space="0" w:color="auto"/>
        <w:right w:val="none" w:sz="0" w:space="0" w:color="auto"/>
      </w:divBdr>
    </w:div>
    <w:div w:id="1874264375">
      <w:bodyDiv w:val="1"/>
      <w:marLeft w:val="0"/>
      <w:marRight w:val="0"/>
      <w:marTop w:val="0"/>
      <w:marBottom w:val="0"/>
      <w:divBdr>
        <w:top w:val="none" w:sz="0" w:space="0" w:color="auto"/>
        <w:left w:val="none" w:sz="0" w:space="0" w:color="auto"/>
        <w:bottom w:val="none" w:sz="0" w:space="0" w:color="auto"/>
        <w:right w:val="none" w:sz="0" w:space="0" w:color="auto"/>
      </w:divBdr>
    </w:div>
    <w:div w:id="1908345208">
      <w:bodyDiv w:val="1"/>
      <w:marLeft w:val="0"/>
      <w:marRight w:val="0"/>
      <w:marTop w:val="0"/>
      <w:marBottom w:val="0"/>
      <w:divBdr>
        <w:top w:val="none" w:sz="0" w:space="0" w:color="auto"/>
        <w:left w:val="none" w:sz="0" w:space="0" w:color="auto"/>
        <w:bottom w:val="none" w:sz="0" w:space="0" w:color="auto"/>
        <w:right w:val="none" w:sz="0" w:space="0" w:color="auto"/>
      </w:divBdr>
    </w:div>
    <w:div w:id="213093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Jones\Desktop\DM-chart%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DESE-231-44977</_dlc_DocId>
    <_dlc_DocIdUrl xmlns="733efe1c-5bbe-4968-87dc-d400e65c879f">
      <Url>https://sharepoint.doemass.org/ese/webteam/cps/_layouts/DocIdRedir.aspx?ID=DESE-231-44977</Url>
      <Description>DESE-231-44977</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492F2-5DF7-4B9C-97F5-04A1C5817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6C640-8D8C-4755-905C-09958D5A8AE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B817434F-E28F-4178-B6A6-38F1877035AD}">
  <ds:schemaRefs>
    <ds:schemaRef ds:uri="http://schemas.microsoft.com/sharepoint/v3/contenttype/forms"/>
  </ds:schemaRefs>
</ds:datastoreItem>
</file>

<file path=customXml/itemProps4.xml><?xml version="1.0" encoding="utf-8"?>
<ds:datastoreItem xmlns:ds="http://schemas.openxmlformats.org/officeDocument/2006/customXml" ds:itemID="{83C0A560-2D13-4A42-892F-788FB8688AF6}">
  <ds:schemaRefs>
    <ds:schemaRef ds:uri="http://schemas.microsoft.com/sharepoint/events"/>
  </ds:schemaRefs>
</ds:datastoreItem>
</file>

<file path=customXml/itemProps5.xml><?xml version="1.0" encoding="utf-8"?>
<ds:datastoreItem xmlns:ds="http://schemas.openxmlformats.org/officeDocument/2006/customXml" ds:itemID="{9E43B75C-7B22-4A77-8FE6-FD2ACC61C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DM-chart 2.dotx</Template>
  <TotalTime>41</TotalTime>
  <Pages>3</Pages>
  <Words>680</Words>
  <Characters>4095</Characters>
  <Application>Microsoft Office Word</Application>
  <DocSecurity>0</DocSecurity>
  <Lines>136</Lines>
  <Paragraphs>59</Paragraphs>
  <ScaleCrop>false</ScaleCrop>
  <HeadingPairs>
    <vt:vector size="2" baseType="variant">
      <vt:variant>
        <vt:lpstr>Title</vt:lpstr>
      </vt:variant>
      <vt:variant>
        <vt:i4>1</vt:i4>
      </vt:variant>
    </vt:vector>
  </HeadingPairs>
  <TitlesOfParts>
    <vt:vector size="1" baseType="lpstr">
      <vt:lpstr>FFY 2017 (2017-2017) Differentiated Monitoring and Support Engagement Decisions: Massachusetts</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FFY 2017 (2017-2018) Differentiated Monitoring and Support Engagement Decisions: Massachusetts</dc:title>
  <dc:creator>DESE</dc:creator>
  <cp:lastModifiedBy>Zou, Dong (EOE)</cp:lastModifiedBy>
  <cp:revision>8</cp:revision>
  <dcterms:created xsi:type="dcterms:W3CDTF">2017-12-01T13:58:00Z</dcterms:created>
  <dcterms:modified xsi:type="dcterms:W3CDTF">2018-09-14T20:28:00Z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adate">
    <vt:lpwstr>Sep 14 2018</vt:lpwstr>
  </property>
</Properties>
</file>