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38CFB" w14:textId="1DACB7BA" w:rsidR="758DAEAA" w:rsidRPr="00E26EDA" w:rsidRDefault="003F2975" w:rsidP="0031597C">
      <w:pPr>
        <w:pStyle w:val="Heading1"/>
        <w:rPr>
          <w:b/>
          <w:bCs/>
          <w:color w:val="4472C4" w:themeColor="accent1"/>
          <w:lang w:val="es-ES"/>
        </w:rPr>
      </w:pPr>
      <w:r w:rsidRPr="00E26EDA">
        <w:rPr>
          <w:b/>
          <w:bCs/>
          <w:color w:val="4472C4" w:themeColor="accent1"/>
          <w:lang w:val="es"/>
        </w:rPr>
        <w:t>Indicador 1: Tasa de graduación para estudiantes con un IEP</w:t>
      </w:r>
    </w:p>
    <w:p w14:paraId="30C4FD19" w14:textId="600D79E8" w:rsidR="58366C26" w:rsidRPr="00182F44" w:rsidRDefault="003D140A" w:rsidP="00947894">
      <w:pPr>
        <w:spacing w:before="120" w:after="120" w:line="240" w:lineRule="auto"/>
        <w:rPr>
          <w:rFonts w:eastAsiaTheme="minorEastAsia"/>
          <w:b/>
          <w:bCs/>
          <w:sz w:val="24"/>
          <w:szCs w:val="24"/>
          <w:lang w:val="es-ES"/>
        </w:rPr>
      </w:pPr>
      <w:r>
        <w:rPr>
          <w:rFonts w:eastAsiaTheme="minorEastAsia"/>
          <w:b/>
          <w:bCs/>
          <w:sz w:val="24"/>
          <w:szCs w:val="24"/>
          <w:lang w:val="es"/>
        </w:rPr>
        <w:t>¿Qué es el Indicador 1?</w:t>
      </w:r>
    </w:p>
    <w:p w14:paraId="76682EB9" w14:textId="15EA112F" w:rsidR="58366C26" w:rsidRPr="00182F44" w:rsidRDefault="007A109B" w:rsidP="00947894">
      <w:pPr>
        <w:spacing w:before="120" w:after="120" w:line="240" w:lineRule="auto"/>
        <w:rPr>
          <w:rFonts w:eastAsiaTheme="minorEastAsia"/>
          <w:sz w:val="24"/>
          <w:szCs w:val="24"/>
          <w:lang w:val="es-ES"/>
        </w:rPr>
      </w:pPr>
      <w:r>
        <w:rPr>
          <w:rFonts w:eastAsiaTheme="minorEastAsia"/>
          <w:sz w:val="24"/>
          <w:szCs w:val="24"/>
          <w:lang w:val="es"/>
        </w:rPr>
        <w:t>El Indicador 1 informa el porcentaje de estudiantes con un Programa de Educación Individualizado (</w:t>
      </w:r>
      <w:proofErr w:type="spellStart"/>
      <w:r>
        <w:rPr>
          <w:rFonts w:eastAsiaTheme="minorEastAsia"/>
          <w:sz w:val="24"/>
          <w:szCs w:val="24"/>
          <w:lang w:val="es"/>
        </w:rPr>
        <w:t>Individualized</w:t>
      </w:r>
      <w:proofErr w:type="spellEnd"/>
      <w:r>
        <w:rPr>
          <w:rFonts w:eastAsiaTheme="minorEastAsia"/>
          <w:sz w:val="24"/>
          <w:szCs w:val="24"/>
          <w:lang w:val="es"/>
        </w:rPr>
        <w:t xml:space="preserve"> Education </w:t>
      </w:r>
      <w:proofErr w:type="spellStart"/>
      <w:r>
        <w:rPr>
          <w:rFonts w:eastAsiaTheme="minorEastAsia"/>
          <w:sz w:val="24"/>
          <w:szCs w:val="24"/>
          <w:lang w:val="es"/>
        </w:rPr>
        <w:t>Program</w:t>
      </w:r>
      <w:proofErr w:type="spellEnd"/>
      <w:r>
        <w:rPr>
          <w:rFonts w:eastAsiaTheme="minorEastAsia"/>
          <w:sz w:val="24"/>
          <w:szCs w:val="24"/>
          <w:lang w:val="es"/>
        </w:rPr>
        <w:t xml:space="preserve">, IEP) que ya no asisten al sistema de educación de jardín de infantes a 12.º°grado después de recibir un diploma de la escuela secundaria. </w:t>
      </w:r>
    </w:p>
    <w:p w14:paraId="566043E8" w14:textId="2CADCD2A" w:rsidR="0060117C" w:rsidRPr="00182F44" w:rsidRDefault="004F0218" w:rsidP="00947894">
      <w:pPr>
        <w:spacing w:before="120" w:after="120" w:line="240" w:lineRule="auto"/>
        <w:rPr>
          <w:rFonts w:ascii="Calibri" w:eastAsia="Calibri" w:hAnsi="Calibri" w:cs="Arial"/>
          <w:sz w:val="24"/>
          <w:szCs w:val="24"/>
          <w:lang w:val="es-ES"/>
        </w:rPr>
      </w:pPr>
      <w:r>
        <w:rPr>
          <w:rFonts w:ascii="Calibri" w:eastAsia="Calibri" w:hAnsi="Calibri" w:cs="Arial"/>
          <w:sz w:val="24"/>
          <w:szCs w:val="24"/>
          <w:lang w:val="es"/>
        </w:rPr>
        <w:t xml:space="preserve">Los datos para el Indicador 1 provienen del </w:t>
      </w:r>
      <w:hyperlink r:id="rId10" w:history="1">
        <w:r>
          <w:rPr>
            <w:rFonts w:ascii="Calibri" w:eastAsia="Calibri" w:hAnsi="Calibri" w:cs="Arial"/>
            <w:color w:val="0563C1"/>
            <w:sz w:val="24"/>
            <w:szCs w:val="24"/>
            <w:u w:val="single"/>
            <w:lang w:val="es"/>
          </w:rPr>
          <w:t xml:space="preserve">Sistema de Gestión de Información del Estudiante (Student </w:t>
        </w:r>
        <w:proofErr w:type="spellStart"/>
        <w:r>
          <w:rPr>
            <w:rFonts w:ascii="Calibri" w:eastAsia="Calibri" w:hAnsi="Calibri" w:cs="Arial"/>
            <w:color w:val="0563C1"/>
            <w:sz w:val="24"/>
            <w:szCs w:val="24"/>
            <w:u w:val="single"/>
            <w:lang w:val="es"/>
          </w:rPr>
          <w:t>Information</w:t>
        </w:r>
        <w:proofErr w:type="spellEnd"/>
        <w:r>
          <w:rPr>
            <w:rFonts w:ascii="Calibri" w:eastAsia="Calibri" w:hAnsi="Calibri" w:cs="Arial"/>
            <w:color w:val="0563C1"/>
            <w:sz w:val="24"/>
            <w:szCs w:val="24"/>
            <w:u w:val="single"/>
            <w:lang w:val="es"/>
          </w:rPr>
          <w:t xml:space="preserve"> Management </w:t>
        </w:r>
        <w:proofErr w:type="spellStart"/>
        <w:r>
          <w:rPr>
            <w:rFonts w:ascii="Calibri" w:eastAsia="Calibri" w:hAnsi="Calibri" w:cs="Arial"/>
            <w:color w:val="0563C1"/>
            <w:sz w:val="24"/>
            <w:szCs w:val="24"/>
            <w:u w:val="single"/>
            <w:lang w:val="es"/>
          </w:rPr>
          <w:t>System</w:t>
        </w:r>
        <w:proofErr w:type="spellEnd"/>
        <w:r>
          <w:rPr>
            <w:rFonts w:ascii="Calibri" w:eastAsia="Calibri" w:hAnsi="Calibri" w:cs="Arial"/>
            <w:color w:val="0563C1"/>
            <w:sz w:val="24"/>
            <w:szCs w:val="24"/>
            <w:u w:val="single"/>
            <w:lang w:val="es"/>
          </w:rPr>
          <w:t>, SIMS)</w:t>
        </w:r>
      </w:hyperlink>
      <w:r>
        <w:rPr>
          <w:rFonts w:ascii="Calibri" w:eastAsia="Calibri" w:hAnsi="Calibri" w:cs="Arial"/>
          <w:sz w:val="24"/>
          <w:szCs w:val="24"/>
          <w:lang w:val="es"/>
        </w:rPr>
        <w:t xml:space="preserve"> del Departamento de Educación Primaria y Secundaria (</w:t>
      </w:r>
      <w:proofErr w:type="spellStart"/>
      <w:r>
        <w:rPr>
          <w:rFonts w:ascii="Calibri" w:eastAsia="Calibri" w:hAnsi="Calibri" w:cs="Arial"/>
          <w:sz w:val="24"/>
          <w:szCs w:val="24"/>
          <w:lang w:val="es"/>
        </w:rPr>
        <w:t>Department</w:t>
      </w:r>
      <w:proofErr w:type="spellEnd"/>
      <w:r>
        <w:rPr>
          <w:rFonts w:ascii="Calibri" w:eastAsia="Calibri" w:hAnsi="Calibri" w:cs="Arial"/>
          <w:sz w:val="24"/>
          <w:szCs w:val="24"/>
          <w:lang w:val="es"/>
        </w:rPr>
        <w:t xml:space="preserve"> of Elementary and Secondary Education).</w:t>
      </w:r>
    </w:p>
    <w:p w14:paraId="73869951" w14:textId="77777777" w:rsidR="00344B30" w:rsidRPr="00182F44" w:rsidRDefault="00344B30" w:rsidP="00947894">
      <w:pPr>
        <w:spacing w:before="120" w:after="120" w:line="240" w:lineRule="auto"/>
        <w:rPr>
          <w:rFonts w:eastAsiaTheme="minorEastAsia"/>
          <w:b/>
          <w:bCs/>
          <w:sz w:val="24"/>
          <w:szCs w:val="24"/>
          <w:lang w:val="es-ES"/>
        </w:rPr>
      </w:pPr>
      <w:r>
        <w:rPr>
          <w:rFonts w:eastAsiaTheme="minorEastAsia"/>
          <w:b/>
          <w:bCs/>
          <w:sz w:val="24"/>
          <w:szCs w:val="24"/>
          <w:lang w:val="es"/>
        </w:rPr>
        <w:t>¿Por qué el Indicador 1 es importante?</w:t>
      </w:r>
    </w:p>
    <w:p w14:paraId="67417FA6" w14:textId="31059125" w:rsidR="00344B30" w:rsidRPr="00182F44" w:rsidRDefault="00344B30" w:rsidP="00947894">
      <w:pPr>
        <w:spacing w:before="120" w:after="120" w:line="240" w:lineRule="auto"/>
        <w:rPr>
          <w:rFonts w:eastAsiaTheme="minorEastAsia"/>
          <w:sz w:val="24"/>
          <w:szCs w:val="24"/>
          <w:lang w:val="es-ES"/>
        </w:rPr>
      </w:pPr>
      <w:bookmarkStart w:id="0" w:name="_Hlk82246770"/>
      <w:r>
        <w:rPr>
          <w:rFonts w:eastAsiaTheme="minorEastAsia"/>
          <w:sz w:val="24"/>
          <w:szCs w:val="24"/>
          <w:lang w:val="es"/>
        </w:rPr>
        <w:t>El Indicador 1 es una forma de evaluar si Massachusetts está cumpliendo su objetivo de preparar a todos los estudiantes para que tengan éxito después de la escuela secundaria en la educación superior, el trabajo y la vida diaria.</w:t>
      </w:r>
    </w:p>
    <w:bookmarkEnd w:id="0"/>
    <w:p w14:paraId="27733E4C" w14:textId="0DB4AC45" w:rsidR="007A109B" w:rsidRPr="00182F44" w:rsidRDefault="007A109B" w:rsidP="00947894">
      <w:pPr>
        <w:spacing w:before="120" w:after="120" w:line="240" w:lineRule="auto"/>
        <w:rPr>
          <w:rFonts w:eastAsiaTheme="minorEastAsia"/>
          <w:b/>
          <w:bCs/>
          <w:sz w:val="24"/>
          <w:szCs w:val="24"/>
          <w:lang w:val="es-ES"/>
        </w:rPr>
      </w:pPr>
      <w:r>
        <w:rPr>
          <w:rFonts w:eastAsiaTheme="minorEastAsia"/>
          <w:b/>
          <w:bCs/>
          <w:sz w:val="24"/>
          <w:szCs w:val="24"/>
          <w:lang w:val="es"/>
        </w:rPr>
        <w:t xml:space="preserve">Cambios en el informe del Indicador 1 </w:t>
      </w:r>
    </w:p>
    <w:p w14:paraId="0658E608" w14:textId="40CFD145" w:rsidR="007A109B" w:rsidRPr="00182F44" w:rsidRDefault="007A109B" w:rsidP="00947894">
      <w:pPr>
        <w:spacing w:before="120" w:after="120" w:line="240" w:lineRule="auto"/>
        <w:rPr>
          <w:rFonts w:eastAsiaTheme="minorEastAsia"/>
          <w:sz w:val="24"/>
          <w:szCs w:val="24"/>
          <w:lang w:val="es-ES"/>
        </w:rPr>
      </w:pPr>
      <w:r>
        <w:rPr>
          <w:rFonts w:eastAsiaTheme="minorEastAsia"/>
          <w:sz w:val="24"/>
          <w:szCs w:val="24"/>
          <w:lang w:val="es"/>
        </w:rPr>
        <w:t xml:space="preserve">En el pasado, el Indicador 1 informaba el porcentaje de estudiantes con un IEP que recibieron un diploma de escuela secundaria en función de la cantidad total de estudiantes con un IEP </w:t>
      </w:r>
      <w:r>
        <w:rPr>
          <w:rFonts w:eastAsiaTheme="minorEastAsia"/>
          <w:i/>
          <w:iCs/>
          <w:sz w:val="24"/>
          <w:szCs w:val="24"/>
          <w:lang w:val="es"/>
        </w:rPr>
        <w:t>que comenzaron juntos la escuela en 9.º grado</w:t>
      </w:r>
      <w:r>
        <w:rPr>
          <w:rFonts w:eastAsiaTheme="minorEastAsia"/>
          <w:sz w:val="24"/>
          <w:szCs w:val="24"/>
          <w:lang w:val="es"/>
        </w:rPr>
        <w:t xml:space="preserve">. </w:t>
      </w:r>
    </w:p>
    <w:p w14:paraId="7B54421F" w14:textId="0D0D6729" w:rsidR="00F942EA" w:rsidRPr="00182F44" w:rsidRDefault="00DD567F" w:rsidP="00947894">
      <w:pPr>
        <w:spacing w:before="120" w:after="120" w:line="240" w:lineRule="auto"/>
        <w:rPr>
          <w:rFonts w:eastAsiaTheme="minorEastAsia"/>
          <w:sz w:val="24"/>
          <w:szCs w:val="24"/>
          <w:lang w:val="es-ES"/>
        </w:rPr>
      </w:pPr>
      <w:r>
        <w:rPr>
          <w:rFonts w:eastAsiaTheme="minorEastAsia"/>
          <w:sz w:val="24"/>
          <w:szCs w:val="24"/>
          <w:lang w:val="es"/>
        </w:rPr>
        <w:t xml:space="preserve">A partir del año escolar 2020-2021, la Oficina de Programas de Educación Especial (Office of Special Education Programs, OSEP) de los EE. UU. exige que el Indicador 1 base su porcentaje en la cantidad total de estudiantes con un IEP </w:t>
      </w:r>
      <w:r>
        <w:rPr>
          <w:rFonts w:eastAsiaTheme="minorEastAsia"/>
          <w:i/>
          <w:iCs/>
          <w:sz w:val="24"/>
          <w:szCs w:val="24"/>
          <w:lang w:val="es"/>
        </w:rPr>
        <w:t>que dejaron de asistir a la escuela secundaria en el año de informe.</w:t>
      </w:r>
      <w:r>
        <w:rPr>
          <w:rFonts w:eastAsiaTheme="minorEastAsia"/>
          <w:sz w:val="24"/>
          <w:szCs w:val="24"/>
          <w:lang w:val="es"/>
        </w:rPr>
        <w:t xml:space="preserve"> Las tasas de graduación informadas en la siguiente tabla se han recalculado a partir del nuevo requisito de medida de la OSEP para que podamos revisar los datos anuales usando la misma medida para cada año.</w:t>
      </w:r>
      <w:r w:rsidR="00182F44">
        <w:rPr>
          <w:rFonts w:eastAsiaTheme="minorEastAsia"/>
          <w:sz w:val="24"/>
          <w:szCs w:val="24"/>
          <w:lang w:val="es"/>
        </w:rPr>
        <w:t xml:space="preserve"> </w:t>
      </w:r>
    </w:p>
    <w:p w14:paraId="21C5F6F9" w14:textId="22551944" w:rsidR="000D5654" w:rsidRPr="00182F44" w:rsidRDefault="000D5654" w:rsidP="00947894">
      <w:pPr>
        <w:spacing w:before="120" w:after="120" w:line="240" w:lineRule="auto"/>
        <w:rPr>
          <w:rFonts w:eastAsiaTheme="minorEastAsia"/>
          <w:b/>
          <w:bCs/>
          <w:sz w:val="24"/>
          <w:szCs w:val="24"/>
          <w:lang w:val="es-ES"/>
        </w:rPr>
      </w:pPr>
      <w:r>
        <w:rPr>
          <w:rFonts w:eastAsiaTheme="minorEastAsia"/>
          <w:b/>
          <w:bCs/>
          <w:sz w:val="24"/>
          <w:szCs w:val="24"/>
          <w:lang w:val="es"/>
        </w:rPr>
        <w:t>Tasas de graduación para estudiantes con un IEP</w:t>
      </w:r>
      <w:r>
        <w:rPr>
          <w:rFonts w:eastAsiaTheme="minorEastAsia"/>
          <w:sz w:val="24"/>
          <w:szCs w:val="24"/>
          <w:lang w:val="es"/>
        </w:rPr>
        <w:t xml:space="preserve"> </w:t>
      </w:r>
    </w:p>
    <w:tbl>
      <w:tblPr>
        <w:tblStyle w:val="TableGrid"/>
        <w:tblW w:w="0" w:type="auto"/>
        <w:tblLayout w:type="fixed"/>
        <w:tblLook w:val="04A0" w:firstRow="1" w:lastRow="0" w:firstColumn="1" w:lastColumn="0" w:noHBand="0" w:noVBand="1"/>
      </w:tblPr>
      <w:tblGrid>
        <w:gridCol w:w="1560"/>
        <w:gridCol w:w="1560"/>
        <w:gridCol w:w="1560"/>
        <w:gridCol w:w="1560"/>
        <w:gridCol w:w="1560"/>
      </w:tblGrid>
      <w:tr w:rsidR="005F243C" w:rsidRPr="00991BA3" w14:paraId="7122FBDD" w14:textId="77777777" w:rsidTr="00157DF3">
        <w:tc>
          <w:tcPr>
            <w:tcW w:w="1560" w:type="dxa"/>
          </w:tcPr>
          <w:p w14:paraId="21943490"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lang w:val="es"/>
              </w:rPr>
              <w:t>2016</w:t>
            </w:r>
          </w:p>
        </w:tc>
        <w:tc>
          <w:tcPr>
            <w:tcW w:w="1560" w:type="dxa"/>
          </w:tcPr>
          <w:p w14:paraId="4DB1383A"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lang w:val="es"/>
              </w:rPr>
              <w:t>2017</w:t>
            </w:r>
          </w:p>
        </w:tc>
        <w:tc>
          <w:tcPr>
            <w:tcW w:w="1560" w:type="dxa"/>
          </w:tcPr>
          <w:p w14:paraId="22C6E097"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lang w:val="es"/>
              </w:rPr>
              <w:t>2018</w:t>
            </w:r>
          </w:p>
        </w:tc>
        <w:tc>
          <w:tcPr>
            <w:tcW w:w="1560" w:type="dxa"/>
          </w:tcPr>
          <w:p w14:paraId="42A2BA53"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lang w:val="es"/>
              </w:rPr>
              <w:t>2019</w:t>
            </w:r>
          </w:p>
        </w:tc>
        <w:tc>
          <w:tcPr>
            <w:tcW w:w="1560" w:type="dxa"/>
          </w:tcPr>
          <w:p w14:paraId="77D2E834" w14:textId="77777777" w:rsidR="005F243C" w:rsidRPr="00991BA3" w:rsidRDefault="005F243C" w:rsidP="00947894">
            <w:pPr>
              <w:spacing w:before="120" w:after="120"/>
              <w:rPr>
                <w:rFonts w:ascii="Calibri" w:eastAsia="Calibri" w:hAnsi="Calibri" w:cs="Calibri"/>
                <w:b/>
                <w:bCs/>
                <w:sz w:val="24"/>
                <w:szCs w:val="24"/>
              </w:rPr>
            </w:pPr>
            <w:r>
              <w:rPr>
                <w:rFonts w:ascii="Calibri" w:eastAsia="Calibri" w:hAnsi="Calibri" w:cs="Calibri"/>
                <w:b/>
                <w:bCs/>
                <w:sz w:val="24"/>
                <w:szCs w:val="24"/>
                <w:lang w:val="es"/>
              </w:rPr>
              <w:t>2020</w:t>
            </w:r>
          </w:p>
        </w:tc>
      </w:tr>
      <w:tr w:rsidR="005F243C" w:rsidRPr="00991BA3" w14:paraId="3734C346" w14:textId="77777777" w:rsidTr="00157DF3">
        <w:tc>
          <w:tcPr>
            <w:tcW w:w="1560" w:type="dxa"/>
          </w:tcPr>
          <w:p w14:paraId="3D1DE88F" w14:textId="77777777" w:rsidR="005F243C" w:rsidRPr="00991BA3" w:rsidRDefault="005F243C" w:rsidP="00947894">
            <w:pPr>
              <w:spacing w:before="120" w:after="120"/>
              <w:rPr>
                <w:sz w:val="24"/>
                <w:szCs w:val="24"/>
              </w:rPr>
            </w:pPr>
            <w:r>
              <w:rPr>
                <w:rFonts w:ascii="Calibri" w:eastAsia="Calibri" w:hAnsi="Calibri" w:cs="Calibri"/>
                <w:sz w:val="24"/>
                <w:szCs w:val="24"/>
                <w:lang w:val="es"/>
              </w:rPr>
              <w:t xml:space="preserve"> 74.62 %</w:t>
            </w:r>
          </w:p>
        </w:tc>
        <w:tc>
          <w:tcPr>
            <w:tcW w:w="1560" w:type="dxa"/>
          </w:tcPr>
          <w:p w14:paraId="3F6F85F9" w14:textId="77777777" w:rsidR="005F243C" w:rsidRPr="00991BA3" w:rsidRDefault="005F243C" w:rsidP="00947894">
            <w:pPr>
              <w:spacing w:before="120" w:after="120"/>
              <w:rPr>
                <w:sz w:val="24"/>
                <w:szCs w:val="24"/>
              </w:rPr>
            </w:pPr>
            <w:r>
              <w:rPr>
                <w:rFonts w:ascii="Calibri" w:eastAsia="Calibri" w:hAnsi="Calibri" w:cs="Calibri"/>
                <w:sz w:val="24"/>
                <w:szCs w:val="24"/>
                <w:lang w:val="es"/>
              </w:rPr>
              <w:t xml:space="preserve">74.02 % </w:t>
            </w:r>
          </w:p>
        </w:tc>
        <w:tc>
          <w:tcPr>
            <w:tcW w:w="1560" w:type="dxa"/>
          </w:tcPr>
          <w:p w14:paraId="34737AFF" w14:textId="77777777" w:rsidR="005F243C" w:rsidRPr="00991BA3" w:rsidRDefault="005F243C" w:rsidP="00947894">
            <w:pPr>
              <w:spacing w:before="120" w:after="120"/>
              <w:rPr>
                <w:rFonts w:ascii="Calibri" w:eastAsia="Calibri" w:hAnsi="Calibri" w:cs="Calibri"/>
                <w:sz w:val="24"/>
                <w:szCs w:val="24"/>
              </w:rPr>
            </w:pPr>
            <w:r>
              <w:rPr>
                <w:rFonts w:ascii="Calibri" w:eastAsia="Calibri" w:hAnsi="Calibri" w:cs="Calibri"/>
                <w:sz w:val="24"/>
                <w:szCs w:val="24"/>
                <w:lang w:val="es"/>
              </w:rPr>
              <w:t>74.73 %</w:t>
            </w:r>
          </w:p>
        </w:tc>
        <w:tc>
          <w:tcPr>
            <w:tcW w:w="1560" w:type="dxa"/>
          </w:tcPr>
          <w:p w14:paraId="4D4264CC" w14:textId="77777777" w:rsidR="005F243C" w:rsidRPr="00991BA3" w:rsidRDefault="005F243C" w:rsidP="00947894">
            <w:pPr>
              <w:spacing w:before="120" w:after="120"/>
              <w:rPr>
                <w:rFonts w:ascii="Calibri" w:eastAsia="Calibri" w:hAnsi="Calibri" w:cs="Calibri"/>
                <w:sz w:val="24"/>
                <w:szCs w:val="24"/>
              </w:rPr>
            </w:pPr>
            <w:r>
              <w:rPr>
                <w:rFonts w:ascii="Calibri" w:eastAsia="Calibri" w:hAnsi="Calibri" w:cs="Calibri"/>
                <w:sz w:val="24"/>
                <w:szCs w:val="24"/>
                <w:lang w:val="es"/>
              </w:rPr>
              <w:t>76.33 %</w:t>
            </w:r>
          </w:p>
        </w:tc>
        <w:tc>
          <w:tcPr>
            <w:tcW w:w="1560" w:type="dxa"/>
          </w:tcPr>
          <w:p w14:paraId="0721CFFD" w14:textId="77777777" w:rsidR="005F243C" w:rsidRPr="00991BA3" w:rsidRDefault="005F243C" w:rsidP="00947894">
            <w:pPr>
              <w:spacing w:before="120" w:after="120"/>
              <w:rPr>
                <w:rFonts w:ascii="Calibri" w:eastAsia="Calibri" w:hAnsi="Calibri" w:cs="Calibri"/>
                <w:sz w:val="24"/>
                <w:szCs w:val="24"/>
              </w:rPr>
            </w:pPr>
            <w:r>
              <w:rPr>
                <w:rFonts w:ascii="Calibri" w:eastAsia="Calibri" w:hAnsi="Calibri" w:cs="Calibri"/>
                <w:sz w:val="24"/>
                <w:szCs w:val="24"/>
                <w:lang w:val="es"/>
              </w:rPr>
              <w:t>80.36 %</w:t>
            </w:r>
          </w:p>
        </w:tc>
      </w:tr>
    </w:tbl>
    <w:p w14:paraId="25C93CDA" w14:textId="684D471D" w:rsidR="002110AA" w:rsidRPr="00A03935" w:rsidRDefault="005249B8" w:rsidP="00947894">
      <w:pPr>
        <w:spacing w:before="120" w:after="120" w:line="240" w:lineRule="auto"/>
        <w:rPr>
          <w:rFonts w:eastAsiaTheme="minorEastAsia"/>
          <w:b/>
          <w:bCs/>
          <w:sz w:val="24"/>
          <w:szCs w:val="24"/>
        </w:rPr>
      </w:pPr>
      <w:r>
        <w:rPr>
          <w:rFonts w:eastAsiaTheme="minorEastAsia"/>
          <w:b/>
          <w:bCs/>
          <w:sz w:val="24"/>
          <w:szCs w:val="24"/>
          <w:lang w:val="es"/>
        </w:rPr>
        <w:t>Medida del Indicador 1</w:t>
      </w:r>
      <w:r w:rsidR="00182F44">
        <w:rPr>
          <w:rFonts w:eastAsiaTheme="minorEastAsia"/>
          <w:b/>
          <w:bCs/>
          <w:sz w:val="24"/>
          <w:szCs w:val="24"/>
          <w:lang w:val="es"/>
        </w:rPr>
        <w:t xml:space="preserve">       </w:t>
      </w:r>
    </w:p>
    <w:p w14:paraId="39E834BE" w14:textId="6C1158B0" w:rsidR="00AD0312" w:rsidRPr="00922362" w:rsidRDefault="009E3C64" w:rsidP="00947894">
      <w:pPr>
        <w:spacing w:before="120" w:after="120" w:line="240" w:lineRule="auto"/>
        <w:rPr>
          <w:rFonts w:eastAsiaTheme="minorEastAsia"/>
          <w:sz w:val="24"/>
          <w:szCs w:val="24"/>
          <w:lang w:val="es-ES"/>
        </w:rPr>
      </w:pPr>
      <w:bookmarkStart w:id="1" w:name="_Hlk82243299"/>
      <w:r>
        <w:rPr>
          <w:sz w:val="24"/>
          <w:szCs w:val="24"/>
          <w:lang w:val="es"/>
        </w:rPr>
        <w:t>Los porcentajes que se muestran en la tabla de arriba representan la cantidad de estudiantes de entre 14 y 21 años con un IEP que se graduaron con un diploma tradicional de la escuela secundaria dividida por la cantidad de estudiantes de entre 14 y 21 años con un IEP que dejaron de asistir a la escuela secundaria. “Dejó de asistir a la escuela secundaria” significa que el estudiante:</w:t>
      </w:r>
      <w:r w:rsidR="00182F44">
        <w:rPr>
          <w:sz w:val="24"/>
          <w:szCs w:val="24"/>
          <w:lang w:val="es"/>
        </w:rPr>
        <w:t xml:space="preserve"> </w:t>
      </w:r>
    </w:p>
    <w:bookmarkEnd w:id="1"/>
    <w:p w14:paraId="1C3C40C1" w14:textId="54559087" w:rsidR="00AD0312" w:rsidRPr="00922362" w:rsidRDefault="00AD0312" w:rsidP="00947894">
      <w:pPr>
        <w:spacing w:before="120" w:after="120" w:line="240" w:lineRule="auto"/>
        <w:rPr>
          <w:rFonts w:eastAsiaTheme="minorEastAsia"/>
          <w:sz w:val="24"/>
          <w:szCs w:val="24"/>
          <w:lang w:val="es-ES"/>
        </w:rPr>
      </w:pPr>
      <w:r>
        <w:rPr>
          <w:rFonts w:eastAsiaTheme="minorEastAsia"/>
          <w:sz w:val="24"/>
          <w:szCs w:val="24"/>
          <w:lang w:val="es"/>
        </w:rPr>
        <w:t>(a) Se graduó con un diploma tradicional de la escuela secundaria.</w:t>
      </w:r>
    </w:p>
    <w:p w14:paraId="4E8CFCE3" w14:textId="520833D2" w:rsidR="00AD0312" w:rsidRPr="00922362" w:rsidRDefault="00581D40" w:rsidP="00947894">
      <w:pPr>
        <w:spacing w:before="120" w:after="120" w:line="240" w:lineRule="auto"/>
        <w:rPr>
          <w:rFonts w:eastAsiaTheme="minorEastAsia"/>
          <w:sz w:val="24"/>
          <w:szCs w:val="24"/>
          <w:lang w:val="es-ES"/>
        </w:rPr>
      </w:pPr>
      <w:bookmarkStart w:id="2" w:name="_Hlk82243316"/>
      <w:r>
        <w:rPr>
          <w:rFonts w:eastAsiaTheme="minorEastAsia"/>
          <w:sz w:val="24"/>
          <w:szCs w:val="24"/>
          <w:lang w:val="es"/>
        </w:rPr>
        <w:t>(b) Se graduó en una escuela secundaria pública de Massachusetts.</w:t>
      </w:r>
    </w:p>
    <w:bookmarkEnd w:id="2"/>
    <w:p w14:paraId="11CE62F7" w14:textId="27191718" w:rsidR="00AD0312" w:rsidRPr="00922362" w:rsidRDefault="00AD0312" w:rsidP="00947894">
      <w:pPr>
        <w:spacing w:before="120" w:after="120" w:line="240" w:lineRule="auto"/>
        <w:rPr>
          <w:rFonts w:eastAsiaTheme="minorEastAsia"/>
          <w:sz w:val="24"/>
          <w:szCs w:val="24"/>
          <w:lang w:val="es-ES"/>
        </w:rPr>
      </w:pPr>
      <w:r>
        <w:rPr>
          <w:rFonts w:eastAsiaTheme="minorEastAsia"/>
          <w:sz w:val="24"/>
          <w:szCs w:val="24"/>
          <w:lang w:val="es"/>
        </w:rPr>
        <w:t>(c) Recibió un certificado.</w:t>
      </w:r>
    </w:p>
    <w:p w14:paraId="35B750AF" w14:textId="07CA65C3" w:rsidR="00AD0312" w:rsidRPr="00922362" w:rsidRDefault="00AD0312" w:rsidP="00947894">
      <w:pPr>
        <w:spacing w:before="120" w:after="120" w:line="240" w:lineRule="auto"/>
        <w:rPr>
          <w:rFonts w:eastAsiaTheme="minorEastAsia"/>
          <w:sz w:val="24"/>
          <w:szCs w:val="24"/>
          <w:lang w:val="es-ES"/>
        </w:rPr>
      </w:pPr>
      <w:r>
        <w:rPr>
          <w:rFonts w:eastAsiaTheme="minorEastAsia"/>
          <w:sz w:val="24"/>
          <w:szCs w:val="24"/>
          <w:lang w:val="es"/>
        </w:rPr>
        <w:lastRenderedPageBreak/>
        <w:t>(d) Alcanzó la edad máxima.</w:t>
      </w:r>
    </w:p>
    <w:p w14:paraId="6C3312D3" w14:textId="54363E3F" w:rsidR="5972FE5C" w:rsidRPr="00922362" w:rsidRDefault="00AD0312" w:rsidP="13561E68">
      <w:pPr>
        <w:spacing w:before="120" w:after="120" w:line="240" w:lineRule="auto"/>
        <w:rPr>
          <w:rFonts w:eastAsiaTheme="minorEastAsia"/>
          <w:sz w:val="24"/>
          <w:szCs w:val="24"/>
          <w:lang w:val="es-ES"/>
        </w:rPr>
      </w:pPr>
      <w:r>
        <w:rPr>
          <w:rFonts w:eastAsiaTheme="minorEastAsia"/>
          <w:sz w:val="24"/>
          <w:szCs w:val="24"/>
          <w:lang w:val="es"/>
        </w:rPr>
        <w:t>(e) Abandonó sus estudios.</w:t>
      </w:r>
    </w:p>
    <w:p w14:paraId="5BCC1237" w14:textId="3BD2A060" w:rsidR="00925B1D" w:rsidRPr="00922362" w:rsidRDefault="000F5377" w:rsidP="00947894">
      <w:pPr>
        <w:spacing w:before="120" w:after="120" w:line="240" w:lineRule="auto"/>
        <w:contextualSpacing/>
        <w:rPr>
          <w:rFonts w:cstheme="minorHAnsi"/>
          <w:b/>
          <w:bCs/>
          <w:sz w:val="24"/>
          <w:szCs w:val="24"/>
          <w:lang w:val="es-ES"/>
        </w:rPr>
      </w:pPr>
      <w:hyperlink r:id="rId11" w:history="1">
        <w:r w:rsidR="00AE694C">
          <w:rPr>
            <w:rStyle w:val="Hyperlink"/>
            <w:rFonts w:cstheme="minorHAnsi"/>
            <w:b/>
            <w:bCs/>
            <w:sz w:val="24"/>
            <w:szCs w:val="24"/>
            <w:lang w:val="es"/>
          </w:rPr>
          <w:t>Para recibir un diploma</w:t>
        </w:r>
      </w:hyperlink>
      <w:r w:rsidR="00AE694C">
        <w:rPr>
          <w:rFonts w:cstheme="minorHAnsi"/>
          <w:b/>
          <w:bCs/>
          <w:sz w:val="24"/>
          <w:szCs w:val="24"/>
          <w:lang w:val="es"/>
        </w:rPr>
        <w:t xml:space="preserve"> de una escuela secundaria pública de Massachusetts, un estudiante con un IEP tiene estos requisitos:</w:t>
      </w:r>
    </w:p>
    <w:p w14:paraId="6AC0B9E2" w14:textId="030FACA0" w:rsidR="00C45504" w:rsidRPr="00922362" w:rsidRDefault="007920DA" w:rsidP="00947894">
      <w:pPr>
        <w:pStyle w:val="ListParagraph"/>
        <w:numPr>
          <w:ilvl w:val="0"/>
          <w:numId w:val="3"/>
        </w:numPr>
        <w:spacing w:before="120" w:after="120"/>
        <w:rPr>
          <w:rFonts w:asciiTheme="minorHAnsi" w:hAnsiTheme="minorHAnsi" w:cstheme="minorHAnsi"/>
          <w:lang w:val="es-ES"/>
        </w:rPr>
      </w:pPr>
      <w:r>
        <w:rPr>
          <w:rFonts w:asciiTheme="minorHAnsi" w:hAnsiTheme="minorHAnsi" w:cstheme="minorHAnsi"/>
          <w:lang w:val="es"/>
        </w:rPr>
        <w:t>Debe obtener una Determinación de Competencia (</w:t>
      </w:r>
      <w:proofErr w:type="spellStart"/>
      <w:r>
        <w:rPr>
          <w:rFonts w:asciiTheme="minorHAnsi" w:hAnsiTheme="minorHAnsi" w:cstheme="minorHAnsi"/>
          <w:lang w:val="es"/>
        </w:rPr>
        <w:t>Competency</w:t>
      </w:r>
      <w:proofErr w:type="spellEnd"/>
      <w:r>
        <w:rPr>
          <w:rFonts w:asciiTheme="minorHAnsi" w:hAnsiTheme="minorHAnsi" w:cstheme="minorHAnsi"/>
          <w:lang w:val="es"/>
        </w:rPr>
        <w:t xml:space="preserve"> </w:t>
      </w:r>
      <w:proofErr w:type="spellStart"/>
      <w:r>
        <w:rPr>
          <w:rFonts w:asciiTheme="minorHAnsi" w:hAnsiTheme="minorHAnsi" w:cstheme="minorHAnsi"/>
          <w:lang w:val="es"/>
        </w:rPr>
        <w:t>Determination</w:t>
      </w:r>
      <w:proofErr w:type="spellEnd"/>
      <w:r>
        <w:rPr>
          <w:rFonts w:asciiTheme="minorHAnsi" w:hAnsiTheme="minorHAnsi" w:cstheme="minorHAnsi"/>
          <w:lang w:val="es"/>
        </w:rPr>
        <w:t xml:space="preserve">, CD), lo que significa alcanzar un nivel específico de dominio en las evaluaciones estatales de 10.º grado de Lengua y Literatura Inglesa (English Language </w:t>
      </w:r>
      <w:proofErr w:type="spellStart"/>
      <w:r>
        <w:rPr>
          <w:rFonts w:asciiTheme="minorHAnsi" w:hAnsiTheme="minorHAnsi" w:cstheme="minorHAnsi"/>
          <w:lang w:val="es"/>
        </w:rPr>
        <w:t>Arts</w:t>
      </w:r>
      <w:proofErr w:type="spellEnd"/>
      <w:r>
        <w:rPr>
          <w:rFonts w:asciiTheme="minorHAnsi" w:hAnsiTheme="minorHAnsi" w:cstheme="minorHAnsi"/>
          <w:lang w:val="es"/>
        </w:rPr>
        <w:t>, ELA), Matemáticas y Ciencias, Tecnología e Ingeniería (</w:t>
      </w:r>
      <w:proofErr w:type="spellStart"/>
      <w:r>
        <w:rPr>
          <w:rFonts w:asciiTheme="minorHAnsi" w:hAnsiTheme="minorHAnsi" w:cstheme="minorHAnsi"/>
          <w:lang w:val="es"/>
        </w:rPr>
        <w:t>Science</w:t>
      </w:r>
      <w:proofErr w:type="spellEnd"/>
      <w:r>
        <w:rPr>
          <w:rFonts w:asciiTheme="minorHAnsi" w:hAnsiTheme="minorHAnsi" w:cstheme="minorHAnsi"/>
          <w:lang w:val="es"/>
        </w:rPr>
        <w:t xml:space="preserve">, Technology, and </w:t>
      </w:r>
      <w:proofErr w:type="spellStart"/>
      <w:r>
        <w:rPr>
          <w:rFonts w:asciiTheme="minorHAnsi" w:hAnsiTheme="minorHAnsi" w:cstheme="minorHAnsi"/>
          <w:lang w:val="es"/>
        </w:rPr>
        <w:t>Engineering</w:t>
      </w:r>
      <w:proofErr w:type="spellEnd"/>
      <w:r>
        <w:rPr>
          <w:rFonts w:asciiTheme="minorHAnsi" w:hAnsiTheme="minorHAnsi" w:cstheme="minorHAnsi"/>
          <w:lang w:val="es"/>
        </w:rPr>
        <w:t xml:space="preserve">, STE), administradas a través del Sistema de Evaluación Integral de Massachusetts (Massachusetts </w:t>
      </w:r>
      <w:proofErr w:type="spellStart"/>
      <w:r>
        <w:rPr>
          <w:rFonts w:asciiTheme="minorHAnsi" w:hAnsiTheme="minorHAnsi" w:cstheme="minorHAnsi"/>
          <w:lang w:val="es"/>
        </w:rPr>
        <w:t>Comprehensive</w:t>
      </w:r>
      <w:proofErr w:type="spellEnd"/>
      <w:r>
        <w:rPr>
          <w:rFonts w:asciiTheme="minorHAnsi" w:hAnsiTheme="minorHAnsi" w:cstheme="minorHAnsi"/>
          <w:lang w:val="es"/>
        </w:rPr>
        <w:t xml:space="preserve"> </w:t>
      </w:r>
      <w:proofErr w:type="spellStart"/>
      <w:r>
        <w:rPr>
          <w:rFonts w:asciiTheme="minorHAnsi" w:hAnsiTheme="minorHAnsi" w:cstheme="minorHAnsi"/>
          <w:lang w:val="es"/>
        </w:rPr>
        <w:t>Assessment</w:t>
      </w:r>
      <w:proofErr w:type="spellEnd"/>
      <w:r>
        <w:rPr>
          <w:rFonts w:asciiTheme="minorHAnsi" w:hAnsiTheme="minorHAnsi" w:cstheme="minorHAnsi"/>
          <w:lang w:val="es"/>
        </w:rPr>
        <w:t xml:space="preserve"> </w:t>
      </w:r>
      <w:proofErr w:type="spellStart"/>
      <w:r>
        <w:rPr>
          <w:rFonts w:asciiTheme="minorHAnsi" w:hAnsiTheme="minorHAnsi" w:cstheme="minorHAnsi"/>
          <w:lang w:val="es"/>
        </w:rPr>
        <w:t>System</w:t>
      </w:r>
      <w:proofErr w:type="spellEnd"/>
      <w:r>
        <w:rPr>
          <w:rFonts w:asciiTheme="minorHAnsi" w:hAnsiTheme="minorHAnsi" w:cstheme="minorHAnsi"/>
          <w:lang w:val="es"/>
        </w:rPr>
        <w:t xml:space="preserve">, MCAS) o MCAS-Alt para los estudiantes que necesitan un modo alternativo de evaluación. </w:t>
      </w:r>
    </w:p>
    <w:p w14:paraId="164804AA" w14:textId="5575012C" w:rsidR="00C45504" w:rsidRPr="00922362" w:rsidRDefault="007920DA" w:rsidP="00947894">
      <w:pPr>
        <w:pStyle w:val="ListParagraph"/>
        <w:numPr>
          <w:ilvl w:val="0"/>
          <w:numId w:val="3"/>
        </w:numPr>
        <w:spacing w:before="120" w:after="120"/>
        <w:rPr>
          <w:rFonts w:asciiTheme="minorHAnsi" w:hAnsiTheme="minorHAnsi" w:cstheme="minorHAnsi"/>
          <w:lang w:val="es-ES"/>
        </w:rPr>
      </w:pPr>
      <w:r>
        <w:rPr>
          <w:rFonts w:asciiTheme="minorHAnsi" w:hAnsiTheme="minorHAnsi" w:cstheme="minorHAnsi"/>
          <w:lang w:val="es"/>
        </w:rPr>
        <w:t xml:space="preserve">Debe cumplir con los requisitos locales de graduación del distrito que otorga el diploma. </w:t>
      </w:r>
    </w:p>
    <w:p w14:paraId="63C31347" w14:textId="452C5243" w:rsidR="00662D8A" w:rsidRPr="00922362" w:rsidRDefault="000F5377" w:rsidP="00947894">
      <w:pPr>
        <w:pStyle w:val="ListParagraph"/>
        <w:numPr>
          <w:ilvl w:val="0"/>
          <w:numId w:val="3"/>
        </w:numPr>
        <w:spacing w:before="120" w:after="120"/>
        <w:rPr>
          <w:rFonts w:asciiTheme="minorHAnsi" w:hAnsiTheme="minorHAnsi" w:cstheme="minorHAnsi"/>
          <w:lang w:val="es-ES"/>
        </w:rPr>
      </w:pPr>
      <w:hyperlink r:id="rId12" w:history="1">
        <w:r w:rsidR="00AE694C">
          <w:rPr>
            <w:rStyle w:val="Hyperlink"/>
            <w:rFonts w:asciiTheme="minorHAnsi" w:hAnsiTheme="minorHAnsi" w:cstheme="minorHAnsi"/>
            <w:lang w:val="es"/>
          </w:rPr>
          <w:t>Debe haber recibido</w:t>
        </w:r>
      </w:hyperlink>
      <w:r w:rsidR="00AE694C">
        <w:rPr>
          <w:rFonts w:asciiTheme="minorHAnsi" w:hAnsiTheme="minorHAnsi" w:cstheme="minorHAnsi"/>
          <w:lang w:val="es"/>
        </w:rPr>
        <w:t xml:space="preserve"> una educación pública adecuada y gratuita (Free and </w:t>
      </w:r>
      <w:proofErr w:type="spellStart"/>
      <w:r w:rsidR="00AE694C">
        <w:rPr>
          <w:rFonts w:asciiTheme="minorHAnsi" w:hAnsiTheme="minorHAnsi" w:cstheme="minorHAnsi"/>
          <w:lang w:val="es"/>
        </w:rPr>
        <w:t>Appropriate</w:t>
      </w:r>
      <w:proofErr w:type="spellEnd"/>
      <w:r w:rsidR="00AE694C">
        <w:rPr>
          <w:rFonts w:asciiTheme="minorHAnsi" w:hAnsiTheme="minorHAnsi" w:cstheme="minorHAnsi"/>
          <w:lang w:val="es"/>
        </w:rPr>
        <w:t xml:space="preserve"> Public Education, </w:t>
      </w:r>
      <w:hyperlink r:id="rId13" w:history="1">
        <w:r w:rsidR="00AE694C">
          <w:rPr>
            <w:rStyle w:val="Hyperlink"/>
            <w:rFonts w:asciiTheme="minorHAnsi" w:hAnsiTheme="minorHAnsi" w:cstheme="minorHAnsi"/>
            <w:lang w:val="es"/>
          </w:rPr>
          <w:t>FAPE</w:t>
        </w:r>
      </w:hyperlink>
      <w:r w:rsidR="00AE694C">
        <w:rPr>
          <w:rFonts w:asciiTheme="minorHAnsi" w:hAnsiTheme="minorHAnsi" w:cstheme="minorHAnsi"/>
          <w:lang w:val="es"/>
        </w:rPr>
        <w:t>)</w:t>
      </w:r>
      <w:r w:rsidR="00AE694C">
        <w:rPr>
          <w:lang w:val="es"/>
        </w:rPr>
        <w:t>.</w:t>
      </w:r>
    </w:p>
    <w:p w14:paraId="2143D35C" w14:textId="77777777" w:rsidR="00817E57" w:rsidRPr="00CF13CE" w:rsidRDefault="00817E57" w:rsidP="00817E57">
      <w:pPr>
        <w:shd w:val="clear" w:color="auto" w:fill="FFFFFF"/>
        <w:spacing w:before="100" w:beforeAutospacing="1" w:after="0" w:line="240" w:lineRule="auto"/>
        <w:outlineLvl w:val="1"/>
        <w:rPr>
          <w:rFonts w:asciiTheme="majorHAnsi" w:eastAsia="Times New Roman" w:hAnsiTheme="majorHAnsi" w:cstheme="majorHAnsi"/>
          <w:b/>
          <w:bCs/>
          <w:color w:val="0C7580"/>
          <w:spacing w:val="12"/>
          <w:sz w:val="28"/>
          <w:szCs w:val="28"/>
          <w:lang w:val="es-ES"/>
        </w:rPr>
      </w:pPr>
      <w:r w:rsidRPr="00CF13CE">
        <w:rPr>
          <w:rFonts w:asciiTheme="majorHAnsi" w:hAnsiTheme="majorHAnsi" w:cstheme="majorHAnsi"/>
          <w:b/>
          <w:bCs/>
          <w:color w:val="0C7580"/>
          <w:sz w:val="28"/>
          <w:szCs w:val="28"/>
          <w:lang w:val="es-ES"/>
        </w:rPr>
        <w:t>Impacto del COVID</w:t>
      </w:r>
    </w:p>
    <w:p w14:paraId="421037D4" w14:textId="77777777" w:rsidR="00817E57" w:rsidRPr="00817E57" w:rsidRDefault="00817E57" w:rsidP="00817E57">
      <w:pPr>
        <w:shd w:val="clear" w:color="auto" w:fill="FFFFFF"/>
        <w:spacing w:after="0" w:line="240" w:lineRule="auto"/>
        <w:rPr>
          <w:rFonts w:eastAsia="Times New Roman" w:cstheme="minorHAnsi"/>
          <w:color w:val="222222"/>
          <w:sz w:val="24"/>
          <w:szCs w:val="24"/>
        </w:rPr>
      </w:pPr>
      <w:r w:rsidRPr="00CF13CE">
        <w:rPr>
          <w:rFonts w:cstheme="minorHAnsi"/>
          <w:color w:val="222222"/>
          <w:sz w:val="24"/>
          <w:szCs w:val="24"/>
          <w:lang w:val="es-ES"/>
        </w:rPr>
        <w:t xml:space="preserve">En respuesta al cierre de escuelas en marzo de 2020, la junta directiva de DESE votó para permitir una modificación a la Determinación de competencia (CD) para aquellos que aún no habían cumplido con el requisito de la CD. También se hicieron modificaciones para aquellos estudiantes en las clases de graduación de 2021 y 2022. </w:t>
      </w:r>
      <w:r w:rsidRPr="00817E57">
        <w:rPr>
          <w:rFonts w:cstheme="minorHAnsi"/>
          <w:color w:val="222222"/>
          <w:sz w:val="24"/>
          <w:szCs w:val="24"/>
        </w:rPr>
        <w:t xml:space="preserve">La </w:t>
      </w:r>
      <w:proofErr w:type="spellStart"/>
      <w:r w:rsidRPr="00817E57">
        <w:rPr>
          <w:rFonts w:cstheme="minorHAnsi"/>
          <w:color w:val="222222"/>
          <w:sz w:val="24"/>
          <w:szCs w:val="24"/>
        </w:rPr>
        <w:t>modificación</w:t>
      </w:r>
      <w:proofErr w:type="spellEnd"/>
      <w:r w:rsidRPr="00817E57">
        <w:rPr>
          <w:rFonts w:cstheme="minorHAnsi"/>
          <w:color w:val="222222"/>
          <w:sz w:val="24"/>
          <w:szCs w:val="24"/>
        </w:rPr>
        <w:t xml:space="preserve"> para </w:t>
      </w:r>
      <w:proofErr w:type="spellStart"/>
      <w:r w:rsidRPr="00817E57">
        <w:rPr>
          <w:rFonts w:cstheme="minorHAnsi"/>
          <w:color w:val="222222"/>
          <w:sz w:val="24"/>
          <w:szCs w:val="24"/>
        </w:rPr>
        <w:t>otorgar</w:t>
      </w:r>
      <w:proofErr w:type="spellEnd"/>
      <w:r w:rsidRPr="00817E57">
        <w:rPr>
          <w:rFonts w:cstheme="minorHAnsi"/>
          <w:color w:val="222222"/>
          <w:sz w:val="24"/>
          <w:szCs w:val="24"/>
        </w:rPr>
        <w:t xml:space="preserve"> la CD es la </w:t>
      </w:r>
      <w:proofErr w:type="spellStart"/>
      <w:r w:rsidRPr="00817E57">
        <w:rPr>
          <w:rFonts w:cstheme="minorHAnsi"/>
          <w:color w:val="222222"/>
          <w:sz w:val="24"/>
          <w:szCs w:val="24"/>
        </w:rPr>
        <w:t>siguiente</w:t>
      </w:r>
      <w:proofErr w:type="spellEnd"/>
      <w:r w:rsidRPr="00817E57">
        <w:rPr>
          <w:rFonts w:cstheme="minorHAnsi"/>
          <w:color w:val="222222"/>
          <w:sz w:val="24"/>
          <w:szCs w:val="24"/>
        </w:rPr>
        <w:t>:</w:t>
      </w:r>
    </w:p>
    <w:p w14:paraId="033A9DD4" w14:textId="77777777" w:rsidR="00817E57" w:rsidRPr="00CF13CE" w:rsidRDefault="00817E57" w:rsidP="00817E57">
      <w:pPr>
        <w:numPr>
          <w:ilvl w:val="0"/>
          <w:numId w:val="9"/>
        </w:numPr>
        <w:shd w:val="clear" w:color="auto" w:fill="FFFFFF"/>
        <w:spacing w:after="0" w:line="240" w:lineRule="auto"/>
        <w:rPr>
          <w:rFonts w:eastAsia="Times New Roman" w:cstheme="minorHAnsi"/>
          <w:color w:val="222222"/>
          <w:sz w:val="24"/>
          <w:szCs w:val="24"/>
          <w:lang w:val="es-ES"/>
        </w:rPr>
      </w:pPr>
      <w:r w:rsidRPr="00CF13CE">
        <w:rPr>
          <w:rFonts w:cstheme="minorHAnsi"/>
          <w:i/>
          <w:color w:val="222222"/>
          <w:sz w:val="24"/>
          <w:szCs w:val="24"/>
          <w:lang w:val="es-ES"/>
        </w:rPr>
        <w:t>Para Lengua y Literatura Inglesa y Matemáticas</w:t>
      </w:r>
      <w:r w:rsidRPr="00CF13CE">
        <w:rPr>
          <w:rFonts w:cstheme="minorHAnsi"/>
          <w:color w:val="222222"/>
          <w:sz w:val="24"/>
          <w:szCs w:val="24"/>
          <w:lang w:val="es-ES"/>
        </w:rPr>
        <w:t>: una vez que el distrito certifique que el estudiante obtuvo el crédito completo por un curso relevante alineado con el marco curricular apropiado en esa materia y ha demostrado competencia en esa materia.</w:t>
      </w:r>
    </w:p>
    <w:p w14:paraId="7AC5915F" w14:textId="77777777" w:rsidR="00817E57" w:rsidRPr="00CF13CE" w:rsidRDefault="00817E57" w:rsidP="00817E57">
      <w:pPr>
        <w:numPr>
          <w:ilvl w:val="0"/>
          <w:numId w:val="9"/>
        </w:numPr>
        <w:shd w:val="clear" w:color="auto" w:fill="FFFFFF"/>
        <w:spacing w:after="0" w:line="240" w:lineRule="auto"/>
        <w:rPr>
          <w:rFonts w:eastAsia="Times New Roman" w:cstheme="minorHAnsi"/>
          <w:color w:val="222222"/>
          <w:sz w:val="24"/>
          <w:szCs w:val="24"/>
          <w:lang w:val="es-ES"/>
        </w:rPr>
      </w:pPr>
      <w:r w:rsidRPr="00CF13CE">
        <w:rPr>
          <w:rFonts w:cstheme="minorHAnsi"/>
          <w:i/>
          <w:color w:val="222222"/>
          <w:sz w:val="24"/>
          <w:szCs w:val="24"/>
          <w:lang w:val="es-ES"/>
        </w:rPr>
        <w:t>Para Ciencias y Tecnología/Ingeniería</w:t>
      </w:r>
      <w:r w:rsidRPr="00CF13CE">
        <w:rPr>
          <w:rFonts w:cstheme="minorHAnsi"/>
          <w:color w:val="222222"/>
          <w:sz w:val="24"/>
          <w:szCs w:val="24"/>
          <w:lang w:val="es-ES"/>
        </w:rPr>
        <w:t>: una vez que se haya demostrado que el estudiante obtuvo créditos por un curso en la materia relevante y demostrado competencia en una de las cuatro disciplinas evaluadas (Biología, Química, Introducción a la Física, Tecnología/Ingeniería) durante su paso por la escuela secundaria.</w:t>
      </w:r>
    </w:p>
    <w:p w14:paraId="0866F509" w14:textId="77777777" w:rsidR="00817E57" w:rsidRPr="00CF13CE" w:rsidRDefault="00817E57" w:rsidP="00817E57">
      <w:pPr>
        <w:shd w:val="clear" w:color="auto" w:fill="FFFFFF"/>
        <w:spacing w:after="0" w:line="240" w:lineRule="auto"/>
        <w:ind w:left="720"/>
        <w:rPr>
          <w:rFonts w:eastAsia="Times New Roman" w:cstheme="minorHAnsi"/>
          <w:color w:val="222222"/>
          <w:sz w:val="24"/>
          <w:szCs w:val="24"/>
          <w:lang w:val="es-ES"/>
        </w:rPr>
      </w:pPr>
      <w:r w:rsidRPr="00CF13CE">
        <w:rPr>
          <w:rFonts w:cstheme="minorHAnsi"/>
          <w:i/>
          <w:color w:val="222222"/>
          <w:sz w:val="24"/>
          <w:szCs w:val="24"/>
          <w:lang w:val="es-ES"/>
        </w:rPr>
        <w:t>Para obtener más información sobre la CD y las modificaciones, visite </w:t>
      </w:r>
      <w:hyperlink r:id="rId14" w:history="1">
        <w:r w:rsidRPr="00CF13CE">
          <w:rPr>
            <w:rFonts w:cstheme="minorHAnsi"/>
            <w:i/>
            <w:color w:val="0060C7"/>
            <w:sz w:val="24"/>
            <w:szCs w:val="24"/>
            <w:u w:val="single"/>
            <w:lang w:val="es-ES"/>
          </w:rPr>
          <w:t>Requisitos de graduación de Massachusetts y orientación relacionada</w:t>
        </w:r>
      </w:hyperlink>
      <w:r w:rsidRPr="00CF13CE">
        <w:rPr>
          <w:rFonts w:cstheme="minorHAnsi"/>
          <w:i/>
          <w:color w:val="222222"/>
          <w:sz w:val="24"/>
          <w:szCs w:val="24"/>
          <w:lang w:val="es-ES"/>
        </w:rPr>
        <w:t>.</w:t>
      </w:r>
    </w:p>
    <w:p w14:paraId="70D306B3" w14:textId="77777777" w:rsidR="00817E57" w:rsidRPr="00CF13CE" w:rsidRDefault="00817E57" w:rsidP="00817E57">
      <w:pPr>
        <w:shd w:val="clear" w:color="auto" w:fill="FFFFFF"/>
        <w:spacing w:after="0" w:line="240" w:lineRule="auto"/>
        <w:rPr>
          <w:rFonts w:eastAsia="Times New Roman" w:cstheme="minorHAnsi"/>
          <w:color w:val="222222"/>
          <w:sz w:val="24"/>
          <w:szCs w:val="24"/>
          <w:lang w:val="es-ES"/>
        </w:rPr>
      </w:pPr>
      <w:r w:rsidRPr="00CF13CE">
        <w:rPr>
          <w:rFonts w:cstheme="minorHAnsi"/>
          <w:b/>
          <w:color w:val="222222"/>
          <w:sz w:val="24"/>
          <w:szCs w:val="24"/>
          <w:lang w:val="es-ES"/>
        </w:rPr>
        <w:t>Referencia recomendada:</w:t>
      </w:r>
      <w:r w:rsidRPr="00CF13CE">
        <w:rPr>
          <w:rFonts w:cstheme="minorHAnsi"/>
          <w:color w:val="222222"/>
          <w:sz w:val="24"/>
          <w:szCs w:val="24"/>
          <w:lang w:val="es-ES"/>
        </w:rPr>
        <w:t> 76.33 %</w:t>
      </w:r>
      <w:r w:rsidRPr="00CF13CE">
        <w:rPr>
          <w:rFonts w:cstheme="minorHAnsi"/>
          <w:color w:val="222222"/>
          <w:sz w:val="24"/>
          <w:szCs w:val="24"/>
          <w:lang w:val="es-ES"/>
        </w:rPr>
        <w:br/>
        <w:t>Usamos las referencias como punto de partida y comparamos los datos de otros años con los datos del año de referencia. Debido al impacto del COVID, la Oficina de Programas de Educación Especial (OSEP) permitió que se establecieran referencias en la tasa de graduación de 2019.</w:t>
      </w:r>
    </w:p>
    <w:p w14:paraId="6AB4F637" w14:textId="77777777" w:rsidR="00817E57" w:rsidRPr="00CF13CE" w:rsidRDefault="00817E57" w:rsidP="00817E57">
      <w:pPr>
        <w:shd w:val="clear" w:color="auto" w:fill="FFFFFF"/>
        <w:spacing w:after="0" w:line="240" w:lineRule="auto"/>
        <w:rPr>
          <w:rFonts w:eastAsia="Times New Roman" w:cstheme="minorHAnsi"/>
          <w:color w:val="222222"/>
          <w:sz w:val="24"/>
          <w:szCs w:val="24"/>
          <w:lang w:val="es-ES"/>
        </w:rPr>
      </w:pPr>
      <w:r w:rsidRPr="00CF13CE">
        <w:rPr>
          <w:rFonts w:cstheme="minorHAnsi"/>
          <w:b/>
          <w:color w:val="222222"/>
          <w:sz w:val="24"/>
          <w:szCs w:val="24"/>
          <w:lang w:val="es-ES"/>
        </w:rPr>
        <w:t>Objetivo del Indicador 1 recomendado:</w:t>
      </w:r>
      <w:r w:rsidRPr="00CF13CE">
        <w:rPr>
          <w:rFonts w:cstheme="minorHAnsi"/>
          <w:color w:val="222222"/>
          <w:sz w:val="24"/>
          <w:szCs w:val="24"/>
          <w:lang w:val="es-ES"/>
        </w:rPr>
        <w:t> 1 % de aumento anual durante cada uno de los próximos cinco años.</w:t>
      </w:r>
    </w:p>
    <w:p w14:paraId="3B56791E" w14:textId="77777777" w:rsidR="00817E57" w:rsidRPr="00CF13CE" w:rsidRDefault="00817E57" w:rsidP="00817E57">
      <w:pPr>
        <w:spacing w:after="0"/>
        <w:rPr>
          <w:lang w:val="es-ES"/>
        </w:rPr>
      </w:pPr>
    </w:p>
    <w:p w14:paraId="59610EC4" w14:textId="7B805D5A" w:rsidR="00754C30" w:rsidRPr="00922362" w:rsidRDefault="00754C30" w:rsidP="00947894">
      <w:pPr>
        <w:spacing w:before="120" w:after="120" w:line="240" w:lineRule="auto"/>
        <w:rPr>
          <w:rFonts w:eastAsiaTheme="minorEastAsia"/>
          <w:sz w:val="24"/>
          <w:szCs w:val="24"/>
          <w:lang w:val="es-ES"/>
        </w:rPr>
      </w:pPr>
    </w:p>
    <w:p w14:paraId="79437185" w14:textId="1B74BC5F" w:rsidR="00754C30" w:rsidRDefault="00754C30" w:rsidP="00754C30">
      <w:pPr>
        <w:rPr>
          <w:rFonts w:cstheme="minorHAnsi"/>
          <w:b/>
          <w:bCs/>
          <w:szCs w:val="24"/>
          <w:lang w:val="es"/>
        </w:rPr>
      </w:pPr>
      <w:r w:rsidRPr="005D7EF0">
        <w:rPr>
          <w:rFonts w:cstheme="minorHAnsi"/>
          <w:b/>
          <w:bCs/>
          <w:szCs w:val="24"/>
          <w:lang w:val="es"/>
        </w:rPr>
        <w:t>Obtenga más información sobre el Indicador 1:</w:t>
      </w:r>
    </w:p>
    <w:p w14:paraId="085B4930" w14:textId="4A1CAAA0" w:rsidR="005D7EF0" w:rsidRDefault="000F5377" w:rsidP="005D7EF0">
      <w:pPr>
        <w:pStyle w:val="NormalWeb"/>
        <w:numPr>
          <w:ilvl w:val="0"/>
          <w:numId w:val="8"/>
        </w:numPr>
        <w:shd w:val="clear" w:color="auto" w:fill="FFFFFF"/>
        <w:spacing w:before="0" w:beforeAutospacing="0" w:afterAutospacing="0"/>
        <w:rPr>
          <w:rFonts w:ascii="Segoe UI" w:hAnsi="Segoe UI" w:cs="Segoe UI"/>
          <w:color w:val="0070C0"/>
          <w:u w:val="single"/>
        </w:rPr>
      </w:pPr>
      <w:hyperlink r:id="rId15" w:history="1">
        <w:proofErr w:type="spellStart"/>
        <w:r w:rsidR="005D7EF0" w:rsidRPr="00922362">
          <w:rPr>
            <w:rStyle w:val="Hyperlink"/>
            <w:rFonts w:ascii="Segoe UI" w:hAnsi="Segoe UI" w:cs="Segoe UI"/>
          </w:rPr>
          <w:t>Indicador</w:t>
        </w:r>
        <w:proofErr w:type="spellEnd"/>
        <w:r w:rsidR="005D7EF0" w:rsidRPr="00922362">
          <w:rPr>
            <w:rStyle w:val="Hyperlink"/>
            <w:rFonts w:ascii="Segoe UI" w:hAnsi="Segoe UI" w:cs="Segoe UI"/>
          </w:rPr>
          <w:t xml:space="preserve"> </w:t>
        </w:r>
        <w:r w:rsidR="00FF55BF" w:rsidRPr="00922362">
          <w:rPr>
            <w:rStyle w:val="Hyperlink"/>
            <w:rFonts w:ascii="Segoe UI" w:hAnsi="Segoe UI" w:cs="Segoe UI"/>
          </w:rPr>
          <w:t>1</w:t>
        </w:r>
        <w:r w:rsidR="005D7EF0" w:rsidRPr="00922362">
          <w:rPr>
            <w:rStyle w:val="Hyperlink"/>
            <w:rFonts w:ascii="Segoe UI" w:hAnsi="Segoe UI" w:cs="Segoe UI"/>
          </w:rPr>
          <w:t xml:space="preserve"> PowerPoint</w:t>
        </w:r>
      </w:hyperlink>
    </w:p>
    <w:p w14:paraId="2B66E531" w14:textId="42ED5F83" w:rsidR="00754C30" w:rsidRPr="000A4B26" w:rsidRDefault="00182F44" w:rsidP="00754C30">
      <w:pPr>
        <w:spacing w:after="0"/>
        <w:rPr>
          <w:rFonts w:cstheme="minorHAnsi"/>
          <w:b/>
          <w:bCs/>
          <w:szCs w:val="24"/>
        </w:rPr>
      </w:pPr>
      <w:r>
        <w:rPr>
          <w:rFonts w:cstheme="minorHAnsi"/>
          <w:b/>
          <w:bCs/>
          <w:szCs w:val="24"/>
          <w:lang w:val="es"/>
        </w:rPr>
        <w:lastRenderedPageBreak/>
        <w:t xml:space="preserve">  </w:t>
      </w:r>
    </w:p>
    <w:p w14:paraId="2573559B" w14:textId="77777777" w:rsidR="00754C30" w:rsidRPr="00AC30EA" w:rsidRDefault="00754C30" w:rsidP="00754C30">
      <w:pPr>
        <w:spacing w:after="0"/>
        <w:rPr>
          <w:rFonts w:eastAsia="Times New Roman" w:cstheme="minorHAnsi"/>
          <w:color w:val="0070C0"/>
          <w:sz w:val="24"/>
          <w:szCs w:val="24"/>
          <w:u w:val="single"/>
        </w:rPr>
      </w:pPr>
    </w:p>
    <w:p w14:paraId="068A31F8" w14:textId="77777777" w:rsidR="00754C30" w:rsidRPr="00070B2C" w:rsidRDefault="00754C30" w:rsidP="00947894">
      <w:pPr>
        <w:spacing w:before="120" w:after="120" w:line="240" w:lineRule="auto"/>
        <w:rPr>
          <w:rFonts w:eastAsiaTheme="minorEastAsia"/>
          <w:b/>
          <w:bCs/>
          <w:sz w:val="24"/>
          <w:szCs w:val="24"/>
        </w:rPr>
      </w:pPr>
    </w:p>
    <w:sectPr w:rsidR="00754C30" w:rsidRPr="00070B2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2AF79" w14:textId="77777777" w:rsidR="000F5377" w:rsidRDefault="000F5377">
      <w:pPr>
        <w:spacing w:after="0" w:line="240" w:lineRule="auto"/>
      </w:pPr>
      <w:r>
        <w:separator/>
      </w:r>
    </w:p>
  </w:endnote>
  <w:endnote w:type="continuationSeparator" w:id="0">
    <w:p w14:paraId="4F318ADA" w14:textId="77777777" w:rsidR="000F5377" w:rsidRDefault="000F5377">
      <w:pPr>
        <w:spacing w:after="0" w:line="240" w:lineRule="auto"/>
      </w:pPr>
      <w:r>
        <w:continuationSeparator/>
      </w:r>
    </w:p>
  </w:endnote>
  <w:endnote w:type="continuationNotice" w:id="1">
    <w:p w14:paraId="74140AD1" w14:textId="77777777" w:rsidR="000F5377" w:rsidRDefault="000F5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8E10F" w14:textId="062B070B" w:rsidR="006C7C5C" w:rsidRDefault="006C7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0597" w14:textId="77777777" w:rsidR="000F5377" w:rsidRDefault="000F5377">
      <w:pPr>
        <w:spacing w:after="0" w:line="240" w:lineRule="auto"/>
      </w:pPr>
      <w:r>
        <w:separator/>
      </w:r>
    </w:p>
  </w:footnote>
  <w:footnote w:type="continuationSeparator" w:id="0">
    <w:p w14:paraId="631C03CD" w14:textId="77777777" w:rsidR="000F5377" w:rsidRDefault="000F5377">
      <w:pPr>
        <w:spacing w:after="0" w:line="240" w:lineRule="auto"/>
      </w:pPr>
      <w:r>
        <w:continuationSeparator/>
      </w:r>
    </w:p>
  </w:footnote>
  <w:footnote w:type="continuationNotice" w:id="1">
    <w:p w14:paraId="2FDF1BF1" w14:textId="77777777" w:rsidR="000F5377" w:rsidRDefault="000F53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4219"/>
    <w:multiLevelType w:val="multilevel"/>
    <w:tmpl w:val="FBA0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7339E"/>
    <w:multiLevelType w:val="hybridMultilevel"/>
    <w:tmpl w:val="CE460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A0673"/>
    <w:multiLevelType w:val="hybridMultilevel"/>
    <w:tmpl w:val="9050C170"/>
    <w:lvl w:ilvl="0" w:tplc="04090001">
      <w:start w:val="1"/>
      <w:numFmt w:val="bullet"/>
      <w:lvlText w:val=""/>
      <w:lvlJc w:val="left"/>
      <w:pPr>
        <w:ind w:left="720" w:hanging="360"/>
      </w:pPr>
      <w:rPr>
        <w:rFonts w:ascii="Symbol" w:hAnsi="Symbol" w:hint="default"/>
      </w:rPr>
    </w:lvl>
    <w:lvl w:ilvl="1" w:tplc="A1629634">
      <w:numFmt w:val="bullet"/>
      <w:lvlText w:val="•"/>
      <w:lvlJc w:val="left"/>
      <w:pPr>
        <w:ind w:left="1440" w:hanging="360"/>
      </w:pPr>
      <w:rPr>
        <w:rFonts w:ascii="Segoe UI" w:eastAsia="Times New Roman" w:hAnsi="Segoe UI" w:cs="Segoe UI" w:hint="default"/>
        <w:b w:val="0"/>
        <w:color w:val="0070C0"/>
        <w:sz w:val="24"/>
        <w:u w:val="singl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15F61"/>
    <w:multiLevelType w:val="hybridMultilevel"/>
    <w:tmpl w:val="9DDEB6F0"/>
    <w:lvl w:ilvl="0" w:tplc="9E82824C">
      <w:start w:val="1"/>
      <w:numFmt w:val="bullet"/>
      <w:lvlText w:val="•"/>
      <w:lvlJc w:val="left"/>
      <w:pPr>
        <w:tabs>
          <w:tab w:val="num" w:pos="720"/>
        </w:tabs>
        <w:ind w:left="720" w:hanging="360"/>
      </w:pPr>
      <w:rPr>
        <w:rFonts w:ascii="Arial" w:hAnsi="Arial" w:hint="default"/>
      </w:rPr>
    </w:lvl>
    <w:lvl w:ilvl="1" w:tplc="3F727A30" w:tentative="1">
      <w:start w:val="1"/>
      <w:numFmt w:val="bullet"/>
      <w:lvlText w:val="•"/>
      <w:lvlJc w:val="left"/>
      <w:pPr>
        <w:tabs>
          <w:tab w:val="num" w:pos="1440"/>
        </w:tabs>
        <w:ind w:left="1440" w:hanging="360"/>
      </w:pPr>
      <w:rPr>
        <w:rFonts w:ascii="Arial" w:hAnsi="Arial" w:hint="default"/>
      </w:rPr>
    </w:lvl>
    <w:lvl w:ilvl="2" w:tplc="EE18A9B0" w:tentative="1">
      <w:start w:val="1"/>
      <w:numFmt w:val="bullet"/>
      <w:lvlText w:val="•"/>
      <w:lvlJc w:val="left"/>
      <w:pPr>
        <w:tabs>
          <w:tab w:val="num" w:pos="2160"/>
        </w:tabs>
        <w:ind w:left="2160" w:hanging="360"/>
      </w:pPr>
      <w:rPr>
        <w:rFonts w:ascii="Arial" w:hAnsi="Arial" w:hint="default"/>
      </w:rPr>
    </w:lvl>
    <w:lvl w:ilvl="3" w:tplc="73BA3892" w:tentative="1">
      <w:start w:val="1"/>
      <w:numFmt w:val="bullet"/>
      <w:lvlText w:val="•"/>
      <w:lvlJc w:val="left"/>
      <w:pPr>
        <w:tabs>
          <w:tab w:val="num" w:pos="2880"/>
        </w:tabs>
        <w:ind w:left="2880" w:hanging="360"/>
      </w:pPr>
      <w:rPr>
        <w:rFonts w:ascii="Arial" w:hAnsi="Arial" w:hint="default"/>
      </w:rPr>
    </w:lvl>
    <w:lvl w:ilvl="4" w:tplc="B1DE2F9C" w:tentative="1">
      <w:start w:val="1"/>
      <w:numFmt w:val="bullet"/>
      <w:lvlText w:val="•"/>
      <w:lvlJc w:val="left"/>
      <w:pPr>
        <w:tabs>
          <w:tab w:val="num" w:pos="3600"/>
        </w:tabs>
        <w:ind w:left="3600" w:hanging="360"/>
      </w:pPr>
      <w:rPr>
        <w:rFonts w:ascii="Arial" w:hAnsi="Arial" w:hint="default"/>
      </w:rPr>
    </w:lvl>
    <w:lvl w:ilvl="5" w:tplc="E72C3D68" w:tentative="1">
      <w:start w:val="1"/>
      <w:numFmt w:val="bullet"/>
      <w:lvlText w:val="•"/>
      <w:lvlJc w:val="left"/>
      <w:pPr>
        <w:tabs>
          <w:tab w:val="num" w:pos="4320"/>
        </w:tabs>
        <w:ind w:left="4320" w:hanging="360"/>
      </w:pPr>
      <w:rPr>
        <w:rFonts w:ascii="Arial" w:hAnsi="Arial" w:hint="default"/>
      </w:rPr>
    </w:lvl>
    <w:lvl w:ilvl="6" w:tplc="4496C576" w:tentative="1">
      <w:start w:val="1"/>
      <w:numFmt w:val="bullet"/>
      <w:lvlText w:val="•"/>
      <w:lvlJc w:val="left"/>
      <w:pPr>
        <w:tabs>
          <w:tab w:val="num" w:pos="5040"/>
        </w:tabs>
        <w:ind w:left="5040" w:hanging="360"/>
      </w:pPr>
      <w:rPr>
        <w:rFonts w:ascii="Arial" w:hAnsi="Arial" w:hint="default"/>
      </w:rPr>
    </w:lvl>
    <w:lvl w:ilvl="7" w:tplc="DBF4E1F2" w:tentative="1">
      <w:start w:val="1"/>
      <w:numFmt w:val="bullet"/>
      <w:lvlText w:val="•"/>
      <w:lvlJc w:val="left"/>
      <w:pPr>
        <w:tabs>
          <w:tab w:val="num" w:pos="5760"/>
        </w:tabs>
        <w:ind w:left="5760" w:hanging="360"/>
      </w:pPr>
      <w:rPr>
        <w:rFonts w:ascii="Arial" w:hAnsi="Arial" w:hint="default"/>
      </w:rPr>
    </w:lvl>
    <w:lvl w:ilvl="8" w:tplc="AF26CD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5F364A"/>
    <w:multiLevelType w:val="hybridMultilevel"/>
    <w:tmpl w:val="D4E2899E"/>
    <w:lvl w:ilvl="0" w:tplc="051EB65A">
      <w:start w:val="1"/>
      <w:numFmt w:val="bullet"/>
      <w:lvlText w:val="•"/>
      <w:lvlJc w:val="left"/>
      <w:pPr>
        <w:tabs>
          <w:tab w:val="num" w:pos="720"/>
        </w:tabs>
        <w:ind w:left="720" w:hanging="360"/>
      </w:pPr>
      <w:rPr>
        <w:rFonts w:ascii="Arial" w:hAnsi="Arial" w:hint="default"/>
      </w:rPr>
    </w:lvl>
    <w:lvl w:ilvl="1" w:tplc="386A81A2">
      <w:numFmt w:val="bullet"/>
      <w:lvlText w:val="o"/>
      <w:lvlJc w:val="left"/>
      <w:pPr>
        <w:tabs>
          <w:tab w:val="num" w:pos="1440"/>
        </w:tabs>
        <w:ind w:left="1440" w:hanging="360"/>
      </w:pPr>
      <w:rPr>
        <w:rFonts w:ascii="Courier New" w:hAnsi="Courier New" w:hint="default"/>
      </w:rPr>
    </w:lvl>
    <w:lvl w:ilvl="2" w:tplc="8F2E585A" w:tentative="1">
      <w:start w:val="1"/>
      <w:numFmt w:val="bullet"/>
      <w:lvlText w:val="•"/>
      <w:lvlJc w:val="left"/>
      <w:pPr>
        <w:tabs>
          <w:tab w:val="num" w:pos="2160"/>
        </w:tabs>
        <w:ind w:left="2160" w:hanging="360"/>
      </w:pPr>
      <w:rPr>
        <w:rFonts w:ascii="Arial" w:hAnsi="Arial" w:hint="default"/>
      </w:rPr>
    </w:lvl>
    <w:lvl w:ilvl="3" w:tplc="EC60D4CC" w:tentative="1">
      <w:start w:val="1"/>
      <w:numFmt w:val="bullet"/>
      <w:lvlText w:val="•"/>
      <w:lvlJc w:val="left"/>
      <w:pPr>
        <w:tabs>
          <w:tab w:val="num" w:pos="2880"/>
        </w:tabs>
        <w:ind w:left="2880" w:hanging="360"/>
      </w:pPr>
      <w:rPr>
        <w:rFonts w:ascii="Arial" w:hAnsi="Arial" w:hint="default"/>
      </w:rPr>
    </w:lvl>
    <w:lvl w:ilvl="4" w:tplc="478C3B94" w:tentative="1">
      <w:start w:val="1"/>
      <w:numFmt w:val="bullet"/>
      <w:lvlText w:val="•"/>
      <w:lvlJc w:val="left"/>
      <w:pPr>
        <w:tabs>
          <w:tab w:val="num" w:pos="3600"/>
        </w:tabs>
        <w:ind w:left="3600" w:hanging="360"/>
      </w:pPr>
      <w:rPr>
        <w:rFonts w:ascii="Arial" w:hAnsi="Arial" w:hint="default"/>
      </w:rPr>
    </w:lvl>
    <w:lvl w:ilvl="5" w:tplc="F1108B02" w:tentative="1">
      <w:start w:val="1"/>
      <w:numFmt w:val="bullet"/>
      <w:lvlText w:val="•"/>
      <w:lvlJc w:val="left"/>
      <w:pPr>
        <w:tabs>
          <w:tab w:val="num" w:pos="4320"/>
        </w:tabs>
        <w:ind w:left="4320" w:hanging="360"/>
      </w:pPr>
      <w:rPr>
        <w:rFonts w:ascii="Arial" w:hAnsi="Arial" w:hint="default"/>
      </w:rPr>
    </w:lvl>
    <w:lvl w:ilvl="6" w:tplc="36525458" w:tentative="1">
      <w:start w:val="1"/>
      <w:numFmt w:val="bullet"/>
      <w:lvlText w:val="•"/>
      <w:lvlJc w:val="left"/>
      <w:pPr>
        <w:tabs>
          <w:tab w:val="num" w:pos="5040"/>
        </w:tabs>
        <w:ind w:left="5040" w:hanging="360"/>
      </w:pPr>
      <w:rPr>
        <w:rFonts w:ascii="Arial" w:hAnsi="Arial" w:hint="default"/>
      </w:rPr>
    </w:lvl>
    <w:lvl w:ilvl="7" w:tplc="0AB4E9C2" w:tentative="1">
      <w:start w:val="1"/>
      <w:numFmt w:val="bullet"/>
      <w:lvlText w:val="•"/>
      <w:lvlJc w:val="left"/>
      <w:pPr>
        <w:tabs>
          <w:tab w:val="num" w:pos="5760"/>
        </w:tabs>
        <w:ind w:left="5760" w:hanging="360"/>
      </w:pPr>
      <w:rPr>
        <w:rFonts w:ascii="Arial" w:hAnsi="Arial" w:hint="default"/>
      </w:rPr>
    </w:lvl>
    <w:lvl w:ilvl="8" w:tplc="53F426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FF6066"/>
    <w:multiLevelType w:val="hybridMultilevel"/>
    <w:tmpl w:val="C606846E"/>
    <w:lvl w:ilvl="0" w:tplc="129EB8FC">
      <w:start w:val="1"/>
      <w:numFmt w:val="bullet"/>
      <w:lvlText w:val="•"/>
      <w:lvlJc w:val="left"/>
      <w:pPr>
        <w:tabs>
          <w:tab w:val="num" w:pos="720"/>
        </w:tabs>
        <w:ind w:left="720" w:hanging="360"/>
      </w:pPr>
      <w:rPr>
        <w:rFonts w:ascii="Arial" w:hAnsi="Arial" w:hint="default"/>
      </w:rPr>
    </w:lvl>
    <w:lvl w:ilvl="1" w:tplc="4B3A6466" w:tentative="1">
      <w:start w:val="1"/>
      <w:numFmt w:val="bullet"/>
      <w:lvlText w:val="•"/>
      <w:lvlJc w:val="left"/>
      <w:pPr>
        <w:tabs>
          <w:tab w:val="num" w:pos="1440"/>
        </w:tabs>
        <w:ind w:left="1440" w:hanging="360"/>
      </w:pPr>
      <w:rPr>
        <w:rFonts w:ascii="Arial" w:hAnsi="Arial" w:hint="default"/>
      </w:rPr>
    </w:lvl>
    <w:lvl w:ilvl="2" w:tplc="F1C00546" w:tentative="1">
      <w:start w:val="1"/>
      <w:numFmt w:val="bullet"/>
      <w:lvlText w:val="•"/>
      <w:lvlJc w:val="left"/>
      <w:pPr>
        <w:tabs>
          <w:tab w:val="num" w:pos="2160"/>
        </w:tabs>
        <w:ind w:left="2160" w:hanging="360"/>
      </w:pPr>
      <w:rPr>
        <w:rFonts w:ascii="Arial" w:hAnsi="Arial" w:hint="default"/>
      </w:rPr>
    </w:lvl>
    <w:lvl w:ilvl="3" w:tplc="B98E1032" w:tentative="1">
      <w:start w:val="1"/>
      <w:numFmt w:val="bullet"/>
      <w:lvlText w:val="•"/>
      <w:lvlJc w:val="left"/>
      <w:pPr>
        <w:tabs>
          <w:tab w:val="num" w:pos="2880"/>
        </w:tabs>
        <w:ind w:left="2880" w:hanging="360"/>
      </w:pPr>
      <w:rPr>
        <w:rFonts w:ascii="Arial" w:hAnsi="Arial" w:hint="default"/>
      </w:rPr>
    </w:lvl>
    <w:lvl w:ilvl="4" w:tplc="B85C34F4" w:tentative="1">
      <w:start w:val="1"/>
      <w:numFmt w:val="bullet"/>
      <w:lvlText w:val="•"/>
      <w:lvlJc w:val="left"/>
      <w:pPr>
        <w:tabs>
          <w:tab w:val="num" w:pos="3600"/>
        </w:tabs>
        <w:ind w:left="3600" w:hanging="360"/>
      </w:pPr>
      <w:rPr>
        <w:rFonts w:ascii="Arial" w:hAnsi="Arial" w:hint="default"/>
      </w:rPr>
    </w:lvl>
    <w:lvl w:ilvl="5" w:tplc="CD34F94E" w:tentative="1">
      <w:start w:val="1"/>
      <w:numFmt w:val="bullet"/>
      <w:lvlText w:val="•"/>
      <w:lvlJc w:val="left"/>
      <w:pPr>
        <w:tabs>
          <w:tab w:val="num" w:pos="4320"/>
        </w:tabs>
        <w:ind w:left="4320" w:hanging="360"/>
      </w:pPr>
      <w:rPr>
        <w:rFonts w:ascii="Arial" w:hAnsi="Arial" w:hint="default"/>
      </w:rPr>
    </w:lvl>
    <w:lvl w:ilvl="6" w:tplc="A8CE5A84" w:tentative="1">
      <w:start w:val="1"/>
      <w:numFmt w:val="bullet"/>
      <w:lvlText w:val="•"/>
      <w:lvlJc w:val="left"/>
      <w:pPr>
        <w:tabs>
          <w:tab w:val="num" w:pos="5040"/>
        </w:tabs>
        <w:ind w:left="5040" w:hanging="360"/>
      </w:pPr>
      <w:rPr>
        <w:rFonts w:ascii="Arial" w:hAnsi="Arial" w:hint="default"/>
      </w:rPr>
    </w:lvl>
    <w:lvl w:ilvl="7" w:tplc="0236521A" w:tentative="1">
      <w:start w:val="1"/>
      <w:numFmt w:val="bullet"/>
      <w:lvlText w:val="•"/>
      <w:lvlJc w:val="left"/>
      <w:pPr>
        <w:tabs>
          <w:tab w:val="num" w:pos="5760"/>
        </w:tabs>
        <w:ind w:left="5760" w:hanging="360"/>
      </w:pPr>
      <w:rPr>
        <w:rFonts w:ascii="Arial" w:hAnsi="Arial" w:hint="default"/>
      </w:rPr>
    </w:lvl>
    <w:lvl w:ilvl="8" w:tplc="0BBC9EF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C40AE8"/>
    <w:multiLevelType w:val="hybridMultilevel"/>
    <w:tmpl w:val="405ED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BE72B07"/>
    <w:multiLevelType w:val="hybridMultilevel"/>
    <w:tmpl w:val="DA6CDBA8"/>
    <w:lvl w:ilvl="0" w:tplc="3FB67562">
      <w:start w:val="1"/>
      <w:numFmt w:val="bullet"/>
      <w:lvlText w:val="o"/>
      <w:lvlJc w:val="left"/>
      <w:pPr>
        <w:tabs>
          <w:tab w:val="num" w:pos="720"/>
        </w:tabs>
        <w:ind w:left="720" w:hanging="360"/>
      </w:pPr>
      <w:rPr>
        <w:rFonts w:ascii="Courier New" w:hAnsi="Courier New" w:hint="default"/>
      </w:rPr>
    </w:lvl>
    <w:lvl w:ilvl="1" w:tplc="9EC8DDD4" w:tentative="1">
      <w:start w:val="1"/>
      <w:numFmt w:val="bullet"/>
      <w:lvlText w:val="o"/>
      <w:lvlJc w:val="left"/>
      <w:pPr>
        <w:tabs>
          <w:tab w:val="num" w:pos="1440"/>
        </w:tabs>
        <w:ind w:left="1440" w:hanging="360"/>
      </w:pPr>
      <w:rPr>
        <w:rFonts w:ascii="Courier New" w:hAnsi="Courier New" w:hint="default"/>
      </w:rPr>
    </w:lvl>
    <w:lvl w:ilvl="2" w:tplc="C2AA9F60" w:tentative="1">
      <w:start w:val="1"/>
      <w:numFmt w:val="bullet"/>
      <w:lvlText w:val="o"/>
      <w:lvlJc w:val="left"/>
      <w:pPr>
        <w:tabs>
          <w:tab w:val="num" w:pos="2160"/>
        </w:tabs>
        <w:ind w:left="2160" w:hanging="360"/>
      </w:pPr>
      <w:rPr>
        <w:rFonts w:ascii="Courier New" w:hAnsi="Courier New" w:hint="default"/>
      </w:rPr>
    </w:lvl>
    <w:lvl w:ilvl="3" w:tplc="A2C276E2" w:tentative="1">
      <w:start w:val="1"/>
      <w:numFmt w:val="bullet"/>
      <w:lvlText w:val="o"/>
      <w:lvlJc w:val="left"/>
      <w:pPr>
        <w:tabs>
          <w:tab w:val="num" w:pos="2880"/>
        </w:tabs>
        <w:ind w:left="2880" w:hanging="360"/>
      </w:pPr>
      <w:rPr>
        <w:rFonts w:ascii="Courier New" w:hAnsi="Courier New" w:hint="default"/>
      </w:rPr>
    </w:lvl>
    <w:lvl w:ilvl="4" w:tplc="57C2FF68" w:tentative="1">
      <w:start w:val="1"/>
      <w:numFmt w:val="bullet"/>
      <w:lvlText w:val="o"/>
      <w:lvlJc w:val="left"/>
      <w:pPr>
        <w:tabs>
          <w:tab w:val="num" w:pos="3600"/>
        </w:tabs>
        <w:ind w:left="3600" w:hanging="360"/>
      </w:pPr>
      <w:rPr>
        <w:rFonts w:ascii="Courier New" w:hAnsi="Courier New" w:hint="default"/>
      </w:rPr>
    </w:lvl>
    <w:lvl w:ilvl="5" w:tplc="ED5A53C6" w:tentative="1">
      <w:start w:val="1"/>
      <w:numFmt w:val="bullet"/>
      <w:lvlText w:val="o"/>
      <w:lvlJc w:val="left"/>
      <w:pPr>
        <w:tabs>
          <w:tab w:val="num" w:pos="4320"/>
        </w:tabs>
        <w:ind w:left="4320" w:hanging="360"/>
      </w:pPr>
      <w:rPr>
        <w:rFonts w:ascii="Courier New" w:hAnsi="Courier New" w:hint="default"/>
      </w:rPr>
    </w:lvl>
    <w:lvl w:ilvl="6" w:tplc="43E64520" w:tentative="1">
      <w:start w:val="1"/>
      <w:numFmt w:val="bullet"/>
      <w:lvlText w:val="o"/>
      <w:lvlJc w:val="left"/>
      <w:pPr>
        <w:tabs>
          <w:tab w:val="num" w:pos="5040"/>
        </w:tabs>
        <w:ind w:left="5040" w:hanging="360"/>
      </w:pPr>
      <w:rPr>
        <w:rFonts w:ascii="Courier New" w:hAnsi="Courier New" w:hint="default"/>
      </w:rPr>
    </w:lvl>
    <w:lvl w:ilvl="7" w:tplc="4F2A7E60" w:tentative="1">
      <w:start w:val="1"/>
      <w:numFmt w:val="bullet"/>
      <w:lvlText w:val="o"/>
      <w:lvlJc w:val="left"/>
      <w:pPr>
        <w:tabs>
          <w:tab w:val="num" w:pos="5760"/>
        </w:tabs>
        <w:ind w:left="5760" w:hanging="360"/>
      </w:pPr>
      <w:rPr>
        <w:rFonts w:ascii="Courier New" w:hAnsi="Courier New" w:hint="default"/>
      </w:rPr>
    </w:lvl>
    <w:lvl w:ilvl="8" w:tplc="CA386F30"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6BA3179A"/>
    <w:multiLevelType w:val="hybridMultilevel"/>
    <w:tmpl w:val="3FC241A8"/>
    <w:lvl w:ilvl="0" w:tplc="53C88AF2">
      <w:start w:val="1"/>
      <w:numFmt w:val="bullet"/>
      <w:lvlText w:val="o"/>
      <w:lvlJc w:val="left"/>
      <w:pPr>
        <w:tabs>
          <w:tab w:val="num" w:pos="720"/>
        </w:tabs>
        <w:ind w:left="720" w:hanging="360"/>
      </w:pPr>
      <w:rPr>
        <w:rFonts w:ascii="Courier New" w:hAnsi="Courier New" w:hint="default"/>
      </w:rPr>
    </w:lvl>
    <w:lvl w:ilvl="1" w:tplc="E3B2E3CA">
      <w:start w:val="1"/>
      <w:numFmt w:val="bullet"/>
      <w:lvlText w:val="o"/>
      <w:lvlJc w:val="left"/>
      <w:pPr>
        <w:tabs>
          <w:tab w:val="num" w:pos="1440"/>
        </w:tabs>
        <w:ind w:left="1440" w:hanging="360"/>
      </w:pPr>
      <w:rPr>
        <w:rFonts w:ascii="Courier New" w:hAnsi="Courier New" w:hint="default"/>
      </w:rPr>
    </w:lvl>
    <w:lvl w:ilvl="2" w:tplc="3F448B28" w:tentative="1">
      <w:start w:val="1"/>
      <w:numFmt w:val="bullet"/>
      <w:lvlText w:val="o"/>
      <w:lvlJc w:val="left"/>
      <w:pPr>
        <w:tabs>
          <w:tab w:val="num" w:pos="2160"/>
        </w:tabs>
        <w:ind w:left="2160" w:hanging="360"/>
      </w:pPr>
      <w:rPr>
        <w:rFonts w:ascii="Courier New" w:hAnsi="Courier New" w:hint="default"/>
      </w:rPr>
    </w:lvl>
    <w:lvl w:ilvl="3" w:tplc="05085364" w:tentative="1">
      <w:start w:val="1"/>
      <w:numFmt w:val="bullet"/>
      <w:lvlText w:val="o"/>
      <w:lvlJc w:val="left"/>
      <w:pPr>
        <w:tabs>
          <w:tab w:val="num" w:pos="2880"/>
        </w:tabs>
        <w:ind w:left="2880" w:hanging="360"/>
      </w:pPr>
      <w:rPr>
        <w:rFonts w:ascii="Courier New" w:hAnsi="Courier New" w:hint="default"/>
      </w:rPr>
    </w:lvl>
    <w:lvl w:ilvl="4" w:tplc="A7CCDA16" w:tentative="1">
      <w:start w:val="1"/>
      <w:numFmt w:val="bullet"/>
      <w:lvlText w:val="o"/>
      <w:lvlJc w:val="left"/>
      <w:pPr>
        <w:tabs>
          <w:tab w:val="num" w:pos="3600"/>
        </w:tabs>
        <w:ind w:left="3600" w:hanging="360"/>
      </w:pPr>
      <w:rPr>
        <w:rFonts w:ascii="Courier New" w:hAnsi="Courier New" w:hint="default"/>
      </w:rPr>
    </w:lvl>
    <w:lvl w:ilvl="5" w:tplc="3E84E176" w:tentative="1">
      <w:start w:val="1"/>
      <w:numFmt w:val="bullet"/>
      <w:lvlText w:val="o"/>
      <w:lvlJc w:val="left"/>
      <w:pPr>
        <w:tabs>
          <w:tab w:val="num" w:pos="4320"/>
        </w:tabs>
        <w:ind w:left="4320" w:hanging="360"/>
      </w:pPr>
      <w:rPr>
        <w:rFonts w:ascii="Courier New" w:hAnsi="Courier New" w:hint="default"/>
      </w:rPr>
    </w:lvl>
    <w:lvl w:ilvl="6" w:tplc="F49454EC" w:tentative="1">
      <w:start w:val="1"/>
      <w:numFmt w:val="bullet"/>
      <w:lvlText w:val="o"/>
      <w:lvlJc w:val="left"/>
      <w:pPr>
        <w:tabs>
          <w:tab w:val="num" w:pos="5040"/>
        </w:tabs>
        <w:ind w:left="5040" w:hanging="360"/>
      </w:pPr>
      <w:rPr>
        <w:rFonts w:ascii="Courier New" w:hAnsi="Courier New" w:hint="default"/>
      </w:rPr>
    </w:lvl>
    <w:lvl w:ilvl="7" w:tplc="6AAE2BCC" w:tentative="1">
      <w:start w:val="1"/>
      <w:numFmt w:val="bullet"/>
      <w:lvlText w:val="o"/>
      <w:lvlJc w:val="left"/>
      <w:pPr>
        <w:tabs>
          <w:tab w:val="num" w:pos="5760"/>
        </w:tabs>
        <w:ind w:left="5760" w:hanging="360"/>
      </w:pPr>
      <w:rPr>
        <w:rFonts w:ascii="Courier New" w:hAnsi="Courier New" w:hint="default"/>
      </w:rPr>
    </w:lvl>
    <w:lvl w:ilvl="8" w:tplc="8CA633E2" w:tentative="1">
      <w:start w:val="1"/>
      <w:numFmt w:val="bullet"/>
      <w:lvlText w:val="o"/>
      <w:lvlJc w:val="left"/>
      <w:pPr>
        <w:tabs>
          <w:tab w:val="num" w:pos="6480"/>
        </w:tabs>
        <w:ind w:left="6480" w:hanging="360"/>
      </w:pPr>
      <w:rPr>
        <w:rFonts w:ascii="Courier New" w:hAnsi="Courier New" w:hint="default"/>
      </w:rPr>
    </w:lvl>
  </w:abstractNum>
  <w:num w:numId="1">
    <w:abstractNumId w:val="4"/>
  </w:num>
  <w:num w:numId="2">
    <w:abstractNumId w:val="7"/>
  </w:num>
  <w:num w:numId="3">
    <w:abstractNumId w:val="1"/>
  </w:num>
  <w:num w:numId="4">
    <w:abstractNumId w:val="6"/>
  </w:num>
  <w:num w:numId="5">
    <w:abstractNumId w:val="8"/>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B8"/>
    <w:rsid w:val="000067DD"/>
    <w:rsid w:val="00016343"/>
    <w:rsid w:val="000244FE"/>
    <w:rsid w:val="00030EFF"/>
    <w:rsid w:val="00070B2C"/>
    <w:rsid w:val="000742F2"/>
    <w:rsid w:val="000D1B46"/>
    <w:rsid w:val="000D5654"/>
    <w:rsid w:val="000E31DE"/>
    <w:rsid w:val="000F1B3C"/>
    <w:rsid w:val="000F5377"/>
    <w:rsid w:val="00101C27"/>
    <w:rsid w:val="001020DA"/>
    <w:rsid w:val="00106417"/>
    <w:rsid w:val="001263B6"/>
    <w:rsid w:val="001472F6"/>
    <w:rsid w:val="00157CEC"/>
    <w:rsid w:val="00182F44"/>
    <w:rsid w:val="001952AB"/>
    <w:rsid w:val="00196F03"/>
    <w:rsid w:val="001C2912"/>
    <w:rsid w:val="001E1956"/>
    <w:rsid w:val="002051E2"/>
    <w:rsid w:val="002110AA"/>
    <w:rsid w:val="002159E5"/>
    <w:rsid w:val="00227C13"/>
    <w:rsid w:val="00241A51"/>
    <w:rsid w:val="002475EE"/>
    <w:rsid w:val="00280F9C"/>
    <w:rsid w:val="002A3B1F"/>
    <w:rsid w:val="002A4069"/>
    <w:rsid w:val="00304C93"/>
    <w:rsid w:val="0031597C"/>
    <w:rsid w:val="00344B1B"/>
    <w:rsid w:val="00344B30"/>
    <w:rsid w:val="00353AD7"/>
    <w:rsid w:val="0036098A"/>
    <w:rsid w:val="003863F3"/>
    <w:rsid w:val="003B22FE"/>
    <w:rsid w:val="003C3D4D"/>
    <w:rsid w:val="003D140A"/>
    <w:rsid w:val="003D235F"/>
    <w:rsid w:val="003E24C0"/>
    <w:rsid w:val="003E4E25"/>
    <w:rsid w:val="003E7426"/>
    <w:rsid w:val="003E7505"/>
    <w:rsid w:val="003F0A45"/>
    <w:rsid w:val="003F2975"/>
    <w:rsid w:val="003F3C0E"/>
    <w:rsid w:val="0042563A"/>
    <w:rsid w:val="0044237B"/>
    <w:rsid w:val="00464F67"/>
    <w:rsid w:val="00466154"/>
    <w:rsid w:val="004741DB"/>
    <w:rsid w:val="004936F7"/>
    <w:rsid w:val="004A62A7"/>
    <w:rsid w:val="004C7C27"/>
    <w:rsid w:val="004D5369"/>
    <w:rsid w:val="004E02D3"/>
    <w:rsid w:val="004E351F"/>
    <w:rsid w:val="004F0218"/>
    <w:rsid w:val="004F38D0"/>
    <w:rsid w:val="004F5F85"/>
    <w:rsid w:val="00510628"/>
    <w:rsid w:val="005117CE"/>
    <w:rsid w:val="005249B8"/>
    <w:rsid w:val="0052707A"/>
    <w:rsid w:val="00532273"/>
    <w:rsid w:val="00581D40"/>
    <w:rsid w:val="005A6AB5"/>
    <w:rsid w:val="005B307D"/>
    <w:rsid w:val="005D7EF0"/>
    <w:rsid w:val="005F0451"/>
    <w:rsid w:val="005F243C"/>
    <w:rsid w:val="0060117C"/>
    <w:rsid w:val="006108F1"/>
    <w:rsid w:val="00616FD5"/>
    <w:rsid w:val="0062629D"/>
    <w:rsid w:val="00633142"/>
    <w:rsid w:val="00633E86"/>
    <w:rsid w:val="0063415E"/>
    <w:rsid w:val="00634F05"/>
    <w:rsid w:val="00662D8A"/>
    <w:rsid w:val="00675273"/>
    <w:rsid w:val="00683E24"/>
    <w:rsid w:val="00691A5A"/>
    <w:rsid w:val="00697D9A"/>
    <w:rsid w:val="006C0A79"/>
    <w:rsid w:val="006C14A4"/>
    <w:rsid w:val="006C6E24"/>
    <w:rsid w:val="006C7C5C"/>
    <w:rsid w:val="006E0F55"/>
    <w:rsid w:val="00702E08"/>
    <w:rsid w:val="00703F2B"/>
    <w:rsid w:val="00752562"/>
    <w:rsid w:val="00754C30"/>
    <w:rsid w:val="007561D1"/>
    <w:rsid w:val="00760129"/>
    <w:rsid w:val="00761445"/>
    <w:rsid w:val="007920DA"/>
    <w:rsid w:val="00797F9C"/>
    <w:rsid w:val="007A109B"/>
    <w:rsid w:val="007B459B"/>
    <w:rsid w:val="007B5C6F"/>
    <w:rsid w:val="007D6086"/>
    <w:rsid w:val="00817E57"/>
    <w:rsid w:val="00820527"/>
    <w:rsid w:val="008731EF"/>
    <w:rsid w:val="008B320A"/>
    <w:rsid w:val="008C510A"/>
    <w:rsid w:val="00922362"/>
    <w:rsid w:val="00925B1D"/>
    <w:rsid w:val="00936F9F"/>
    <w:rsid w:val="00947894"/>
    <w:rsid w:val="00956577"/>
    <w:rsid w:val="009645D5"/>
    <w:rsid w:val="00972663"/>
    <w:rsid w:val="00973094"/>
    <w:rsid w:val="00975B4D"/>
    <w:rsid w:val="00977134"/>
    <w:rsid w:val="00984A6E"/>
    <w:rsid w:val="00991BA3"/>
    <w:rsid w:val="009E2DD8"/>
    <w:rsid w:val="009E3C64"/>
    <w:rsid w:val="00A01A8A"/>
    <w:rsid w:val="00A03935"/>
    <w:rsid w:val="00A33381"/>
    <w:rsid w:val="00A4283D"/>
    <w:rsid w:val="00A65016"/>
    <w:rsid w:val="00A752E2"/>
    <w:rsid w:val="00A80ED2"/>
    <w:rsid w:val="00A93F52"/>
    <w:rsid w:val="00AB2A9B"/>
    <w:rsid w:val="00AB5C37"/>
    <w:rsid w:val="00AD0312"/>
    <w:rsid w:val="00AD34B4"/>
    <w:rsid w:val="00AE694C"/>
    <w:rsid w:val="00B036F7"/>
    <w:rsid w:val="00B07227"/>
    <w:rsid w:val="00B551C7"/>
    <w:rsid w:val="00B66AD7"/>
    <w:rsid w:val="00BA160C"/>
    <w:rsid w:val="00BF15C9"/>
    <w:rsid w:val="00BF38C3"/>
    <w:rsid w:val="00C02FE1"/>
    <w:rsid w:val="00C03536"/>
    <w:rsid w:val="00C17FD1"/>
    <w:rsid w:val="00C45504"/>
    <w:rsid w:val="00C74FD6"/>
    <w:rsid w:val="00C853EC"/>
    <w:rsid w:val="00CB2324"/>
    <w:rsid w:val="00CD3C0C"/>
    <w:rsid w:val="00CD6CD9"/>
    <w:rsid w:val="00CE352E"/>
    <w:rsid w:val="00CE6A4E"/>
    <w:rsid w:val="00CF13CE"/>
    <w:rsid w:val="00D00268"/>
    <w:rsid w:val="00D31F31"/>
    <w:rsid w:val="00D33037"/>
    <w:rsid w:val="00D4007B"/>
    <w:rsid w:val="00D55A56"/>
    <w:rsid w:val="00DC3694"/>
    <w:rsid w:val="00DD567F"/>
    <w:rsid w:val="00DE4019"/>
    <w:rsid w:val="00DF3CA8"/>
    <w:rsid w:val="00E147C5"/>
    <w:rsid w:val="00E26EDA"/>
    <w:rsid w:val="00E474D6"/>
    <w:rsid w:val="00E52298"/>
    <w:rsid w:val="00E5342E"/>
    <w:rsid w:val="00E6662F"/>
    <w:rsid w:val="00EC2702"/>
    <w:rsid w:val="00EC6836"/>
    <w:rsid w:val="00ED08A0"/>
    <w:rsid w:val="00EF4B0B"/>
    <w:rsid w:val="00F44123"/>
    <w:rsid w:val="00F465E7"/>
    <w:rsid w:val="00F70293"/>
    <w:rsid w:val="00F942EA"/>
    <w:rsid w:val="00F970DA"/>
    <w:rsid w:val="00FB2415"/>
    <w:rsid w:val="00FC3368"/>
    <w:rsid w:val="00FE0A0C"/>
    <w:rsid w:val="00FE529A"/>
    <w:rsid w:val="00FF55BF"/>
    <w:rsid w:val="01C4A486"/>
    <w:rsid w:val="02C491A2"/>
    <w:rsid w:val="057E3EFB"/>
    <w:rsid w:val="05F0D53F"/>
    <w:rsid w:val="07ED1D0F"/>
    <w:rsid w:val="089C3257"/>
    <w:rsid w:val="08CAB8A1"/>
    <w:rsid w:val="095F7BC3"/>
    <w:rsid w:val="0B1575CC"/>
    <w:rsid w:val="0B2F622F"/>
    <w:rsid w:val="0B525E6F"/>
    <w:rsid w:val="0E8EE123"/>
    <w:rsid w:val="0EC0AF39"/>
    <w:rsid w:val="1050627D"/>
    <w:rsid w:val="1074D277"/>
    <w:rsid w:val="10F7DA0E"/>
    <w:rsid w:val="126F06FC"/>
    <w:rsid w:val="127FE488"/>
    <w:rsid w:val="13561E68"/>
    <w:rsid w:val="15A095D4"/>
    <w:rsid w:val="16539E8B"/>
    <w:rsid w:val="1B706FBF"/>
    <w:rsid w:val="1CF2B4C9"/>
    <w:rsid w:val="1D38030E"/>
    <w:rsid w:val="1DB6CDBC"/>
    <w:rsid w:val="1DC506D6"/>
    <w:rsid w:val="1DE5412A"/>
    <w:rsid w:val="202AB885"/>
    <w:rsid w:val="20B0AEF7"/>
    <w:rsid w:val="2105E62E"/>
    <w:rsid w:val="220B7431"/>
    <w:rsid w:val="222EB428"/>
    <w:rsid w:val="23C11BD7"/>
    <w:rsid w:val="244657F3"/>
    <w:rsid w:val="24A2793B"/>
    <w:rsid w:val="269FD81A"/>
    <w:rsid w:val="26C5BCF7"/>
    <w:rsid w:val="26DEBA74"/>
    <w:rsid w:val="27B9DE2C"/>
    <w:rsid w:val="2966D405"/>
    <w:rsid w:val="2A83FA84"/>
    <w:rsid w:val="2B992E1A"/>
    <w:rsid w:val="2BC653D5"/>
    <w:rsid w:val="2BF0F23C"/>
    <w:rsid w:val="2C7A567C"/>
    <w:rsid w:val="2E0C73EA"/>
    <w:rsid w:val="2EC6F6E5"/>
    <w:rsid w:val="311A3276"/>
    <w:rsid w:val="3195E3B5"/>
    <w:rsid w:val="326F7794"/>
    <w:rsid w:val="3349AD83"/>
    <w:rsid w:val="33806A97"/>
    <w:rsid w:val="33E0C939"/>
    <w:rsid w:val="3438D93C"/>
    <w:rsid w:val="3492F1A1"/>
    <w:rsid w:val="36C7D20E"/>
    <w:rsid w:val="36F3E5D2"/>
    <w:rsid w:val="3887105E"/>
    <w:rsid w:val="39AD07FF"/>
    <w:rsid w:val="3A475F9D"/>
    <w:rsid w:val="3A7A8979"/>
    <w:rsid w:val="3CC20B2A"/>
    <w:rsid w:val="3CC654CE"/>
    <w:rsid w:val="3CEF5C20"/>
    <w:rsid w:val="3D5052F3"/>
    <w:rsid w:val="3E6F7BDA"/>
    <w:rsid w:val="3EE53306"/>
    <w:rsid w:val="407E08E1"/>
    <w:rsid w:val="419EC2E2"/>
    <w:rsid w:val="41FBE1E3"/>
    <w:rsid w:val="4451E01C"/>
    <w:rsid w:val="44EB4732"/>
    <w:rsid w:val="462056D2"/>
    <w:rsid w:val="465DF47B"/>
    <w:rsid w:val="47B14B55"/>
    <w:rsid w:val="47F7202C"/>
    <w:rsid w:val="47F77EFF"/>
    <w:rsid w:val="48455BFA"/>
    <w:rsid w:val="496401EC"/>
    <w:rsid w:val="4BCC3FE8"/>
    <w:rsid w:val="4C6435CB"/>
    <w:rsid w:val="4DD03B8B"/>
    <w:rsid w:val="4EE14540"/>
    <w:rsid w:val="4FEBA552"/>
    <w:rsid w:val="50F2EE74"/>
    <w:rsid w:val="51158A54"/>
    <w:rsid w:val="51CFD5C2"/>
    <w:rsid w:val="51F3AB6C"/>
    <w:rsid w:val="5225DA3B"/>
    <w:rsid w:val="54C3A982"/>
    <w:rsid w:val="565892BD"/>
    <w:rsid w:val="56D86026"/>
    <w:rsid w:val="57EAB071"/>
    <w:rsid w:val="58366C26"/>
    <w:rsid w:val="58B25834"/>
    <w:rsid w:val="592F8448"/>
    <w:rsid w:val="5972FE5C"/>
    <w:rsid w:val="59CF46AE"/>
    <w:rsid w:val="5A0F4387"/>
    <w:rsid w:val="5A80A85D"/>
    <w:rsid w:val="5C3B3F05"/>
    <w:rsid w:val="5DB8491F"/>
    <w:rsid w:val="623E172F"/>
    <w:rsid w:val="63416076"/>
    <w:rsid w:val="63F5631D"/>
    <w:rsid w:val="65834B03"/>
    <w:rsid w:val="672E5DFD"/>
    <w:rsid w:val="68103377"/>
    <w:rsid w:val="69A1D54A"/>
    <w:rsid w:val="69AC03D8"/>
    <w:rsid w:val="6A4B7C44"/>
    <w:rsid w:val="6A64A4A1"/>
    <w:rsid w:val="6C3E1F9E"/>
    <w:rsid w:val="6CD9760C"/>
    <w:rsid w:val="6E73D648"/>
    <w:rsid w:val="704127F4"/>
    <w:rsid w:val="7193BED2"/>
    <w:rsid w:val="734E4058"/>
    <w:rsid w:val="74459BF3"/>
    <w:rsid w:val="758DAEAA"/>
    <w:rsid w:val="76E33651"/>
    <w:rsid w:val="78CDBD33"/>
    <w:rsid w:val="79F16566"/>
    <w:rsid w:val="7BAFCBBA"/>
    <w:rsid w:val="7BCEA0E1"/>
    <w:rsid w:val="7EE1E9A1"/>
    <w:rsid w:val="7FEF9A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2B59"/>
  <w15:chartTrackingRefBased/>
  <w15:docId w15:val="{F77FDD04-A78A-4246-B535-371A3914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9B8"/>
    <w:rPr>
      <w:color w:val="0563C1" w:themeColor="hyperlink"/>
      <w:u w:val="single"/>
    </w:rPr>
  </w:style>
  <w:style w:type="character" w:customStyle="1" w:styleId="UnresolvedMention1">
    <w:name w:val="Unresolved Mention1"/>
    <w:basedOn w:val="DefaultParagraphFont"/>
    <w:uiPriority w:val="99"/>
    <w:semiHidden/>
    <w:unhideWhenUsed/>
    <w:rsid w:val="005249B8"/>
    <w:rPr>
      <w:color w:val="605E5C"/>
      <w:shd w:val="clear" w:color="auto" w:fill="E1DFDD"/>
    </w:rPr>
  </w:style>
  <w:style w:type="paragraph" w:styleId="ListParagraph">
    <w:name w:val="List Paragraph"/>
    <w:basedOn w:val="Normal"/>
    <w:uiPriority w:val="34"/>
    <w:qFormat/>
    <w:rsid w:val="005249B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GridTable4">
    <w:name w:val="Grid Table 4"/>
    <w:basedOn w:val="TableNormal"/>
    <w:uiPriority w:val="49"/>
    <w:rsid w:val="00CE6A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7A109B"/>
  </w:style>
  <w:style w:type="character" w:customStyle="1" w:styleId="eop">
    <w:name w:val="eop"/>
    <w:basedOn w:val="DefaultParagraphFont"/>
    <w:rsid w:val="007A109B"/>
  </w:style>
  <w:style w:type="paragraph" w:styleId="CommentSubject">
    <w:name w:val="annotation subject"/>
    <w:basedOn w:val="CommentText"/>
    <w:next w:val="CommentText"/>
    <w:link w:val="CommentSubjectChar"/>
    <w:uiPriority w:val="99"/>
    <w:semiHidden/>
    <w:unhideWhenUsed/>
    <w:rsid w:val="003F2975"/>
    <w:rPr>
      <w:b/>
      <w:bCs/>
    </w:rPr>
  </w:style>
  <w:style w:type="character" w:customStyle="1" w:styleId="CommentSubjectChar">
    <w:name w:val="Comment Subject Char"/>
    <w:basedOn w:val="CommentTextChar"/>
    <w:link w:val="CommentSubject"/>
    <w:uiPriority w:val="99"/>
    <w:semiHidden/>
    <w:rsid w:val="003F2975"/>
    <w:rPr>
      <w:b/>
      <w:bCs/>
      <w:sz w:val="20"/>
      <w:szCs w:val="20"/>
    </w:rPr>
  </w:style>
  <w:style w:type="character" w:styleId="FollowedHyperlink">
    <w:name w:val="FollowedHyperlink"/>
    <w:basedOn w:val="DefaultParagraphFont"/>
    <w:uiPriority w:val="99"/>
    <w:semiHidden/>
    <w:unhideWhenUsed/>
    <w:rsid w:val="007B459B"/>
    <w:rPr>
      <w:color w:val="954F72" w:themeColor="followedHyperlink"/>
      <w:u w:val="single"/>
    </w:rPr>
  </w:style>
  <w:style w:type="character" w:customStyle="1" w:styleId="Heading1Char">
    <w:name w:val="Heading 1 Char"/>
    <w:basedOn w:val="DefaultParagraphFont"/>
    <w:link w:val="Heading1"/>
    <w:uiPriority w:val="9"/>
    <w:rsid w:val="003159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5D7EF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22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354850">
      <w:bodyDiv w:val="1"/>
      <w:marLeft w:val="0"/>
      <w:marRight w:val="0"/>
      <w:marTop w:val="0"/>
      <w:marBottom w:val="0"/>
      <w:divBdr>
        <w:top w:val="none" w:sz="0" w:space="0" w:color="auto"/>
        <w:left w:val="none" w:sz="0" w:space="0" w:color="auto"/>
        <w:bottom w:val="none" w:sz="0" w:space="0" w:color="auto"/>
        <w:right w:val="none" w:sz="0" w:space="0" w:color="auto"/>
      </w:divBdr>
    </w:div>
    <w:div w:id="768357404">
      <w:bodyDiv w:val="1"/>
      <w:marLeft w:val="0"/>
      <w:marRight w:val="0"/>
      <w:marTop w:val="0"/>
      <w:marBottom w:val="0"/>
      <w:divBdr>
        <w:top w:val="none" w:sz="0" w:space="0" w:color="auto"/>
        <w:left w:val="none" w:sz="0" w:space="0" w:color="auto"/>
        <w:bottom w:val="none" w:sz="0" w:space="0" w:color="auto"/>
        <w:right w:val="none" w:sz="0" w:space="0" w:color="auto"/>
      </w:divBdr>
      <w:divsChild>
        <w:div w:id="226649396">
          <w:marLeft w:val="360"/>
          <w:marRight w:val="0"/>
          <w:marTop w:val="200"/>
          <w:marBottom w:val="0"/>
          <w:divBdr>
            <w:top w:val="none" w:sz="0" w:space="0" w:color="auto"/>
            <w:left w:val="none" w:sz="0" w:space="0" w:color="auto"/>
            <w:bottom w:val="none" w:sz="0" w:space="0" w:color="auto"/>
            <w:right w:val="none" w:sz="0" w:space="0" w:color="auto"/>
          </w:divBdr>
        </w:div>
        <w:div w:id="1776168014">
          <w:marLeft w:val="360"/>
          <w:marRight w:val="0"/>
          <w:marTop w:val="200"/>
          <w:marBottom w:val="0"/>
          <w:divBdr>
            <w:top w:val="none" w:sz="0" w:space="0" w:color="auto"/>
            <w:left w:val="none" w:sz="0" w:space="0" w:color="auto"/>
            <w:bottom w:val="none" w:sz="0" w:space="0" w:color="auto"/>
            <w:right w:val="none" w:sz="0" w:space="0" w:color="auto"/>
          </w:divBdr>
        </w:div>
      </w:divsChild>
    </w:div>
    <w:div w:id="853150015">
      <w:bodyDiv w:val="1"/>
      <w:marLeft w:val="0"/>
      <w:marRight w:val="0"/>
      <w:marTop w:val="0"/>
      <w:marBottom w:val="0"/>
      <w:divBdr>
        <w:top w:val="none" w:sz="0" w:space="0" w:color="auto"/>
        <w:left w:val="none" w:sz="0" w:space="0" w:color="auto"/>
        <w:bottom w:val="none" w:sz="0" w:space="0" w:color="auto"/>
        <w:right w:val="none" w:sz="0" w:space="0" w:color="auto"/>
      </w:divBdr>
      <w:divsChild>
        <w:div w:id="646980408">
          <w:marLeft w:val="360"/>
          <w:marRight w:val="0"/>
          <w:marTop w:val="200"/>
          <w:marBottom w:val="0"/>
          <w:divBdr>
            <w:top w:val="none" w:sz="0" w:space="0" w:color="auto"/>
            <w:left w:val="none" w:sz="0" w:space="0" w:color="auto"/>
            <w:bottom w:val="none" w:sz="0" w:space="0" w:color="auto"/>
            <w:right w:val="none" w:sz="0" w:space="0" w:color="auto"/>
          </w:divBdr>
        </w:div>
        <w:div w:id="1937522043">
          <w:marLeft w:val="1080"/>
          <w:marRight w:val="0"/>
          <w:marTop w:val="100"/>
          <w:marBottom w:val="0"/>
          <w:divBdr>
            <w:top w:val="none" w:sz="0" w:space="0" w:color="auto"/>
            <w:left w:val="none" w:sz="0" w:space="0" w:color="auto"/>
            <w:bottom w:val="none" w:sz="0" w:space="0" w:color="auto"/>
            <w:right w:val="none" w:sz="0" w:space="0" w:color="auto"/>
          </w:divBdr>
        </w:div>
      </w:divsChild>
    </w:div>
    <w:div w:id="1021971672">
      <w:bodyDiv w:val="1"/>
      <w:marLeft w:val="0"/>
      <w:marRight w:val="0"/>
      <w:marTop w:val="0"/>
      <w:marBottom w:val="0"/>
      <w:divBdr>
        <w:top w:val="none" w:sz="0" w:space="0" w:color="auto"/>
        <w:left w:val="none" w:sz="0" w:space="0" w:color="auto"/>
        <w:bottom w:val="none" w:sz="0" w:space="0" w:color="auto"/>
        <w:right w:val="none" w:sz="0" w:space="0" w:color="auto"/>
      </w:divBdr>
    </w:div>
    <w:div w:id="1387876096">
      <w:bodyDiv w:val="1"/>
      <w:marLeft w:val="0"/>
      <w:marRight w:val="0"/>
      <w:marTop w:val="0"/>
      <w:marBottom w:val="0"/>
      <w:divBdr>
        <w:top w:val="none" w:sz="0" w:space="0" w:color="auto"/>
        <w:left w:val="none" w:sz="0" w:space="0" w:color="auto"/>
        <w:bottom w:val="none" w:sz="0" w:space="0" w:color="auto"/>
        <w:right w:val="none" w:sz="0" w:space="0" w:color="auto"/>
      </w:divBdr>
      <w:divsChild>
        <w:div w:id="1655182691">
          <w:marLeft w:val="360"/>
          <w:marRight w:val="0"/>
          <w:marTop w:val="200"/>
          <w:marBottom w:val="0"/>
          <w:divBdr>
            <w:top w:val="none" w:sz="0" w:space="0" w:color="auto"/>
            <w:left w:val="none" w:sz="0" w:space="0" w:color="auto"/>
            <w:bottom w:val="none" w:sz="0" w:space="0" w:color="auto"/>
            <w:right w:val="none" w:sz="0" w:space="0" w:color="auto"/>
          </w:divBdr>
        </w:div>
        <w:div w:id="1920672472">
          <w:marLeft w:val="360"/>
          <w:marRight w:val="0"/>
          <w:marTop w:val="200"/>
          <w:marBottom w:val="0"/>
          <w:divBdr>
            <w:top w:val="none" w:sz="0" w:space="0" w:color="auto"/>
            <w:left w:val="none" w:sz="0" w:space="0" w:color="auto"/>
            <w:bottom w:val="none" w:sz="0" w:space="0" w:color="auto"/>
            <w:right w:val="none" w:sz="0" w:space="0" w:color="auto"/>
          </w:divBdr>
        </w:div>
      </w:divsChild>
    </w:div>
    <w:div w:id="1485076009">
      <w:bodyDiv w:val="1"/>
      <w:marLeft w:val="0"/>
      <w:marRight w:val="0"/>
      <w:marTop w:val="0"/>
      <w:marBottom w:val="0"/>
      <w:divBdr>
        <w:top w:val="none" w:sz="0" w:space="0" w:color="auto"/>
        <w:left w:val="none" w:sz="0" w:space="0" w:color="auto"/>
        <w:bottom w:val="none" w:sz="0" w:space="0" w:color="auto"/>
        <w:right w:val="none" w:sz="0" w:space="0" w:color="auto"/>
      </w:divBdr>
      <w:divsChild>
        <w:div w:id="282998708">
          <w:marLeft w:val="1080"/>
          <w:marRight w:val="0"/>
          <w:marTop w:val="100"/>
          <w:marBottom w:val="0"/>
          <w:divBdr>
            <w:top w:val="none" w:sz="0" w:space="0" w:color="auto"/>
            <w:left w:val="none" w:sz="0" w:space="0" w:color="auto"/>
            <w:bottom w:val="none" w:sz="0" w:space="0" w:color="auto"/>
            <w:right w:val="none" w:sz="0" w:space="0" w:color="auto"/>
          </w:divBdr>
        </w:div>
        <w:div w:id="1321544275">
          <w:marLeft w:val="360"/>
          <w:marRight w:val="0"/>
          <w:marTop w:val="200"/>
          <w:marBottom w:val="0"/>
          <w:divBdr>
            <w:top w:val="none" w:sz="0" w:space="0" w:color="auto"/>
            <w:left w:val="none" w:sz="0" w:space="0" w:color="auto"/>
            <w:bottom w:val="none" w:sz="0" w:space="0" w:color="auto"/>
            <w:right w:val="none" w:sz="0" w:space="0" w:color="auto"/>
          </w:divBdr>
        </w:div>
        <w:div w:id="1576548468">
          <w:marLeft w:val="360"/>
          <w:marRight w:val="0"/>
          <w:marTop w:val="200"/>
          <w:marBottom w:val="0"/>
          <w:divBdr>
            <w:top w:val="none" w:sz="0" w:space="0" w:color="auto"/>
            <w:left w:val="none" w:sz="0" w:space="0" w:color="auto"/>
            <w:bottom w:val="none" w:sz="0" w:space="0" w:color="auto"/>
            <w:right w:val="none" w:sz="0" w:space="0" w:color="auto"/>
          </w:divBdr>
        </w:div>
      </w:divsChild>
    </w:div>
    <w:div w:id="1675303203">
      <w:bodyDiv w:val="1"/>
      <w:marLeft w:val="0"/>
      <w:marRight w:val="0"/>
      <w:marTop w:val="0"/>
      <w:marBottom w:val="0"/>
      <w:divBdr>
        <w:top w:val="none" w:sz="0" w:space="0" w:color="auto"/>
        <w:left w:val="none" w:sz="0" w:space="0" w:color="auto"/>
        <w:bottom w:val="none" w:sz="0" w:space="0" w:color="auto"/>
        <w:right w:val="none" w:sz="0" w:space="0" w:color="auto"/>
      </w:divBdr>
      <w:divsChild>
        <w:div w:id="903561343">
          <w:marLeft w:val="360"/>
          <w:marRight w:val="0"/>
          <w:marTop w:val="200"/>
          <w:marBottom w:val="0"/>
          <w:divBdr>
            <w:top w:val="none" w:sz="0" w:space="0" w:color="auto"/>
            <w:left w:val="none" w:sz="0" w:space="0" w:color="auto"/>
            <w:bottom w:val="none" w:sz="0" w:space="0" w:color="auto"/>
            <w:right w:val="none" w:sz="0" w:space="0" w:color="auto"/>
          </w:divBdr>
        </w:div>
        <w:div w:id="1493835271">
          <w:marLeft w:val="360"/>
          <w:marRight w:val="0"/>
          <w:marTop w:val="200"/>
          <w:marBottom w:val="0"/>
          <w:divBdr>
            <w:top w:val="none" w:sz="0" w:space="0" w:color="auto"/>
            <w:left w:val="none" w:sz="0" w:space="0" w:color="auto"/>
            <w:bottom w:val="none" w:sz="0" w:space="0" w:color="auto"/>
            <w:right w:val="none" w:sz="0" w:space="0" w:color="auto"/>
          </w:divBdr>
        </w:div>
      </w:divsChild>
    </w:div>
    <w:div w:id="2065644173">
      <w:bodyDiv w:val="1"/>
      <w:marLeft w:val="0"/>
      <w:marRight w:val="0"/>
      <w:marTop w:val="0"/>
      <w:marBottom w:val="0"/>
      <w:divBdr>
        <w:top w:val="none" w:sz="0" w:space="0" w:color="auto"/>
        <w:left w:val="none" w:sz="0" w:space="0" w:color="auto"/>
        <w:bottom w:val="none" w:sz="0" w:space="0" w:color="auto"/>
        <w:right w:val="none" w:sz="0" w:space="0" w:color="auto"/>
      </w:divBdr>
      <w:divsChild>
        <w:div w:id="499540758">
          <w:marLeft w:val="360"/>
          <w:marRight w:val="0"/>
          <w:marTop w:val="200"/>
          <w:marBottom w:val="0"/>
          <w:divBdr>
            <w:top w:val="none" w:sz="0" w:space="0" w:color="auto"/>
            <w:left w:val="none" w:sz="0" w:space="0" w:color="auto"/>
            <w:bottom w:val="none" w:sz="0" w:space="0" w:color="auto"/>
            <w:right w:val="none" w:sz="0" w:space="0" w:color="auto"/>
          </w:divBdr>
        </w:div>
        <w:div w:id="94569394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advisory/2017-0616iep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sped/advisories/2018-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mcas/graduation.html" TargetMode="External"/><Relationship Id="rId5" Type="http://schemas.openxmlformats.org/officeDocument/2006/relationships/styles" Target="styles.xml"/><Relationship Id="rId15" Type="http://schemas.openxmlformats.org/officeDocument/2006/relationships/hyperlink" Target="https://www.doe.mass.edu/sped/spp/indicators/indicator1/indicator1-slides-spanish.pptx" TargetMode="External"/><Relationship Id="rId10" Type="http://schemas.openxmlformats.org/officeDocument/2006/relationships/hyperlink" Target="https://www.doe.mass.edu/infoservices/data/si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mcas/gradu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1" ma:contentTypeDescription="Create a new document." ma:contentTypeScope="" ma:versionID="04841e15069e1320190aeb32384c1f6c">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6feab1529cbb954d8841a6b19992995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6ABE1-C03C-4386-82CB-D6B285555A34}">
  <ds:schemaRefs>
    <ds:schemaRef ds:uri="http://schemas.microsoft.com/sharepoint/v3/contenttype/forms"/>
  </ds:schemaRefs>
</ds:datastoreItem>
</file>

<file path=customXml/itemProps2.xml><?xml version="1.0" encoding="utf-8"?>
<ds:datastoreItem xmlns:ds="http://schemas.openxmlformats.org/officeDocument/2006/customXml" ds:itemID="{E544BC81-E520-410A-980C-63E0F20BA3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1D51D-482F-4B53-B4BA-FD6556A0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Indicator 1: Graduation Rate for Students with IEPs — Spanish</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 Graduation Rate for Students with IEPs — Spanish</dc:title>
  <dc:subject/>
  <dc:creator>DESE</dc:creator>
  <cp:keywords/>
  <dc:description/>
  <cp:lastModifiedBy>Zou, Dong (EOE)</cp:lastModifiedBy>
  <cp:revision>29</cp:revision>
  <cp:lastPrinted>2021-10-06T15:39:00Z</cp:lastPrinted>
  <dcterms:created xsi:type="dcterms:W3CDTF">2021-10-06T15:21:00Z</dcterms:created>
  <dcterms:modified xsi:type="dcterms:W3CDTF">2023-01-03T15:49:00Z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 2023 12:00AM</vt:lpwstr>
  </property>
</Properties>
</file>