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3C01A" w14:textId="77777777" w:rsidR="758DAEAA" w:rsidRPr="00821673" w:rsidRDefault="004257DC" w:rsidP="0031597C">
      <w:pPr>
        <w:pStyle w:val="Heading1"/>
        <w:rPr>
          <w:rFonts w:ascii="Times New Roman" w:hAnsi="Times New Roman"/>
          <w:b/>
          <w:bCs/>
          <w:color w:val="4472C4"/>
        </w:rPr>
      </w:pP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Chỉ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Báo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1: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Tỷ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Lệ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Tốt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Nghiệp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của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Học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Sinh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</w:t>
      </w:r>
      <w:proofErr w:type="spellStart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>được</w:t>
      </w:r>
      <w:proofErr w:type="spellEnd"/>
      <w:r w:rsidRPr="00821673">
        <w:rPr>
          <w:rFonts w:ascii="Times New Roman" w:eastAsia="Arial" w:hAnsi="Times New Roman"/>
          <w:b/>
          <w:bCs/>
          <w:color w:val="4472C4"/>
          <w:bdr w:val="nil"/>
          <w:lang w:eastAsia="vi-VN"/>
        </w:rPr>
        <w:t xml:space="preserve"> IEP</w:t>
      </w:r>
    </w:p>
    <w:p w14:paraId="2E6D838F" w14:textId="77777777" w:rsidR="000D7667" w:rsidRDefault="000D7667" w:rsidP="00947894">
      <w:pPr>
        <w:spacing w:before="120" w:after="120" w:line="240" w:lineRule="auto"/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</w:pPr>
    </w:p>
    <w:p w14:paraId="3A5CBDD2" w14:textId="77777777" w:rsidR="58366C26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b/>
          <w:bCs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1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là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gì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?</w:t>
      </w:r>
    </w:p>
    <w:p w14:paraId="12EAF5F6" w14:textId="77777777" w:rsidR="58366C26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1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biết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tỷ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lệ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được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IEP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tốt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nghiệp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chương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trình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giáo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dục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Mẫu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Giáo-Lớp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12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với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bằng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. </w:t>
      </w:r>
    </w:p>
    <w:p w14:paraId="5AEA9B95" w14:textId="77777777" w:rsidR="0060117C" w:rsidRPr="00BA3985" w:rsidRDefault="004257DC" w:rsidP="0094789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Dữ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liệu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2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lấy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từ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hyperlink r:id="rId10" w:history="1">
        <w:proofErr w:type="spellStart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>Hệ</w:t>
        </w:r>
        <w:proofErr w:type="spellEnd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 xml:space="preserve"> </w:t>
        </w:r>
        <w:proofErr w:type="spellStart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>Thống</w:t>
        </w:r>
        <w:proofErr w:type="spellEnd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 xml:space="preserve"> </w:t>
        </w:r>
        <w:proofErr w:type="spellStart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>Quản</w:t>
        </w:r>
        <w:proofErr w:type="spellEnd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 xml:space="preserve"> </w:t>
        </w:r>
        <w:proofErr w:type="spellStart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>Lý</w:t>
        </w:r>
        <w:proofErr w:type="spellEnd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 xml:space="preserve"> </w:t>
        </w:r>
        <w:proofErr w:type="spellStart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>Thông</w:t>
        </w:r>
        <w:proofErr w:type="spellEnd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 xml:space="preserve"> Tin </w:t>
        </w:r>
        <w:proofErr w:type="spellStart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>Học</w:t>
        </w:r>
        <w:proofErr w:type="spellEnd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 xml:space="preserve"> </w:t>
        </w:r>
        <w:proofErr w:type="spellStart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>Sinh</w:t>
        </w:r>
        <w:proofErr w:type="spellEnd"/>
        <w:r w:rsidRPr="00BA398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bdr w:val="nil"/>
            <w:lang w:eastAsia="vi-VN"/>
          </w:rPr>
          <w:t xml:space="preserve"> (Student Information Management System, hay SIMS)</w:t>
        </w:r>
      </w:hyperlink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của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Ban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Giáo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Dục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Tiểu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và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.</w:t>
      </w:r>
    </w:p>
    <w:p w14:paraId="755F8C53" w14:textId="77777777" w:rsidR="00344B30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b/>
          <w:bCs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Tại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sao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1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lại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quan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trọng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?</w:t>
      </w:r>
    </w:p>
    <w:p w14:paraId="6D974D40" w14:textId="77777777" w:rsidR="00344B30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bookmarkStart w:id="0" w:name="_Hlk82246770"/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1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là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cách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đánh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giá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xem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Massachusetts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có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đáp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ứng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mục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tiêu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là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chuẩn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bị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tất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cả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thành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công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sau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khi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tốt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nghiệp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khi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cao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đẳng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,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làm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việc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,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và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trong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đời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sống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hàng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ngày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hay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không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.</w:t>
      </w:r>
    </w:p>
    <w:bookmarkEnd w:id="0"/>
    <w:p w14:paraId="607B8F40" w14:textId="77777777" w:rsidR="007A109B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b/>
          <w:bCs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Những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Thay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Đổi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với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Cáo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1 </w:t>
      </w:r>
    </w:p>
    <w:p w14:paraId="7F3385F4" w14:textId="77777777" w:rsidR="007A109B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Trong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quá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khứ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,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1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biết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phần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trăm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được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IEP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có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bằng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dựa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theo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tổng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số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được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IEP</w:t>
      </w:r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bắt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đầu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vào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lớp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9</w:t>
      </w:r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. </w:t>
      </w:r>
    </w:p>
    <w:p w14:paraId="76A6DD92" w14:textId="77777777" w:rsidR="00F942EA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Kể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từ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niên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2020-2021,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Văn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Phòng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Hoa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Kỳ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,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Chương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Trình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Giáo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Dục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Đặc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Biệt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(Office of Special Education Programs, hay OSEP)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đòi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hỏi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1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dựa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vào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tỷ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lệ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trên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tổng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số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có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IEP</w:t>
      </w:r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rời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khỏi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trong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năm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i/>
          <w:iCs/>
          <w:sz w:val="24"/>
          <w:szCs w:val="24"/>
          <w:bdr w:val="nil"/>
          <w:lang w:eastAsia="vi-VN"/>
        </w:rPr>
        <w:t>cáo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.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Tỷ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lệ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tốt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nghiệp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đã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cáo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trong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bảng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dưới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đây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đã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được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chiết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tính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lại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dùng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đòi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hỏi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đánh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giá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mới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của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OSEP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để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chúng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tôi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có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thể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duyệt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qua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dữ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liệu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hàng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năm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,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bằng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cùng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cách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tính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mỗi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năm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.  </w:t>
      </w:r>
    </w:p>
    <w:p w14:paraId="7A8F14A9" w14:textId="77777777" w:rsidR="000D5654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b/>
          <w:bCs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Tỷ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Lệ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Tốt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Nghiệp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của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được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IEP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</w:tblGrid>
      <w:tr w:rsidR="004257DC" w:rsidRPr="00BA3985" w14:paraId="04924A07" w14:textId="77777777" w:rsidTr="004B2024">
        <w:tc>
          <w:tcPr>
            <w:tcW w:w="1560" w:type="dxa"/>
            <w:shd w:val="clear" w:color="auto" w:fill="auto"/>
          </w:tcPr>
          <w:p w14:paraId="5E188384" w14:textId="77777777" w:rsidR="005F243C" w:rsidRPr="00BA3985" w:rsidRDefault="005F243C" w:rsidP="004B202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14:paraId="6D7A3CFC" w14:textId="77777777" w:rsidR="005F243C" w:rsidRPr="00BA3985" w:rsidRDefault="005F243C" w:rsidP="004B202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14:paraId="05828E2E" w14:textId="77777777" w:rsidR="005F243C" w:rsidRPr="00BA3985" w:rsidRDefault="005F243C" w:rsidP="004B202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14:paraId="7C952D49" w14:textId="77777777" w:rsidR="005F243C" w:rsidRPr="00BA3985" w:rsidRDefault="005F243C" w:rsidP="004B202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</w:tcPr>
          <w:p w14:paraId="01F73AAA" w14:textId="77777777" w:rsidR="005F243C" w:rsidRPr="00BA3985" w:rsidRDefault="005F243C" w:rsidP="004B202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4257DC" w:rsidRPr="00BA3985" w14:paraId="7EBE3909" w14:textId="77777777" w:rsidTr="004B2024">
        <w:tc>
          <w:tcPr>
            <w:tcW w:w="1560" w:type="dxa"/>
            <w:shd w:val="clear" w:color="auto" w:fill="auto"/>
          </w:tcPr>
          <w:p w14:paraId="7B2E9FD8" w14:textId="77777777" w:rsidR="005F243C" w:rsidRPr="00BA3985" w:rsidRDefault="004257DC" w:rsidP="004B20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85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vi-VN"/>
              </w:rPr>
              <w:t xml:space="preserve"> 74.62%</w:t>
            </w:r>
          </w:p>
        </w:tc>
        <w:tc>
          <w:tcPr>
            <w:tcW w:w="1560" w:type="dxa"/>
            <w:shd w:val="clear" w:color="auto" w:fill="auto"/>
          </w:tcPr>
          <w:p w14:paraId="46B7263B" w14:textId="77777777" w:rsidR="005F243C" w:rsidRPr="00BA3985" w:rsidRDefault="004257DC" w:rsidP="004B20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85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vi-VN"/>
              </w:rPr>
              <w:t xml:space="preserve">74.02% </w:t>
            </w:r>
          </w:p>
        </w:tc>
        <w:tc>
          <w:tcPr>
            <w:tcW w:w="1560" w:type="dxa"/>
            <w:shd w:val="clear" w:color="auto" w:fill="auto"/>
          </w:tcPr>
          <w:p w14:paraId="7B429167" w14:textId="77777777" w:rsidR="005F243C" w:rsidRPr="00BA3985" w:rsidRDefault="004257DC" w:rsidP="004B20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85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vi-VN"/>
              </w:rPr>
              <w:t>74.73%</w:t>
            </w:r>
          </w:p>
        </w:tc>
        <w:tc>
          <w:tcPr>
            <w:tcW w:w="1560" w:type="dxa"/>
            <w:shd w:val="clear" w:color="auto" w:fill="auto"/>
          </w:tcPr>
          <w:p w14:paraId="43D112CE" w14:textId="77777777" w:rsidR="005F243C" w:rsidRPr="00BA3985" w:rsidRDefault="004257DC" w:rsidP="004B20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85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vi-VN"/>
              </w:rPr>
              <w:t>76.33%</w:t>
            </w:r>
          </w:p>
        </w:tc>
        <w:tc>
          <w:tcPr>
            <w:tcW w:w="1560" w:type="dxa"/>
            <w:shd w:val="clear" w:color="auto" w:fill="auto"/>
          </w:tcPr>
          <w:p w14:paraId="46CB4260" w14:textId="77777777" w:rsidR="005F243C" w:rsidRPr="00BA3985" w:rsidRDefault="004257DC" w:rsidP="004B20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85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vi-VN"/>
              </w:rPr>
              <w:t>80.36%</w:t>
            </w:r>
          </w:p>
        </w:tc>
      </w:tr>
    </w:tbl>
    <w:p w14:paraId="629EF824" w14:textId="77777777" w:rsidR="002110AA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b/>
          <w:bCs/>
          <w:sz w:val="24"/>
          <w:szCs w:val="24"/>
        </w:rPr>
      </w:pP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Đánh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Giá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Chỉ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Báo</w:t>
      </w:r>
      <w:proofErr w:type="spellEnd"/>
      <w:r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1              </w:t>
      </w:r>
    </w:p>
    <w:p w14:paraId="07A2703F" w14:textId="77777777" w:rsidR="00AD0312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bookmarkStart w:id="1" w:name="_Hlk82243299"/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Tỷ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lệ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trong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bảng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trên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là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số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từ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14–21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tuổi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được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IEP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đã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tốt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nghiệp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với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bằng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thông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thường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chia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cho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số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từ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14–21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tuổi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được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IEP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rời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khỏi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. “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Rời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”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nghĩa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là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sinh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:  </w:t>
      </w:r>
    </w:p>
    <w:bookmarkEnd w:id="1"/>
    <w:p w14:paraId="7DB8DB54" w14:textId="77777777" w:rsidR="00AD0312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(a)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tốt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nghiệp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với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bằng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trung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thông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thường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HOẶC</w:t>
      </w:r>
    </w:p>
    <w:p w14:paraId="37C3196E" w14:textId="77777777" w:rsidR="00AD0312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bookmarkStart w:id="2" w:name="_Hlk82243316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(b) Massachusetts HOẶC</w:t>
      </w:r>
    </w:p>
    <w:bookmarkEnd w:id="2"/>
    <w:p w14:paraId="52B36ACD" w14:textId="77777777" w:rsidR="00AD0312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(c)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đã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được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chứng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nhận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HOẶC</w:t>
      </w:r>
    </w:p>
    <w:p w14:paraId="48150C25" w14:textId="77777777" w:rsidR="00AD0312" w:rsidRPr="00BA3985" w:rsidRDefault="004257DC" w:rsidP="00947894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(d)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đã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đến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độ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tuổi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tối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đa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HOẶC</w:t>
      </w:r>
    </w:p>
    <w:p w14:paraId="6A7FC0D4" w14:textId="77777777" w:rsidR="5972FE5C" w:rsidRPr="00BA3985" w:rsidRDefault="004257DC" w:rsidP="13561E68">
      <w:pPr>
        <w:spacing w:before="120" w:after="120" w:line="240" w:lineRule="auto"/>
        <w:rPr>
          <w:rFonts w:ascii="Times New Roman" w:eastAsia="Yu Mincho" w:hAnsi="Times New Roman" w:cs="Times New Roman"/>
          <w:sz w:val="24"/>
          <w:szCs w:val="24"/>
        </w:rPr>
      </w:pPr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(e)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bỏ</w:t>
      </w:r>
      <w:proofErr w:type="spellEnd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 xml:space="preserve"> </w:t>
      </w:r>
      <w:proofErr w:type="spellStart"/>
      <w:r w:rsidRPr="00BA3985">
        <w:rPr>
          <w:rFonts w:ascii="Times New Roman" w:eastAsia="Arial" w:hAnsi="Times New Roman" w:cs="Times New Roman"/>
          <w:sz w:val="24"/>
          <w:szCs w:val="24"/>
          <w:bdr w:val="nil"/>
          <w:lang w:eastAsia="vi-VN"/>
        </w:rPr>
        <w:t>học</w:t>
      </w:r>
      <w:proofErr w:type="spellEnd"/>
    </w:p>
    <w:p w14:paraId="4215799B" w14:textId="77777777" w:rsidR="00925B1D" w:rsidRPr="00BA3985" w:rsidRDefault="008571EB" w:rsidP="00947894">
      <w:pPr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proofErr w:type="spellStart"/>
        <w:r w:rsidR="004257DC" w:rsidRPr="00BA3985">
          <w:rPr>
            <w:rFonts w:ascii="Times New Roman" w:eastAsia="Arial" w:hAnsi="Times New Roman" w:cs="Times New Roman"/>
            <w:b/>
            <w:bCs/>
            <w:color w:val="0563C1"/>
            <w:sz w:val="24"/>
            <w:szCs w:val="24"/>
            <w:u w:val="single"/>
            <w:bdr w:val="nil"/>
            <w:lang w:eastAsia="vi-VN"/>
          </w:rPr>
          <w:t>Để</w:t>
        </w:r>
        <w:proofErr w:type="spellEnd"/>
        <w:r w:rsidR="004257DC" w:rsidRPr="00BA3985">
          <w:rPr>
            <w:rFonts w:ascii="Times New Roman" w:eastAsia="Arial" w:hAnsi="Times New Roman" w:cs="Times New Roman"/>
            <w:b/>
            <w:bCs/>
            <w:color w:val="0563C1"/>
            <w:sz w:val="24"/>
            <w:szCs w:val="24"/>
            <w:u w:val="single"/>
            <w:bdr w:val="nil"/>
            <w:lang w:eastAsia="vi-VN"/>
          </w:rPr>
          <w:t xml:space="preserve"> </w:t>
        </w:r>
        <w:proofErr w:type="spellStart"/>
        <w:r w:rsidR="004257DC" w:rsidRPr="00BA3985">
          <w:rPr>
            <w:rFonts w:ascii="Times New Roman" w:eastAsia="Arial" w:hAnsi="Times New Roman" w:cs="Times New Roman"/>
            <w:b/>
            <w:bCs/>
            <w:color w:val="0563C1"/>
            <w:sz w:val="24"/>
            <w:szCs w:val="24"/>
            <w:u w:val="single"/>
            <w:bdr w:val="nil"/>
            <w:lang w:eastAsia="vi-VN"/>
          </w:rPr>
          <w:t>được</w:t>
        </w:r>
        <w:proofErr w:type="spellEnd"/>
        <w:r w:rsidR="004257DC" w:rsidRPr="00BA3985">
          <w:rPr>
            <w:rFonts w:ascii="Times New Roman" w:eastAsia="Arial" w:hAnsi="Times New Roman" w:cs="Times New Roman"/>
            <w:b/>
            <w:bCs/>
            <w:color w:val="0563C1"/>
            <w:sz w:val="24"/>
            <w:szCs w:val="24"/>
            <w:u w:val="single"/>
            <w:bdr w:val="nil"/>
            <w:lang w:eastAsia="vi-VN"/>
          </w:rPr>
          <w:t xml:space="preserve"> </w:t>
        </w:r>
        <w:proofErr w:type="spellStart"/>
        <w:r w:rsidR="004257DC" w:rsidRPr="00BA3985">
          <w:rPr>
            <w:rFonts w:ascii="Times New Roman" w:eastAsia="Arial" w:hAnsi="Times New Roman" w:cs="Times New Roman"/>
            <w:b/>
            <w:bCs/>
            <w:color w:val="0563C1"/>
            <w:sz w:val="24"/>
            <w:szCs w:val="24"/>
            <w:u w:val="single"/>
            <w:bdr w:val="nil"/>
            <w:lang w:eastAsia="vi-VN"/>
          </w:rPr>
          <w:t>bằng</w:t>
        </w:r>
        <w:proofErr w:type="spellEnd"/>
      </w:hyperlink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từ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trường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trung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học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công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tại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Massachusetts,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thì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học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sinh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</w:t>
      </w:r>
      <w:proofErr w:type="spellStart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>được</w:t>
      </w:r>
      <w:proofErr w:type="spellEnd"/>
      <w:r w:rsidR="004257DC" w:rsidRPr="00BA3985">
        <w:rPr>
          <w:rFonts w:ascii="Times New Roman" w:eastAsia="Arial" w:hAnsi="Times New Roman" w:cs="Times New Roman"/>
          <w:b/>
          <w:bCs/>
          <w:sz w:val="24"/>
          <w:szCs w:val="24"/>
          <w:bdr w:val="nil"/>
          <w:lang w:eastAsia="vi-VN"/>
        </w:rPr>
        <w:t xml:space="preserve"> IEP:</w:t>
      </w:r>
    </w:p>
    <w:p w14:paraId="4CE6FB10" w14:textId="77777777" w:rsidR="00C45504" w:rsidRPr="00BA3985" w:rsidRDefault="004257DC" w:rsidP="00947894">
      <w:pPr>
        <w:pStyle w:val="ListParagraph"/>
        <w:numPr>
          <w:ilvl w:val="0"/>
          <w:numId w:val="3"/>
        </w:numPr>
        <w:spacing w:before="120" w:after="120"/>
      </w:pPr>
      <w:proofErr w:type="spellStart"/>
      <w:r w:rsidRPr="00BA3985">
        <w:rPr>
          <w:rFonts w:eastAsia="Arial"/>
          <w:bdr w:val="nil"/>
          <w:lang w:eastAsia="vi-VN"/>
        </w:rPr>
        <w:t>Phải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được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Chứng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Nhận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Năng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Lực</w:t>
      </w:r>
      <w:proofErr w:type="spellEnd"/>
      <w:r w:rsidRPr="00BA3985">
        <w:rPr>
          <w:rFonts w:eastAsia="Arial"/>
          <w:bdr w:val="nil"/>
          <w:lang w:eastAsia="vi-VN"/>
        </w:rPr>
        <w:t xml:space="preserve"> (Competency Determination, hay CD), </w:t>
      </w:r>
      <w:proofErr w:type="spellStart"/>
      <w:r w:rsidRPr="00BA3985">
        <w:rPr>
          <w:rFonts w:eastAsia="Arial"/>
          <w:bdr w:val="nil"/>
          <w:lang w:eastAsia="vi-VN"/>
        </w:rPr>
        <w:t>nghĩa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là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đạt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mức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thông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thạo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cụ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thể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cho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môn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Ngữ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Văn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tiếng</w:t>
      </w:r>
      <w:proofErr w:type="spellEnd"/>
      <w:r w:rsidRPr="00BA3985">
        <w:rPr>
          <w:rFonts w:eastAsia="Arial"/>
          <w:bdr w:val="nil"/>
          <w:lang w:eastAsia="vi-VN"/>
        </w:rPr>
        <w:t xml:space="preserve"> Anh (English Language Arts, hay ELA) </w:t>
      </w:r>
      <w:proofErr w:type="spellStart"/>
      <w:r w:rsidRPr="00BA3985">
        <w:rPr>
          <w:rFonts w:eastAsia="Arial"/>
          <w:bdr w:val="nil"/>
          <w:lang w:eastAsia="vi-VN"/>
        </w:rPr>
        <w:t>Lớp</w:t>
      </w:r>
      <w:proofErr w:type="spellEnd"/>
      <w:r w:rsidRPr="00BA3985">
        <w:rPr>
          <w:rFonts w:eastAsia="Arial"/>
          <w:bdr w:val="nil"/>
          <w:lang w:eastAsia="vi-VN"/>
        </w:rPr>
        <w:t xml:space="preserve"> 10; </w:t>
      </w:r>
      <w:proofErr w:type="spellStart"/>
      <w:r w:rsidRPr="00BA3985">
        <w:rPr>
          <w:rFonts w:eastAsia="Arial"/>
          <w:bdr w:val="nil"/>
          <w:lang w:eastAsia="vi-VN"/>
        </w:rPr>
        <w:t>Toán</w:t>
      </w:r>
      <w:proofErr w:type="spellEnd"/>
      <w:r w:rsidRPr="00BA3985">
        <w:rPr>
          <w:rFonts w:eastAsia="Arial"/>
          <w:bdr w:val="nil"/>
          <w:lang w:eastAsia="vi-VN"/>
        </w:rPr>
        <w:t xml:space="preserve">; </w:t>
      </w:r>
      <w:proofErr w:type="spellStart"/>
      <w:r w:rsidRPr="00BA3985">
        <w:rPr>
          <w:rFonts w:eastAsia="Arial"/>
          <w:bdr w:val="nil"/>
          <w:lang w:eastAsia="vi-VN"/>
        </w:rPr>
        <w:t>và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bài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thi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đánh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giá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trên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toàn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tiểu</w:t>
      </w:r>
      <w:proofErr w:type="spellEnd"/>
      <w:r w:rsidRPr="00BA3985">
        <w:rPr>
          <w:rFonts w:eastAsia="Arial"/>
          <w:bdr w:val="nil"/>
          <w:lang w:eastAsia="vi-VN"/>
        </w:rPr>
        <w:t xml:space="preserve"> bang </w:t>
      </w:r>
      <w:proofErr w:type="spellStart"/>
      <w:r w:rsidRPr="00BA3985">
        <w:rPr>
          <w:rFonts w:eastAsia="Arial"/>
          <w:bdr w:val="nil"/>
          <w:lang w:eastAsia="vi-VN"/>
        </w:rPr>
        <w:t>về</w:t>
      </w:r>
      <w:proofErr w:type="spellEnd"/>
      <w:r w:rsidRPr="00BA3985">
        <w:rPr>
          <w:rFonts w:eastAsia="Arial"/>
          <w:bdr w:val="nil"/>
          <w:lang w:eastAsia="vi-VN"/>
        </w:rPr>
        <w:t xml:space="preserve"> Khoa </w:t>
      </w:r>
      <w:proofErr w:type="spellStart"/>
      <w:r w:rsidRPr="00BA3985">
        <w:rPr>
          <w:rFonts w:eastAsia="Arial"/>
          <w:bdr w:val="nil"/>
          <w:lang w:eastAsia="vi-VN"/>
        </w:rPr>
        <w:t>Học</w:t>
      </w:r>
      <w:proofErr w:type="spellEnd"/>
      <w:r w:rsidRPr="00BA3985">
        <w:rPr>
          <w:rFonts w:eastAsia="Arial"/>
          <w:bdr w:val="nil"/>
          <w:lang w:eastAsia="vi-VN"/>
        </w:rPr>
        <w:t xml:space="preserve">, </w:t>
      </w:r>
      <w:proofErr w:type="spellStart"/>
      <w:r w:rsidRPr="00BA3985">
        <w:rPr>
          <w:rFonts w:eastAsia="Arial"/>
          <w:bdr w:val="nil"/>
          <w:lang w:eastAsia="vi-VN"/>
        </w:rPr>
        <w:t>Công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Nghệ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và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Kỹ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lastRenderedPageBreak/>
        <w:t>Thuật</w:t>
      </w:r>
      <w:proofErr w:type="spellEnd"/>
      <w:r w:rsidRPr="00BA3985">
        <w:rPr>
          <w:rFonts w:eastAsia="Arial"/>
          <w:bdr w:val="nil"/>
          <w:lang w:eastAsia="vi-VN"/>
        </w:rPr>
        <w:t xml:space="preserve"> (Science, Technology, and Engineering, hay STE) </w:t>
      </w:r>
      <w:proofErr w:type="spellStart"/>
      <w:r w:rsidRPr="00BA3985">
        <w:rPr>
          <w:rFonts w:eastAsia="Arial"/>
          <w:bdr w:val="nil"/>
          <w:lang w:eastAsia="vi-VN"/>
        </w:rPr>
        <w:t>thực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hiện</w:t>
      </w:r>
      <w:proofErr w:type="spellEnd"/>
      <w:r w:rsidRPr="00BA3985">
        <w:rPr>
          <w:rFonts w:eastAsia="Arial"/>
          <w:bdr w:val="nil"/>
          <w:lang w:eastAsia="vi-VN"/>
        </w:rPr>
        <w:t xml:space="preserve"> qua </w:t>
      </w:r>
      <w:proofErr w:type="spellStart"/>
      <w:r w:rsidRPr="00BA3985">
        <w:rPr>
          <w:rFonts w:eastAsia="Arial"/>
          <w:bdr w:val="nil"/>
          <w:lang w:eastAsia="vi-VN"/>
        </w:rPr>
        <w:t>Hệ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Thống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Đánh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Giá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Toàn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Diện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của</w:t>
      </w:r>
      <w:proofErr w:type="spellEnd"/>
      <w:r w:rsidRPr="00BA3985">
        <w:rPr>
          <w:rFonts w:eastAsia="Arial"/>
          <w:bdr w:val="nil"/>
          <w:lang w:eastAsia="vi-VN"/>
        </w:rPr>
        <w:t xml:space="preserve"> Massachusetts (Massachusetts Comprehensive Assessment System, hay MCAS) </w:t>
      </w:r>
      <w:proofErr w:type="spellStart"/>
      <w:r w:rsidRPr="00BA3985">
        <w:rPr>
          <w:rFonts w:eastAsia="Arial"/>
          <w:bdr w:val="nil"/>
          <w:lang w:eastAsia="vi-VN"/>
        </w:rPr>
        <w:t>hoặc</w:t>
      </w:r>
      <w:proofErr w:type="spellEnd"/>
      <w:r w:rsidRPr="00BA3985">
        <w:rPr>
          <w:rFonts w:eastAsia="Arial"/>
          <w:bdr w:val="nil"/>
          <w:lang w:eastAsia="vi-VN"/>
        </w:rPr>
        <w:t xml:space="preserve"> MCAS-Alt </w:t>
      </w:r>
      <w:proofErr w:type="spellStart"/>
      <w:r w:rsidRPr="00BA3985">
        <w:rPr>
          <w:rFonts w:eastAsia="Arial"/>
          <w:bdr w:val="nil"/>
          <w:lang w:eastAsia="vi-VN"/>
        </w:rPr>
        <w:t>cho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những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học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sinh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cần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cách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đánh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giá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thay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thế</w:t>
      </w:r>
      <w:proofErr w:type="spellEnd"/>
      <w:r w:rsidRPr="00BA3985">
        <w:rPr>
          <w:rFonts w:eastAsia="Arial"/>
          <w:bdr w:val="nil"/>
          <w:lang w:eastAsia="vi-VN"/>
        </w:rPr>
        <w:t xml:space="preserve">; </w:t>
      </w:r>
    </w:p>
    <w:p w14:paraId="543A60CA" w14:textId="77777777" w:rsidR="00C45504" w:rsidRPr="00BA3985" w:rsidRDefault="004257DC" w:rsidP="00947894">
      <w:pPr>
        <w:pStyle w:val="ListParagraph"/>
        <w:numPr>
          <w:ilvl w:val="0"/>
          <w:numId w:val="3"/>
        </w:numPr>
        <w:spacing w:before="120" w:after="120"/>
      </w:pPr>
      <w:proofErr w:type="spellStart"/>
      <w:r w:rsidRPr="00BA3985">
        <w:rPr>
          <w:rFonts w:eastAsia="Arial"/>
          <w:bdr w:val="nil"/>
          <w:lang w:eastAsia="vi-VN"/>
        </w:rPr>
        <w:t>Phải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đáp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ứng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đòi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hỏi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tốt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nghiệp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của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khu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học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chánh</w:t>
      </w:r>
      <w:proofErr w:type="spellEnd"/>
      <w:r w:rsidRPr="00BA3985">
        <w:rPr>
          <w:rFonts w:eastAsia="Arial"/>
          <w:bdr w:val="nil"/>
          <w:lang w:eastAsia="vi-VN"/>
        </w:rPr>
        <w:t xml:space="preserve"> ở </w:t>
      </w:r>
      <w:proofErr w:type="spellStart"/>
      <w:r w:rsidRPr="00BA3985">
        <w:rPr>
          <w:rFonts w:eastAsia="Arial"/>
          <w:bdr w:val="nil"/>
          <w:lang w:eastAsia="vi-VN"/>
        </w:rPr>
        <w:t>địa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phương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cấp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bằng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Pr="00BA3985">
        <w:rPr>
          <w:rFonts w:eastAsia="Arial"/>
          <w:bdr w:val="nil"/>
          <w:lang w:eastAsia="vi-VN"/>
        </w:rPr>
        <w:t>tốt</w:t>
      </w:r>
      <w:proofErr w:type="spellEnd"/>
      <w:r w:rsidRPr="00BA3985">
        <w:rPr>
          <w:rFonts w:eastAsia="Arial"/>
          <w:bdr w:val="nil"/>
          <w:lang w:eastAsia="vi-VN"/>
        </w:rPr>
        <w:t xml:space="preserve"> </w:t>
      </w:r>
      <w:proofErr w:type="spellStart"/>
      <w:proofErr w:type="gramStart"/>
      <w:r w:rsidRPr="00BA3985">
        <w:rPr>
          <w:rFonts w:eastAsia="Arial"/>
          <w:bdr w:val="nil"/>
          <w:lang w:eastAsia="vi-VN"/>
        </w:rPr>
        <w:t>nghiệp</w:t>
      </w:r>
      <w:proofErr w:type="spellEnd"/>
      <w:r w:rsidRPr="00BA3985">
        <w:rPr>
          <w:rFonts w:eastAsia="Arial"/>
          <w:bdr w:val="nil"/>
          <w:lang w:eastAsia="vi-VN"/>
        </w:rPr>
        <w:t>;</w:t>
      </w:r>
      <w:proofErr w:type="gramEnd"/>
      <w:r w:rsidRPr="00BA3985">
        <w:rPr>
          <w:rFonts w:eastAsia="Arial"/>
          <w:bdr w:val="nil"/>
          <w:lang w:eastAsia="vi-VN"/>
        </w:rPr>
        <w:t xml:space="preserve"> </w:t>
      </w:r>
    </w:p>
    <w:p w14:paraId="5EA00643" w14:textId="77777777" w:rsidR="00662D8A" w:rsidRPr="00BA3985" w:rsidRDefault="008571EB" w:rsidP="00947894">
      <w:pPr>
        <w:pStyle w:val="ListParagraph"/>
        <w:numPr>
          <w:ilvl w:val="0"/>
          <w:numId w:val="3"/>
        </w:numPr>
        <w:spacing w:before="120" w:after="120"/>
      </w:pPr>
      <w:hyperlink r:id="rId12" w:history="1">
        <w:proofErr w:type="spellStart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>Phải</w:t>
        </w:r>
        <w:proofErr w:type="spellEnd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>được</w:t>
        </w:r>
        <w:proofErr w:type="spellEnd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>Giáo</w:t>
        </w:r>
        <w:proofErr w:type="spellEnd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>Dục</w:t>
        </w:r>
        <w:proofErr w:type="spellEnd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>Công</w:t>
        </w:r>
        <w:proofErr w:type="spellEnd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>Cộng</w:t>
        </w:r>
        <w:proofErr w:type="spellEnd"/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 xml:space="preserve"> </w:t>
        </w:r>
      </w:hyperlink>
      <w:proofErr w:type="spellStart"/>
      <w:r w:rsidR="004257DC" w:rsidRPr="00BA3985">
        <w:rPr>
          <w:rFonts w:eastAsia="Arial"/>
          <w:bdr w:val="nil"/>
          <w:lang w:eastAsia="vi-VN"/>
        </w:rPr>
        <w:t>Miễn</w:t>
      </w:r>
      <w:proofErr w:type="spellEnd"/>
      <w:r w:rsidR="004257DC"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="004257DC" w:rsidRPr="00BA3985">
        <w:rPr>
          <w:rFonts w:eastAsia="Arial"/>
          <w:bdr w:val="nil"/>
          <w:lang w:eastAsia="vi-VN"/>
        </w:rPr>
        <w:t>Phí</w:t>
      </w:r>
      <w:proofErr w:type="spellEnd"/>
      <w:r w:rsidR="004257DC"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="004257DC" w:rsidRPr="00BA3985">
        <w:rPr>
          <w:rFonts w:eastAsia="Arial"/>
          <w:bdr w:val="nil"/>
          <w:lang w:eastAsia="vi-VN"/>
        </w:rPr>
        <w:t>và</w:t>
      </w:r>
      <w:proofErr w:type="spellEnd"/>
      <w:r w:rsidR="004257DC"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="004257DC" w:rsidRPr="00BA3985">
        <w:rPr>
          <w:rFonts w:eastAsia="Arial"/>
          <w:bdr w:val="nil"/>
          <w:lang w:eastAsia="vi-VN"/>
        </w:rPr>
        <w:t>Phù</w:t>
      </w:r>
      <w:proofErr w:type="spellEnd"/>
      <w:r w:rsidR="004257DC" w:rsidRPr="00BA3985">
        <w:rPr>
          <w:rFonts w:eastAsia="Arial"/>
          <w:bdr w:val="nil"/>
          <w:lang w:eastAsia="vi-VN"/>
        </w:rPr>
        <w:t xml:space="preserve"> </w:t>
      </w:r>
      <w:proofErr w:type="spellStart"/>
      <w:r w:rsidR="004257DC" w:rsidRPr="00BA3985">
        <w:rPr>
          <w:rFonts w:eastAsia="Arial"/>
          <w:bdr w:val="nil"/>
          <w:lang w:eastAsia="vi-VN"/>
        </w:rPr>
        <w:t>Hợp</w:t>
      </w:r>
      <w:proofErr w:type="spellEnd"/>
      <w:r w:rsidR="004257DC" w:rsidRPr="00BA3985">
        <w:rPr>
          <w:rFonts w:eastAsia="Arial"/>
          <w:bdr w:val="nil"/>
          <w:lang w:eastAsia="vi-VN"/>
        </w:rPr>
        <w:t xml:space="preserve"> (</w:t>
      </w:r>
      <w:hyperlink r:id="rId13" w:history="1">
        <w:r w:rsidR="004257DC" w:rsidRPr="00BA3985">
          <w:rPr>
            <w:rFonts w:eastAsia="Arial"/>
            <w:color w:val="0563C1"/>
            <w:u w:val="single"/>
            <w:bdr w:val="nil"/>
            <w:lang w:eastAsia="vi-VN"/>
          </w:rPr>
          <w:t>Free and Appropriate Public Education, hay FAPE</w:t>
        </w:r>
      </w:hyperlink>
      <w:r w:rsidR="004257DC" w:rsidRPr="00BA3985">
        <w:rPr>
          <w:rFonts w:eastAsia="Arial"/>
          <w:bdr w:val="nil"/>
          <w:lang w:eastAsia="vi-VN"/>
        </w:rPr>
        <w:t>)</w:t>
      </w:r>
    </w:p>
    <w:p w14:paraId="2A404E79" w14:textId="77777777" w:rsidR="00A063C5" w:rsidRPr="00536E85" w:rsidRDefault="00A063C5" w:rsidP="00536E85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0C7580"/>
          <w:spacing w:val="12"/>
          <w:sz w:val="28"/>
          <w:szCs w:val="28"/>
        </w:rPr>
      </w:pPr>
      <w:proofErr w:type="spellStart"/>
      <w:r w:rsidRPr="00536E85">
        <w:rPr>
          <w:rFonts w:asciiTheme="majorHAnsi" w:hAnsiTheme="majorHAnsi" w:cstheme="majorHAnsi"/>
          <w:b/>
          <w:bCs/>
          <w:color w:val="0C7580"/>
          <w:sz w:val="28"/>
          <w:szCs w:val="28"/>
        </w:rPr>
        <w:t>Tác</w:t>
      </w:r>
      <w:proofErr w:type="spellEnd"/>
      <w:r w:rsidRPr="00536E85">
        <w:rPr>
          <w:rFonts w:asciiTheme="majorHAnsi" w:hAnsiTheme="majorHAnsi" w:cstheme="majorHAnsi"/>
          <w:b/>
          <w:bCs/>
          <w:color w:val="0C7580"/>
          <w:sz w:val="28"/>
          <w:szCs w:val="28"/>
        </w:rPr>
        <w:t xml:space="preserve"> </w:t>
      </w:r>
      <w:proofErr w:type="spellStart"/>
      <w:r w:rsidRPr="00536E85">
        <w:rPr>
          <w:rFonts w:asciiTheme="majorHAnsi" w:hAnsiTheme="majorHAnsi" w:cstheme="majorHAnsi"/>
          <w:b/>
          <w:bCs/>
          <w:color w:val="0C7580"/>
          <w:sz w:val="28"/>
          <w:szCs w:val="28"/>
        </w:rPr>
        <w:t>động</w:t>
      </w:r>
      <w:proofErr w:type="spellEnd"/>
      <w:r w:rsidRPr="00536E85">
        <w:rPr>
          <w:rFonts w:asciiTheme="majorHAnsi" w:hAnsiTheme="majorHAnsi" w:cstheme="majorHAnsi"/>
          <w:b/>
          <w:bCs/>
          <w:color w:val="0C7580"/>
          <w:sz w:val="28"/>
          <w:szCs w:val="28"/>
        </w:rPr>
        <w:t xml:space="preserve"> </w:t>
      </w:r>
      <w:proofErr w:type="spellStart"/>
      <w:r w:rsidRPr="00536E85">
        <w:rPr>
          <w:rFonts w:asciiTheme="majorHAnsi" w:hAnsiTheme="majorHAnsi" w:cstheme="majorHAnsi"/>
          <w:b/>
          <w:bCs/>
          <w:color w:val="0C7580"/>
          <w:sz w:val="28"/>
          <w:szCs w:val="28"/>
        </w:rPr>
        <w:t>của</w:t>
      </w:r>
      <w:proofErr w:type="spellEnd"/>
      <w:r w:rsidRPr="00536E85">
        <w:rPr>
          <w:rFonts w:asciiTheme="majorHAnsi" w:hAnsiTheme="majorHAnsi" w:cstheme="majorHAnsi"/>
          <w:b/>
          <w:bCs/>
          <w:color w:val="0C7580"/>
          <w:sz w:val="28"/>
          <w:szCs w:val="28"/>
        </w:rPr>
        <w:t xml:space="preserve"> COVID</w:t>
      </w:r>
    </w:p>
    <w:p w14:paraId="000F44C3" w14:textId="77777777" w:rsidR="00A063C5" w:rsidRPr="00536E85" w:rsidRDefault="00A063C5" w:rsidP="00536E8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Để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ứng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phó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với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việc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đóng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cửa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các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trường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vào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tháng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3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2020,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Hội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đồng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quản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trị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DESE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đã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bỏ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phiếu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cho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phép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sửa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đổi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CD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đối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với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những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sinh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chưa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đáp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ứng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yêu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cầu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CD.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Các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sửa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đổi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cũng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được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thực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hiện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cho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những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sinh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đó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trong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các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lớp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tốt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nghiệp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2021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và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2022.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Việc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sửa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đổi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để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trao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chứng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chỉ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CD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như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sau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64CDA748" w14:textId="77777777" w:rsidR="00A063C5" w:rsidRPr="00536E85" w:rsidRDefault="00A063C5" w:rsidP="00536E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Đối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với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môn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Ngữ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văn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Anh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và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toán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-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dựa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trên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chứng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nhận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của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khu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chánh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rằng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sinh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đã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đạt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đủ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tín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chỉ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cho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một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khóa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có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liên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quan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phù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hợp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với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khung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chương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trình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giảng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dạy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phù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hợp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trong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môn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đó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và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đã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thể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hiện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lực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trong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môn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đó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40976912" w14:textId="77777777" w:rsidR="00A063C5" w:rsidRPr="00536E85" w:rsidRDefault="00A063C5" w:rsidP="00536E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Đối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với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môn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khoa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và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công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nghệ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/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kỹ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thuật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-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sau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khi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chứng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minh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rằng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sinh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đã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đạt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đủ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tín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chỉ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cho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khóa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về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chủ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đề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liên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quan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và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thể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hiện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lực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ở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một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trong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bốn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môn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được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kiểm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(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sinh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hóa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vật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lý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sơ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cấp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công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nghệ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>/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kỹ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thuật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)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trong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thời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gian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trung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học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phổ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thông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0BA6BEF2" w14:textId="77777777" w:rsidR="00A063C5" w:rsidRPr="00536E85" w:rsidRDefault="00A063C5" w:rsidP="00536E85">
      <w:pPr>
        <w:shd w:val="clear" w:color="auto" w:fill="FFFFFF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Để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biết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thêm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thông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tin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về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chứng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chỉ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CD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và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các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sửa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đổi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,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hãy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truy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cập</w:t>
      </w:r>
      <w:proofErr w:type="spellEnd"/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hyperlink r:id="rId14" w:history="1"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Yêu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cầu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để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tốt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nghiệp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của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Massachusetts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và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hướng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dẫn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liên</w:t>
        </w:r>
        <w:proofErr w:type="spellEnd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 xml:space="preserve"> </w:t>
        </w:r>
        <w:proofErr w:type="spellStart"/>
        <w:r w:rsidRPr="00536E85">
          <w:rPr>
            <w:rFonts w:asciiTheme="minorHAnsi" w:hAnsiTheme="minorHAnsi" w:cstheme="minorHAnsi"/>
            <w:i/>
            <w:iCs/>
            <w:color w:val="0060C7"/>
            <w:sz w:val="24"/>
            <w:szCs w:val="24"/>
            <w:u w:val="single"/>
          </w:rPr>
          <w:t>quan</w:t>
        </w:r>
        <w:proofErr w:type="spellEnd"/>
      </w:hyperlink>
      <w:r w:rsidRPr="00536E85">
        <w:rPr>
          <w:rFonts w:asciiTheme="minorHAnsi" w:hAnsiTheme="minorHAnsi" w:cstheme="minorHAnsi"/>
          <w:i/>
          <w:iCs/>
          <w:color w:val="222222"/>
          <w:sz w:val="24"/>
          <w:szCs w:val="24"/>
        </w:rPr>
        <w:t>.</w:t>
      </w:r>
    </w:p>
    <w:p w14:paraId="16F7F081" w14:textId="77777777" w:rsidR="00A063C5" w:rsidRPr="00536E85" w:rsidRDefault="00A063C5" w:rsidP="00536E85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Dữ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liệu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cơ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sở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được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đề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xuất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:</w:t>
      </w:r>
      <w:r w:rsidRPr="00536E85">
        <w:rPr>
          <w:rFonts w:asciiTheme="minorHAnsi" w:hAnsiTheme="minorHAnsi" w:cstheme="minorHAnsi"/>
          <w:color w:val="222222"/>
          <w:sz w:val="24"/>
          <w:szCs w:val="24"/>
        </w:rPr>
        <w:t> 76,33%</w:t>
      </w:r>
    </w:p>
    <w:p w14:paraId="40D24D3F" w14:textId="77777777" w:rsidR="00A063C5" w:rsidRPr="00536E85" w:rsidRDefault="00A063C5" w:rsidP="00536E8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Chúng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tôi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sử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dụng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dữ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liệu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cơ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sở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làm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điểm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bắt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đầu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và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so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sánh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dữ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liệu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từ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các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khác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với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dữ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liệu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của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cơ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sở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. Do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tác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động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của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COVID, OSEP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cho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phép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đặt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dữ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liệu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cơ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sở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cho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tỷ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lệ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tốt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nghiệp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2019.</w:t>
      </w:r>
    </w:p>
    <w:p w14:paraId="5EEA2F32" w14:textId="77777777" w:rsidR="00A063C5" w:rsidRPr="00536E85" w:rsidRDefault="00A063C5" w:rsidP="00536E8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Mục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tiêu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của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chỉ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số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1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được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đề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xuất</w:t>
      </w:r>
      <w:proofErr w:type="spellEnd"/>
      <w:r w:rsidRPr="00536E85">
        <w:rPr>
          <w:rFonts w:asciiTheme="minorHAnsi" w:hAnsiTheme="minorHAnsi" w:cstheme="minorHAnsi"/>
          <w:b/>
          <w:bCs/>
          <w:color w:val="222222"/>
          <w:sz w:val="24"/>
          <w:szCs w:val="24"/>
        </w:rPr>
        <w:t>:</w:t>
      </w:r>
      <w:r w:rsidRPr="00536E85">
        <w:rPr>
          <w:rFonts w:asciiTheme="minorHAnsi" w:hAnsiTheme="minorHAnsi" w:cstheme="minorHAnsi"/>
          <w:color w:val="222222"/>
          <w:sz w:val="24"/>
          <w:szCs w:val="24"/>
        </w:rPr>
        <w:t> 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Tăng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1%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hàng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trong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mỗi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năm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36E85">
        <w:rPr>
          <w:rFonts w:asciiTheme="minorHAnsi" w:hAnsiTheme="minorHAnsi" w:cstheme="minorHAnsi"/>
          <w:color w:val="222222"/>
          <w:sz w:val="24"/>
          <w:szCs w:val="24"/>
        </w:rPr>
        <w:t>tới</w:t>
      </w:r>
      <w:proofErr w:type="spellEnd"/>
      <w:r w:rsidRPr="00536E85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59216BAD" w14:textId="77777777" w:rsidR="00A063C5" w:rsidRPr="00536E85" w:rsidRDefault="00A063C5" w:rsidP="00536E8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0FB334" w14:textId="77777777" w:rsidR="00754C30" w:rsidRPr="00BA3985" w:rsidRDefault="00754C30" w:rsidP="00536E85">
      <w:pPr>
        <w:spacing w:before="120" w:after="0" w:line="240" w:lineRule="auto"/>
        <w:rPr>
          <w:rFonts w:ascii="Times New Roman" w:eastAsia="Yu Mincho" w:hAnsi="Times New Roman" w:cs="Times New Roman"/>
          <w:sz w:val="24"/>
          <w:szCs w:val="24"/>
        </w:rPr>
      </w:pPr>
    </w:p>
    <w:p w14:paraId="385A9CBF" w14:textId="77777777" w:rsidR="00754C30" w:rsidRDefault="004257DC" w:rsidP="00754C30">
      <w:pPr>
        <w:rPr>
          <w:rFonts w:ascii="Times New Roman" w:eastAsia="Arial" w:hAnsi="Times New Roman" w:cs="Times New Roman"/>
          <w:b/>
          <w:bCs/>
          <w:bdr w:val="nil"/>
          <w:lang w:eastAsia="vi-VN"/>
        </w:rPr>
      </w:pPr>
      <w:proofErr w:type="spellStart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>Tìm</w:t>
      </w:r>
      <w:proofErr w:type="spellEnd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 xml:space="preserve"> </w:t>
      </w:r>
      <w:proofErr w:type="spellStart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>hiểu</w:t>
      </w:r>
      <w:proofErr w:type="spellEnd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 xml:space="preserve"> </w:t>
      </w:r>
      <w:proofErr w:type="spellStart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>thêm</w:t>
      </w:r>
      <w:proofErr w:type="spellEnd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 xml:space="preserve"> </w:t>
      </w:r>
      <w:proofErr w:type="spellStart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>về</w:t>
      </w:r>
      <w:proofErr w:type="spellEnd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 xml:space="preserve"> </w:t>
      </w:r>
      <w:proofErr w:type="spellStart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>Chỉ</w:t>
      </w:r>
      <w:proofErr w:type="spellEnd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 xml:space="preserve"> </w:t>
      </w:r>
      <w:proofErr w:type="spellStart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>Báo</w:t>
      </w:r>
      <w:proofErr w:type="spellEnd"/>
      <w:r w:rsidRPr="002C1131">
        <w:rPr>
          <w:rFonts w:ascii="Times New Roman" w:eastAsia="Arial" w:hAnsi="Times New Roman" w:cs="Times New Roman"/>
          <w:b/>
          <w:bCs/>
          <w:bdr w:val="nil"/>
          <w:lang w:eastAsia="vi-VN"/>
        </w:rPr>
        <w:t xml:space="preserve"> 1:</w:t>
      </w:r>
    </w:p>
    <w:p w14:paraId="073C1079" w14:textId="23005209" w:rsidR="00DD7B90" w:rsidRPr="00AE628C" w:rsidRDefault="008571EB" w:rsidP="00AE628C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hyperlink r:id="rId15" w:history="1">
        <w:proofErr w:type="spellStart"/>
        <w:r w:rsidR="00DD7B90" w:rsidRPr="00E53A10">
          <w:rPr>
            <w:rStyle w:val="Hyperlink"/>
            <w:rFonts w:ascii="Segoe UI" w:hAnsi="Segoe UI" w:cs="Segoe UI"/>
          </w:rPr>
          <w:t>Chỉ</w:t>
        </w:r>
        <w:proofErr w:type="spellEnd"/>
        <w:r w:rsidR="00DD7B90" w:rsidRPr="00E53A10">
          <w:rPr>
            <w:rStyle w:val="Hyperlink"/>
            <w:rFonts w:ascii="Segoe UI" w:hAnsi="Segoe UI" w:cs="Segoe UI"/>
          </w:rPr>
          <w:t xml:space="preserve"> </w:t>
        </w:r>
        <w:proofErr w:type="spellStart"/>
        <w:r w:rsidR="00DD7B90" w:rsidRPr="00E53A10">
          <w:rPr>
            <w:rStyle w:val="Hyperlink"/>
            <w:rFonts w:ascii="Segoe UI" w:hAnsi="Segoe UI" w:cs="Segoe UI"/>
          </w:rPr>
          <w:t>báo</w:t>
        </w:r>
        <w:proofErr w:type="spellEnd"/>
        <w:r w:rsidR="00DD7B90" w:rsidRPr="00E53A10">
          <w:rPr>
            <w:rStyle w:val="Hyperlink"/>
            <w:rFonts w:ascii="Segoe UI" w:hAnsi="Segoe UI" w:cs="Segoe UI"/>
          </w:rPr>
          <w:t xml:space="preserve"> 1 PowerPoint</w:t>
        </w:r>
      </w:hyperlink>
    </w:p>
    <w:p w14:paraId="2650B791" w14:textId="77777777" w:rsidR="00754C30" w:rsidRPr="00BA3985" w:rsidRDefault="00754C30" w:rsidP="00754C30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BA3985">
        <w:rPr>
          <w:rFonts w:ascii="Times New Roman" w:hAnsi="Times New Roman" w:cs="Times New Roman"/>
          <w:b/>
          <w:bCs/>
          <w:szCs w:val="24"/>
        </w:rPr>
        <w:t xml:space="preserve">    </w:t>
      </w:r>
    </w:p>
    <w:p w14:paraId="019F05B4" w14:textId="77777777" w:rsidR="00754C30" w:rsidRPr="00BA3985" w:rsidRDefault="00754C30" w:rsidP="00754C30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</w:p>
    <w:p w14:paraId="4CAA7D91" w14:textId="77777777" w:rsidR="00754C30" w:rsidRPr="00BA3985" w:rsidRDefault="00754C30" w:rsidP="00947894">
      <w:pPr>
        <w:spacing w:before="120" w:after="120" w:line="240" w:lineRule="auto"/>
        <w:rPr>
          <w:rFonts w:ascii="Times New Roman" w:eastAsia="Yu Mincho" w:hAnsi="Times New Roman" w:cs="Times New Roman"/>
          <w:b/>
          <w:bCs/>
          <w:sz w:val="24"/>
          <w:szCs w:val="24"/>
        </w:rPr>
      </w:pPr>
    </w:p>
    <w:sectPr w:rsidR="00754C30" w:rsidRPr="00BA398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8BE11" w14:textId="77777777" w:rsidR="008571EB" w:rsidRDefault="008571EB">
      <w:pPr>
        <w:spacing w:after="0" w:line="240" w:lineRule="auto"/>
      </w:pPr>
      <w:r>
        <w:separator/>
      </w:r>
    </w:p>
  </w:endnote>
  <w:endnote w:type="continuationSeparator" w:id="0">
    <w:p w14:paraId="41E9977E" w14:textId="77777777" w:rsidR="008571EB" w:rsidRDefault="008571EB">
      <w:pPr>
        <w:spacing w:after="0" w:line="240" w:lineRule="auto"/>
      </w:pPr>
      <w:r>
        <w:continuationSeparator/>
      </w:r>
    </w:p>
  </w:endnote>
  <w:endnote w:type="continuationNotice" w:id="1">
    <w:p w14:paraId="0A414BD9" w14:textId="77777777" w:rsidR="008571EB" w:rsidRDefault="00857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ED39C" w14:textId="77777777" w:rsidR="006C7C5C" w:rsidRDefault="006C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CF5B0" w14:textId="77777777" w:rsidR="008571EB" w:rsidRDefault="008571EB">
      <w:pPr>
        <w:spacing w:after="0" w:line="240" w:lineRule="auto"/>
      </w:pPr>
      <w:r>
        <w:separator/>
      </w:r>
    </w:p>
  </w:footnote>
  <w:footnote w:type="continuationSeparator" w:id="0">
    <w:p w14:paraId="11B05586" w14:textId="77777777" w:rsidR="008571EB" w:rsidRDefault="008571EB">
      <w:pPr>
        <w:spacing w:after="0" w:line="240" w:lineRule="auto"/>
      </w:pPr>
      <w:r>
        <w:continuationSeparator/>
      </w:r>
    </w:p>
  </w:footnote>
  <w:footnote w:type="continuationNotice" w:id="1">
    <w:p w14:paraId="52046803" w14:textId="77777777" w:rsidR="008571EB" w:rsidRDefault="008571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219"/>
    <w:multiLevelType w:val="multilevel"/>
    <w:tmpl w:val="FBA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7339E"/>
    <w:multiLevelType w:val="hybridMultilevel"/>
    <w:tmpl w:val="CE4608EE"/>
    <w:lvl w:ilvl="0" w:tplc="C7FA7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F0E50A" w:tentative="1">
      <w:start w:val="1"/>
      <w:numFmt w:val="lowerLetter"/>
      <w:lvlText w:val="%2."/>
      <w:lvlJc w:val="left"/>
      <w:pPr>
        <w:ind w:left="1440" w:hanging="360"/>
      </w:pPr>
    </w:lvl>
    <w:lvl w:ilvl="2" w:tplc="42DEC214" w:tentative="1">
      <w:start w:val="1"/>
      <w:numFmt w:val="lowerRoman"/>
      <w:lvlText w:val="%3."/>
      <w:lvlJc w:val="right"/>
      <w:pPr>
        <w:ind w:left="2160" w:hanging="180"/>
      </w:pPr>
    </w:lvl>
    <w:lvl w:ilvl="3" w:tplc="02A4C3F4" w:tentative="1">
      <w:start w:val="1"/>
      <w:numFmt w:val="decimal"/>
      <w:lvlText w:val="%4."/>
      <w:lvlJc w:val="left"/>
      <w:pPr>
        <w:ind w:left="2880" w:hanging="360"/>
      </w:pPr>
    </w:lvl>
    <w:lvl w:ilvl="4" w:tplc="09C04DDE" w:tentative="1">
      <w:start w:val="1"/>
      <w:numFmt w:val="lowerLetter"/>
      <w:lvlText w:val="%5."/>
      <w:lvlJc w:val="left"/>
      <w:pPr>
        <w:ind w:left="3600" w:hanging="360"/>
      </w:pPr>
    </w:lvl>
    <w:lvl w:ilvl="5" w:tplc="B54EF486" w:tentative="1">
      <w:start w:val="1"/>
      <w:numFmt w:val="lowerRoman"/>
      <w:lvlText w:val="%6."/>
      <w:lvlJc w:val="right"/>
      <w:pPr>
        <w:ind w:left="4320" w:hanging="180"/>
      </w:pPr>
    </w:lvl>
    <w:lvl w:ilvl="6" w:tplc="65D8787C" w:tentative="1">
      <w:start w:val="1"/>
      <w:numFmt w:val="decimal"/>
      <w:lvlText w:val="%7."/>
      <w:lvlJc w:val="left"/>
      <w:pPr>
        <w:ind w:left="5040" w:hanging="360"/>
      </w:pPr>
    </w:lvl>
    <w:lvl w:ilvl="7" w:tplc="8D464134" w:tentative="1">
      <w:start w:val="1"/>
      <w:numFmt w:val="lowerLetter"/>
      <w:lvlText w:val="%8."/>
      <w:lvlJc w:val="left"/>
      <w:pPr>
        <w:ind w:left="5760" w:hanging="360"/>
      </w:pPr>
    </w:lvl>
    <w:lvl w:ilvl="8" w:tplc="C59A1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673"/>
    <w:multiLevelType w:val="hybridMultilevel"/>
    <w:tmpl w:val="9050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634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  <w:b w:val="0"/>
        <w:color w:val="0070C0"/>
        <w:sz w:val="24"/>
        <w:u w:val="singl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15F61"/>
    <w:multiLevelType w:val="hybridMultilevel"/>
    <w:tmpl w:val="9DDEB6F0"/>
    <w:lvl w:ilvl="0" w:tplc="2A8A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7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0F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E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0F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46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8D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8D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5F364A"/>
    <w:multiLevelType w:val="hybridMultilevel"/>
    <w:tmpl w:val="D4E2899E"/>
    <w:lvl w:ilvl="0" w:tplc="036E1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654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70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C9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80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62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6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80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FF6066"/>
    <w:multiLevelType w:val="hybridMultilevel"/>
    <w:tmpl w:val="C606846E"/>
    <w:lvl w:ilvl="0" w:tplc="6F8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F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AE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D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AB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4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F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EE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4A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DB6E2B"/>
    <w:multiLevelType w:val="hybridMultilevel"/>
    <w:tmpl w:val="57CE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AE8"/>
    <w:multiLevelType w:val="hybridMultilevel"/>
    <w:tmpl w:val="405EDC70"/>
    <w:lvl w:ilvl="0" w:tplc="DD26B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486F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B6E1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A0DB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9A9B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6860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B8EB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F092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CE4D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72B07"/>
    <w:multiLevelType w:val="hybridMultilevel"/>
    <w:tmpl w:val="DA6CDBA8"/>
    <w:lvl w:ilvl="0" w:tplc="90360D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8A6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8C00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55654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2ED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677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AAD8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D23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1482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6BA3179A"/>
    <w:multiLevelType w:val="hybridMultilevel"/>
    <w:tmpl w:val="3FC241A8"/>
    <w:lvl w:ilvl="0" w:tplc="61C06E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6D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584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FB4AC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D63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2E5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4FE98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466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4E0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8"/>
    <w:rsid w:val="000067DD"/>
    <w:rsid w:val="00016343"/>
    <w:rsid w:val="000244FE"/>
    <w:rsid w:val="00030EFF"/>
    <w:rsid w:val="00070B2C"/>
    <w:rsid w:val="000742F2"/>
    <w:rsid w:val="000D5654"/>
    <w:rsid w:val="000D7667"/>
    <w:rsid w:val="000E31DE"/>
    <w:rsid w:val="000F1B3C"/>
    <w:rsid w:val="001020DA"/>
    <w:rsid w:val="00106417"/>
    <w:rsid w:val="001472F6"/>
    <w:rsid w:val="00157CEC"/>
    <w:rsid w:val="001952AB"/>
    <w:rsid w:val="00196F03"/>
    <w:rsid w:val="001C2912"/>
    <w:rsid w:val="001E1956"/>
    <w:rsid w:val="002110AA"/>
    <w:rsid w:val="002159E5"/>
    <w:rsid w:val="00227C13"/>
    <w:rsid w:val="00241A51"/>
    <w:rsid w:val="002475EE"/>
    <w:rsid w:val="00280F9C"/>
    <w:rsid w:val="002A3B1F"/>
    <w:rsid w:val="002A4069"/>
    <w:rsid w:val="002C1131"/>
    <w:rsid w:val="00302F52"/>
    <w:rsid w:val="00304C93"/>
    <w:rsid w:val="0031597C"/>
    <w:rsid w:val="00344B1B"/>
    <w:rsid w:val="00344B30"/>
    <w:rsid w:val="0036098A"/>
    <w:rsid w:val="003863F3"/>
    <w:rsid w:val="003B22FE"/>
    <w:rsid w:val="003C3D4D"/>
    <w:rsid w:val="003D140A"/>
    <w:rsid w:val="003D235F"/>
    <w:rsid w:val="003E24C0"/>
    <w:rsid w:val="003E4E25"/>
    <w:rsid w:val="003E599E"/>
    <w:rsid w:val="003E7426"/>
    <w:rsid w:val="003E7505"/>
    <w:rsid w:val="003F0A45"/>
    <w:rsid w:val="003F2975"/>
    <w:rsid w:val="003F3C0E"/>
    <w:rsid w:val="0042563A"/>
    <w:rsid w:val="004257DC"/>
    <w:rsid w:val="0044237B"/>
    <w:rsid w:val="00464F67"/>
    <w:rsid w:val="00466154"/>
    <w:rsid w:val="004741DB"/>
    <w:rsid w:val="004936F7"/>
    <w:rsid w:val="004A62A7"/>
    <w:rsid w:val="004B2024"/>
    <w:rsid w:val="004C7C27"/>
    <w:rsid w:val="004D5369"/>
    <w:rsid w:val="004E02D3"/>
    <w:rsid w:val="004E351F"/>
    <w:rsid w:val="004F0218"/>
    <w:rsid w:val="004F38D0"/>
    <w:rsid w:val="004F5F85"/>
    <w:rsid w:val="00510628"/>
    <w:rsid w:val="0051140F"/>
    <w:rsid w:val="005117CE"/>
    <w:rsid w:val="005249B8"/>
    <w:rsid w:val="0052707A"/>
    <w:rsid w:val="00532273"/>
    <w:rsid w:val="00536E85"/>
    <w:rsid w:val="00581D40"/>
    <w:rsid w:val="00586D3F"/>
    <w:rsid w:val="005A6AB5"/>
    <w:rsid w:val="005B307D"/>
    <w:rsid w:val="005F0451"/>
    <w:rsid w:val="005F243C"/>
    <w:rsid w:val="0060117C"/>
    <w:rsid w:val="006108F1"/>
    <w:rsid w:val="00616FD5"/>
    <w:rsid w:val="0062629D"/>
    <w:rsid w:val="00633142"/>
    <w:rsid w:val="00633E86"/>
    <w:rsid w:val="0063415E"/>
    <w:rsid w:val="00634F05"/>
    <w:rsid w:val="00662D8A"/>
    <w:rsid w:val="00675273"/>
    <w:rsid w:val="00683E24"/>
    <w:rsid w:val="00691A5A"/>
    <w:rsid w:val="00697D9A"/>
    <w:rsid w:val="006C0A79"/>
    <w:rsid w:val="006C14A4"/>
    <w:rsid w:val="006C6E24"/>
    <w:rsid w:val="006C7C5C"/>
    <w:rsid w:val="006E0F55"/>
    <w:rsid w:val="00702E08"/>
    <w:rsid w:val="00703F2B"/>
    <w:rsid w:val="00736B09"/>
    <w:rsid w:val="00752562"/>
    <w:rsid w:val="00754C30"/>
    <w:rsid w:val="007561D1"/>
    <w:rsid w:val="00760129"/>
    <w:rsid w:val="00761445"/>
    <w:rsid w:val="007920DA"/>
    <w:rsid w:val="00797F9C"/>
    <w:rsid w:val="007A109B"/>
    <w:rsid w:val="007B459B"/>
    <w:rsid w:val="007B5C6F"/>
    <w:rsid w:val="00820527"/>
    <w:rsid w:val="00821673"/>
    <w:rsid w:val="008571EB"/>
    <w:rsid w:val="008731EF"/>
    <w:rsid w:val="008B06C8"/>
    <w:rsid w:val="008B320A"/>
    <w:rsid w:val="008C510A"/>
    <w:rsid w:val="008C6238"/>
    <w:rsid w:val="00925B1D"/>
    <w:rsid w:val="00936F9F"/>
    <w:rsid w:val="00947894"/>
    <w:rsid w:val="00956577"/>
    <w:rsid w:val="009645D5"/>
    <w:rsid w:val="00972663"/>
    <w:rsid w:val="00975B4D"/>
    <w:rsid w:val="00977134"/>
    <w:rsid w:val="00984A6E"/>
    <w:rsid w:val="00991BA3"/>
    <w:rsid w:val="009924E3"/>
    <w:rsid w:val="009E2DD8"/>
    <w:rsid w:val="009E3C64"/>
    <w:rsid w:val="00A01A8A"/>
    <w:rsid w:val="00A03935"/>
    <w:rsid w:val="00A063C5"/>
    <w:rsid w:val="00A33381"/>
    <w:rsid w:val="00A4283D"/>
    <w:rsid w:val="00A65016"/>
    <w:rsid w:val="00A752E2"/>
    <w:rsid w:val="00A80ED2"/>
    <w:rsid w:val="00A8403C"/>
    <w:rsid w:val="00A93F52"/>
    <w:rsid w:val="00AB2A9B"/>
    <w:rsid w:val="00AB5C37"/>
    <w:rsid w:val="00AD0312"/>
    <w:rsid w:val="00AD34B4"/>
    <w:rsid w:val="00AE628C"/>
    <w:rsid w:val="00AE694C"/>
    <w:rsid w:val="00B036F7"/>
    <w:rsid w:val="00B07227"/>
    <w:rsid w:val="00B551C7"/>
    <w:rsid w:val="00B66AD7"/>
    <w:rsid w:val="00BA160C"/>
    <w:rsid w:val="00BA3985"/>
    <w:rsid w:val="00BF15C9"/>
    <w:rsid w:val="00BF38C3"/>
    <w:rsid w:val="00C02FE1"/>
    <w:rsid w:val="00C03536"/>
    <w:rsid w:val="00C17FD1"/>
    <w:rsid w:val="00C45504"/>
    <w:rsid w:val="00C74FD6"/>
    <w:rsid w:val="00C853EC"/>
    <w:rsid w:val="00CB2324"/>
    <w:rsid w:val="00CD3C0C"/>
    <w:rsid w:val="00CD6CD9"/>
    <w:rsid w:val="00CE352E"/>
    <w:rsid w:val="00CE6A4E"/>
    <w:rsid w:val="00D00268"/>
    <w:rsid w:val="00D31F31"/>
    <w:rsid w:val="00D33037"/>
    <w:rsid w:val="00D4007B"/>
    <w:rsid w:val="00D55A56"/>
    <w:rsid w:val="00DC3694"/>
    <w:rsid w:val="00DD567F"/>
    <w:rsid w:val="00DD7B90"/>
    <w:rsid w:val="00DE4019"/>
    <w:rsid w:val="00DF3CA8"/>
    <w:rsid w:val="00E147C5"/>
    <w:rsid w:val="00E474D6"/>
    <w:rsid w:val="00E52298"/>
    <w:rsid w:val="00E5342E"/>
    <w:rsid w:val="00E53A10"/>
    <w:rsid w:val="00E6662F"/>
    <w:rsid w:val="00E94FCF"/>
    <w:rsid w:val="00EC0675"/>
    <w:rsid w:val="00EC2702"/>
    <w:rsid w:val="00EC6836"/>
    <w:rsid w:val="00ED08A0"/>
    <w:rsid w:val="00EF4B0B"/>
    <w:rsid w:val="00F465E7"/>
    <w:rsid w:val="00F70293"/>
    <w:rsid w:val="00F86D4B"/>
    <w:rsid w:val="00F942EA"/>
    <w:rsid w:val="00F95E05"/>
    <w:rsid w:val="00FB2415"/>
    <w:rsid w:val="00FC3368"/>
    <w:rsid w:val="00FE0A0C"/>
    <w:rsid w:val="00FE1AAC"/>
    <w:rsid w:val="00FE529A"/>
    <w:rsid w:val="01C4A486"/>
    <w:rsid w:val="02C491A2"/>
    <w:rsid w:val="057E3EFB"/>
    <w:rsid w:val="05F0D53F"/>
    <w:rsid w:val="07ED1D0F"/>
    <w:rsid w:val="089C3257"/>
    <w:rsid w:val="08CAB8A1"/>
    <w:rsid w:val="095F7BC3"/>
    <w:rsid w:val="0B1575CC"/>
    <w:rsid w:val="0B2F622F"/>
    <w:rsid w:val="0B525E6F"/>
    <w:rsid w:val="0E8EE123"/>
    <w:rsid w:val="0EC0AF39"/>
    <w:rsid w:val="1050627D"/>
    <w:rsid w:val="1074D277"/>
    <w:rsid w:val="10F7DA0E"/>
    <w:rsid w:val="126F06FC"/>
    <w:rsid w:val="127FE488"/>
    <w:rsid w:val="13561E68"/>
    <w:rsid w:val="15A095D4"/>
    <w:rsid w:val="16539E8B"/>
    <w:rsid w:val="1B706FBF"/>
    <w:rsid w:val="1CF2B4C9"/>
    <w:rsid w:val="1D38030E"/>
    <w:rsid w:val="1DB6CDBC"/>
    <w:rsid w:val="1DC506D6"/>
    <w:rsid w:val="1DE5412A"/>
    <w:rsid w:val="202AB885"/>
    <w:rsid w:val="20B0AEF7"/>
    <w:rsid w:val="2105E62E"/>
    <w:rsid w:val="220B7431"/>
    <w:rsid w:val="222EB428"/>
    <w:rsid w:val="23C11BD7"/>
    <w:rsid w:val="244657F3"/>
    <w:rsid w:val="24A2793B"/>
    <w:rsid w:val="269FD81A"/>
    <w:rsid w:val="26C5BCF7"/>
    <w:rsid w:val="26DEBA74"/>
    <w:rsid w:val="27B9DE2C"/>
    <w:rsid w:val="2966D405"/>
    <w:rsid w:val="2A83FA84"/>
    <w:rsid w:val="2B992E1A"/>
    <w:rsid w:val="2BC653D5"/>
    <w:rsid w:val="2BF0F23C"/>
    <w:rsid w:val="2C7A567C"/>
    <w:rsid w:val="2E0C73EA"/>
    <w:rsid w:val="2EC6F6E5"/>
    <w:rsid w:val="311A3276"/>
    <w:rsid w:val="3195E3B5"/>
    <w:rsid w:val="326F7794"/>
    <w:rsid w:val="3349AD83"/>
    <w:rsid w:val="33806A97"/>
    <w:rsid w:val="33E0C939"/>
    <w:rsid w:val="3438D93C"/>
    <w:rsid w:val="3492F1A1"/>
    <w:rsid w:val="36C7D20E"/>
    <w:rsid w:val="36F3E5D2"/>
    <w:rsid w:val="3887105E"/>
    <w:rsid w:val="39AD07FF"/>
    <w:rsid w:val="3A475F9D"/>
    <w:rsid w:val="3A7A8979"/>
    <w:rsid w:val="3CC20B2A"/>
    <w:rsid w:val="3CC654CE"/>
    <w:rsid w:val="3CEF5C20"/>
    <w:rsid w:val="3D5052F3"/>
    <w:rsid w:val="3E6F7BDA"/>
    <w:rsid w:val="3EE53306"/>
    <w:rsid w:val="407E08E1"/>
    <w:rsid w:val="419EC2E2"/>
    <w:rsid w:val="41FBE1E3"/>
    <w:rsid w:val="4451E01C"/>
    <w:rsid w:val="44EB4732"/>
    <w:rsid w:val="462056D2"/>
    <w:rsid w:val="465DF47B"/>
    <w:rsid w:val="47B14B55"/>
    <w:rsid w:val="47F7202C"/>
    <w:rsid w:val="47F77EFF"/>
    <w:rsid w:val="48455BFA"/>
    <w:rsid w:val="496401EC"/>
    <w:rsid w:val="4BCC3FE8"/>
    <w:rsid w:val="4C6435CB"/>
    <w:rsid w:val="4DD03B8B"/>
    <w:rsid w:val="4EE14540"/>
    <w:rsid w:val="4FEBA552"/>
    <w:rsid w:val="50F2EE74"/>
    <w:rsid w:val="51158A54"/>
    <w:rsid w:val="51CFD5C2"/>
    <w:rsid w:val="51F3AB6C"/>
    <w:rsid w:val="5225DA3B"/>
    <w:rsid w:val="54C3A982"/>
    <w:rsid w:val="565892BD"/>
    <w:rsid w:val="56D86026"/>
    <w:rsid w:val="57EAB071"/>
    <w:rsid w:val="58366C26"/>
    <w:rsid w:val="58B25834"/>
    <w:rsid w:val="592F8448"/>
    <w:rsid w:val="5972FE5C"/>
    <w:rsid w:val="59CF46AE"/>
    <w:rsid w:val="5A0F4387"/>
    <w:rsid w:val="5A80A85D"/>
    <w:rsid w:val="5C3B3F05"/>
    <w:rsid w:val="5DB8491F"/>
    <w:rsid w:val="623E172F"/>
    <w:rsid w:val="63416076"/>
    <w:rsid w:val="63F5631D"/>
    <w:rsid w:val="65834B03"/>
    <w:rsid w:val="672E5DFD"/>
    <w:rsid w:val="68103377"/>
    <w:rsid w:val="69A1D54A"/>
    <w:rsid w:val="69AC03D8"/>
    <w:rsid w:val="6A4B7C44"/>
    <w:rsid w:val="6A64A4A1"/>
    <w:rsid w:val="6C3E1F9E"/>
    <w:rsid w:val="6CD9760C"/>
    <w:rsid w:val="6E73D648"/>
    <w:rsid w:val="704127F4"/>
    <w:rsid w:val="7193BED2"/>
    <w:rsid w:val="734E4058"/>
    <w:rsid w:val="74459BF3"/>
    <w:rsid w:val="758DAEAA"/>
    <w:rsid w:val="76E33651"/>
    <w:rsid w:val="78CDBD33"/>
    <w:rsid w:val="79F16566"/>
    <w:rsid w:val="7BAFCBBA"/>
    <w:rsid w:val="7BCEA0E1"/>
    <w:rsid w:val="7EE1E9A1"/>
    <w:rsid w:val="7FEF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80AA"/>
  <w15:chartTrackingRefBased/>
  <w15:docId w15:val="{90C92C5A-9E1E-46AA-86D8-C6F067B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97C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49B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249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table" w:styleId="GridTable4">
    <w:name w:val="Grid Table 4"/>
    <w:basedOn w:val="TableNormal"/>
    <w:uiPriority w:val="49"/>
    <w:rsid w:val="00CE6A4E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normaltextrun">
    <w:name w:val="normaltextrun"/>
    <w:basedOn w:val="DefaultParagraphFont"/>
    <w:rsid w:val="007A109B"/>
  </w:style>
  <w:style w:type="character" w:customStyle="1" w:styleId="eop">
    <w:name w:val="eop"/>
    <w:basedOn w:val="DefaultParagraphFont"/>
    <w:rsid w:val="007A1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9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975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7B459B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31597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D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lawsregs/advisory/2017-0616iep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advisories/2018-2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mcas/graduat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sped/spp/indicators/indicator1/indicator1-slides-vietnamese.pptx" TargetMode="External"/><Relationship Id="rId10" Type="http://schemas.openxmlformats.org/officeDocument/2006/relationships/hyperlink" Target="https://www.doe.mass.edu/infoservices/data/si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mcas/grad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1D51D-482F-4B53-B4BA-FD6556A0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B35BB-836F-443F-9867-3F0E701AB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6ABE1-C03C-4386-82CB-D6B285555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1: Graduation Rate for Students with IEPs — Vietnamese</vt:lpstr>
    </vt:vector>
  </TitlesOfParts>
  <Company/>
  <LinksUpToDate>false</LinksUpToDate>
  <CharactersWithSpaces>4178</CharactersWithSpaces>
  <SharedDoc>false</SharedDoc>
  <HLinks>
    <vt:vector size="30" baseType="variant">
      <vt:variant>
        <vt:i4>3473529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https://www.doe.mass.edu/mcas/modified-cd-faq.docx</vt:lpwstr>
      </vt:variant>
      <vt:variant>
        <vt:lpwstr/>
      </vt:variant>
      <vt:variant>
        <vt:i4>786498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https://www.doe.mass.edu/lawsregs/advisory/2017-0616ieps.html</vt:lpwstr>
      </vt:variant>
      <vt:variant>
        <vt:lpwstr/>
      </vt:variant>
      <vt:variant>
        <vt:i4>5374029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https://www.doe.mass.edu/sped/advisories/2018-2.html</vt:lpwstr>
      </vt:variant>
      <vt:variant>
        <vt:lpwstr/>
      </vt:variant>
      <vt:variant>
        <vt:i4>6094872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https://www.doe.mass.edu/mcas/graduation.html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https://www.doe.mass.edu/infoservices/data/sims/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1: Graduation Rate for Students with IEPs — Vietnamese</dc:title>
  <dc:subject/>
  <dc:creator>DESE</dc:creator>
  <cp:keywords/>
  <cp:lastModifiedBy>Zou, Dong (EOE)</cp:lastModifiedBy>
  <cp:revision>9</cp:revision>
  <cp:lastPrinted>2021-10-06T15:39:00Z</cp:lastPrinted>
  <dcterms:created xsi:type="dcterms:W3CDTF">2022-02-14T22:08:00Z</dcterms:created>
  <dcterms:modified xsi:type="dcterms:W3CDTF">2023-01-03T15:48:00Z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 2023 12:00AM</vt:lpwstr>
  </property>
</Properties>
</file>