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9FD06" w14:textId="4C22F68B" w:rsidR="00834790" w:rsidRPr="006670A1" w:rsidRDefault="00191DC6" w:rsidP="00834790">
      <w:pPr>
        <w:shd w:val="clear" w:color="auto" w:fill="FFFFFF"/>
        <w:spacing w:before="100" w:beforeAutospacing="1" w:after="100" w:afterAutospacing="1" w:line="240" w:lineRule="auto"/>
        <w:outlineLvl w:val="1"/>
        <w:rPr>
          <w:rFonts w:eastAsia="Times New Roman"/>
          <w:b/>
          <w:bCs/>
          <w:shd w:val="clear" w:color="auto" w:fill="FFFFFF"/>
        </w:rPr>
      </w:pPr>
      <w:hyperlink r:id="rId9" w:history="1">
        <w:r w:rsidR="00834790" w:rsidRPr="009D44AD">
          <w:rPr>
            <w:rStyle w:val="Hyperlink"/>
            <w:rFonts w:ascii="SimSun" w:eastAsia="SimSun" w:hAnsi="SimSun" w:cs="SimSun"/>
            <w:b/>
            <w:bCs/>
            <w:shd w:val="clear" w:color="auto" w:fill="FFFFFF"/>
          </w:rPr>
          <w:t>English</w:t>
        </w:r>
      </w:hyperlink>
      <w:r w:rsidR="00834790" w:rsidRPr="006670A1">
        <w:rPr>
          <w:rFonts w:ascii="SimSun" w:eastAsia="SimSun" w:hAnsi="SimSun" w:cs="SimSun"/>
          <w:b/>
          <w:bCs/>
          <w:shd w:val="clear" w:color="auto" w:fill="FFFFFF"/>
        </w:rPr>
        <w:t> | </w:t>
      </w:r>
      <w:hyperlink r:id="rId10" w:history="1">
        <w:r w:rsidR="00834790" w:rsidRPr="009D44AD">
          <w:rPr>
            <w:rStyle w:val="Hyperlink"/>
            <w:rFonts w:ascii="SimSun" w:eastAsia="SimSun" w:hAnsi="SimSun" w:cs="SimSun" w:hint="eastAsia"/>
            <w:b/>
            <w:bCs/>
          </w:rPr>
          <w:t>繁體中文</w:t>
        </w:r>
      </w:hyperlink>
      <w:r w:rsidR="00834790" w:rsidRPr="006670A1">
        <w:rPr>
          <w:rFonts w:ascii="SimSun" w:eastAsia="SimSun" w:hAnsi="SimSun" w:cs="SimSun"/>
          <w:b/>
          <w:bCs/>
          <w:shd w:val="clear" w:color="auto" w:fill="FFFFFF"/>
        </w:rPr>
        <w:t> | </w:t>
      </w:r>
      <w:hyperlink r:id="rId11" w:history="1">
        <w:r w:rsidR="00834790" w:rsidRPr="009D44AD">
          <w:rPr>
            <w:rStyle w:val="Hyperlink"/>
            <w:rFonts w:ascii="SimSun" w:eastAsia="SimSun" w:hAnsi="SimSun" w:cs="SimSun"/>
            <w:b/>
            <w:bCs/>
            <w:shd w:val="clear" w:color="auto" w:fill="FFFFFF"/>
          </w:rPr>
          <w:t>Kreyòl Ayisyen</w:t>
        </w:r>
      </w:hyperlink>
      <w:r w:rsidR="00834790" w:rsidRPr="006670A1">
        <w:rPr>
          <w:rFonts w:ascii="SimSun" w:eastAsia="SimSun" w:hAnsi="SimSun" w:cs="SimSun"/>
          <w:b/>
          <w:bCs/>
          <w:shd w:val="clear" w:color="auto" w:fill="FFFFFF"/>
        </w:rPr>
        <w:t> | </w:t>
      </w:r>
      <w:hyperlink r:id="rId12" w:history="1">
        <w:r w:rsidR="00834790" w:rsidRPr="009D44AD">
          <w:rPr>
            <w:rStyle w:val="Hyperlink"/>
            <w:rFonts w:ascii="SimSun" w:eastAsia="SimSun" w:hAnsi="SimSun" w:cs="SimSun"/>
            <w:b/>
            <w:bCs/>
            <w:shd w:val="clear" w:color="auto" w:fill="FFFFFF"/>
          </w:rPr>
          <w:t>português</w:t>
        </w:r>
      </w:hyperlink>
      <w:r w:rsidR="00834790" w:rsidRPr="006670A1">
        <w:rPr>
          <w:rFonts w:ascii="SimSun" w:eastAsia="SimSun" w:hAnsi="SimSun" w:cs="SimSun"/>
          <w:b/>
          <w:bCs/>
          <w:shd w:val="clear" w:color="auto" w:fill="FFFFFF"/>
        </w:rPr>
        <w:t>​ | </w:t>
      </w:r>
      <w:r w:rsidR="00834790" w:rsidRPr="00834790">
        <w:rPr>
          <w:rFonts w:ascii="SimSun" w:eastAsia="SimSun" w:hAnsi="SimSun" w:cs="SimSun"/>
          <w:b/>
          <w:bCs/>
          <w:shd w:val="clear" w:color="auto" w:fill="FFFFFF"/>
        </w:rPr>
        <w:t>español</w:t>
      </w:r>
      <w:r w:rsidR="00834790" w:rsidRPr="006670A1">
        <w:rPr>
          <w:rFonts w:ascii="SimSun" w:eastAsia="SimSun" w:hAnsi="SimSun" w:cs="SimSun"/>
          <w:b/>
          <w:bCs/>
          <w:shd w:val="clear" w:color="auto" w:fill="FFFFFF"/>
        </w:rPr>
        <w:t> | </w:t>
      </w:r>
      <w:hyperlink r:id="rId13" w:history="1">
        <w:r w:rsidR="00834790" w:rsidRPr="009D44AD">
          <w:rPr>
            <w:rStyle w:val="Hyperlink"/>
            <w:rFonts w:ascii="SimSun" w:eastAsia="SimSun" w:hAnsi="SimSun" w:cs="SimSun"/>
            <w:b/>
            <w:bCs/>
            <w:shd w:val="clear" w:color="auto" w:fill="FFFFFF"/>
          </w:rPr>
          <w:t>Vi</w:t>
        </w:r>
        <w:r w:rsidR="00834790" w:rsidRPr="009D44AD">
          <w:rPr>
            <w:rStyle w:val="Hyperlink"/>
            <w:rFonts w:ascii="Cambria" w:eastAsia="SimSun" w:hAnsi="Cambria" w:cs="Cambria"/>
            <w:b/>
            <w:bCs/>
            <w:shd w:val="clear" w:color="auto" w:fill="FFFFFF"/>
          </w:rPr>
          <w:t>ệ</w:t>
        </w:r>
        <w:r w:rsidR="00834790" w:rsidRPr="009D44AD">
          <w:rPr>
            <w:rStyle w:val="Hyperlink"/>
            <w:rFonts w:ascii="SimSun" w:eastAsia="SimSun" w:hAnsi="SimSun" w:cs="SimSun"/>
            <w:b/>
            <w:bCs/>
            <w:shd w:val="clear" w:color="auto" w:fill="FFFFFF"/>
          </w:rPr>
          <w:t>t</w:t>
        </w:r>
      </w:hyperlink>
    </w:p>
    <w:p w14:paraId="4310ADA8" w14:textId="7D7A4814" w:rsidR="004D7235" w:rsidRDefault="00BB2899" w:rsidP="025790DD">
      <w:pPr>
        <w:pStyle w:val="Heading1"/>
        <w:spacing w:line="240" w:lineRule="auto"/>
      </w:pPr>
      <w:r>
        <w:t xml:space="preserve">Indicador 10: Representación desproporcionada en categorías de discapacidad específica. </w:t>
      </w:r>
    </w:p>
    <w:p w14:paraId="5B37F5E7" w14:textId="385774CD" w:rsidR="00D14FCC" w:rsidRPr="00D14FCC" w:rsidRDefault="00D14FCC" w:rsidP="025790DD">
      <w:pPr>
        <w:pStyle w:val="Heading1"/>
        <w:spacing w:line="240" w:lineRule="auto"/>
        <w:rPr>
          <w:rFonts w:asciiTheme="minorHAnsi" w:hAnsiTheme="minorHAnsi" w:cstheme="minorBidi"/>
          <w:b/>
          <w:bCs/>
          <w:color w:val="000000" w:themeColor="text1"/>
          <w:sz w:val="24"/>
          <w:szCs w:val="24"/>
        </w:rPr>
      </w:pPr>
      <w:r>
        <w:rPr>
          <w:rFonts w:asciiTheme="minorHAnsi" w:hAnsiTheme="minorHAnsi"/>
          <w:b/>
          <w:color w:val="000000" w:themeColor="text1"/>
          <w:sz w:val="24"/>
        </w:rPr>
        <w:t xml:space="preserve">¿Qué es el Indicador 10? </w:t>
      </w:r>
    </w:p>
    <w:p w14:paraId="68E9C28D" w14:textId="5A59E709" w:rsidR="025790DD" w:rsidRDefault="3BD34A9C" w:rsidP="3BD34A9C">
      <w:pPr>
        <w:rPr>
          <w:rFonts w:ascii="Calibri" w:eastAsia="Calibri" w:hAnsi="Calibri" w:cs="Calibri"/>
        </w:rPr>
      </w:pPr>
      <w:r>
        <w:rPr>
          <w:rFonts w:ascii="Calibri" w:hAnsi="Calibri"/>
        </w:rPr>
        <w:t xml:space="preserve">Los distritos están marcados por la representación desproporcionada si, durante tres años consecutivos, el distrito exhibe una proporción alternativa o ponderada de riesgo de 4.0 o más de posible sobrerrepresentación. Cualquier distrito marcado por una representación desproporcionada en una categoría de discapacidad específica, con base en este análisis cuantitativo, recibe una carta del Departamento de Educación Primaria y Secundaria (el Departamento) informándoles sobre su estado y requiriendo que los distritos envíen políticas, prácticas y procedimientos (PPP) al Departamento para su revisión. </w:t>
      </w:r>
    </w:p>
    <w:p w14:paraId="7D9F533B" w14:textId="34465D41" w:rsidR="025790DD" w:rsidRDefault="025790DD" w:rsidP="025790DD">
      <w:pPr>
        <w:spacing w:after="0" w:line="240" w:lineRule="auto"/>
        <w:rPr>
          <w:rFonts w:ascii="Calibri" w:eastAsia="Calibri" w:hAnsi="Calibri" w:cs="Calibri"/>
        </w:rPr>
      </w:pPr>
    </w:p>
    <w:p w14:paraId="0A147BCE" w14:textId="2AADA754" w:rsidR="025790DD" w:rsidRDefault="025790DD" w:rsidP="025790DD">
      <w:pPr>
        <w:spacing w:after="0" w:line="240" w:lineRule="auto"/>
        <w:rPr>
          <w:rFonts w:ascii="Calibri" w:eastAsia="Calibri" w:hAnsi="Calibri" w:cs="Calibri"/>
          <w:i/>
          <w:iCs/>
        </w:rPr>
      </w:pPr>
      <w:r>
        <w:rPr>
          <w:rFonts w:ascii="Calibri" w:hAnsi="Calibri"/>
          <w:i/>
        </w:rPr>
        <w:t xml:space="preserve">Si en esta revisión, el Departamento determina que los PPP son inapropiados o incompatibles con las regulaciones federales y estatales, y concluye que los PPP probablemente causaron la representación desproporcionada, entonces se identifica a la LEA con una representación desproporcionada debido a una identificación inapropiada, y se requiere que tome medidas correctivas.  </w:t>
      </w:r>
    </w:p>
    <w:p w14:paraId="47CC442A" w14:textId="5C0AEA70" w:rsidR="025790DD" w:rsidRDefault="025790DD" w:rsidP="025790DD">
      <w:pPr>
        <w:spacing w:after="0" w:line="240" w:lineRule="auto"/>
        <w:rPr>
          <w:rFonts w:ascii="Calibri" w:eastAsia="Calibri" w:hAnsi="Calibri" w:cs="Calibri"/>
        </w:rPr>
      </w:pPr>
    </w:p>
    <w:p w14:paraId="09F85CB6" w14:textId="357B9979" w:rsidR="00D14FCC" w:rsidRDefault="00D14FCC" w:rsidP="025790DD">
      <w:pPr>
        <w:spacing w:after="0" w:line="240" w:lineRule="auto"/>
        <w:rPr>
          <w:b/>
          <w:bCs/>
          <w:color w:val="000000" w:themeColor="text1"/>
          <w:sz w:val="24"/>
          <w:szCs w:val="24"/>
        </w:rPr>
      </w:pPr>
      <w:r>
        <w:rPr>
          <w:b/>
          <w:color w:val="000000" w:themeColor="text1"/>
          <w:sz w:val="24"/>
        </w:rPr>
        <w:t>Datos del Indicador 10</w:t>
      </w:r>
    </w:p>
    <w:p w14:paraId="340D403C" w14:textId="62F914FC" w:rsidR="025790DD" w:rsidRDefault="025790DD" w:rsidP="025790DD">
      <w:pPr>
        <w:spacing w:after="0" w:line="240" w:lineRule="auto"/>
        <w:rPr>
          <w:i/>
          <w:iCs/>
          <w:color w:val="000000" w:themeColor="text1"/>
        </w:rPr>
      </w:pPr>
      <w:r>
        <w:rPr>
          <w:i/>
          <w:color w:val="000000" w:themeColor="text1"/>
        </w:rPr>
        <w:t>Línea de base</w:t>
      </w:r>
    </w:p>
    <w:tbl>
      <w:tblPr>
        <w:tblStyle w:val="TableGrid"/>
        <w:tblW w:w="0" w:type="auto"/>
        <w:tblLayout w:type="fixed"/>
        <w:tblLook w:val="04A0" w:firstRow="1" w:lastRow="0" w:firstColumn="1" w:lastColumn="0" w:noHBand="0" w:noVBand="1"/>
      </w:tblPr>
      <w:tblGrid>
        <w:gridCol w:w="1785"/>
        <w:gridCol w:w="1785"/>
      </w:tblGrid>
      <w:tr w:rsidR="025790DD" w14:paraId="00E89536" w14:textId="77777777" w:rsidTr="025790DD">
        <w:trPr>
          <w:trHeight w:val="300"/>
        </w:trPr>
        <w:tc>
          <w:tcPr>
            <w:tcW w:w="1785" w:type="dxa"/>
          </w:tcPr>
          <w:p w14:paraId="5718C44D" w14:textId="08A6EEBA" w:rsidR="025790DD" w:rsidRDefault="025790DD" w:rsidP="025790DD">
            <w:pPr>
              <w:spacing w:before="60" w:after="60"/>
              <w:jc w:val="center"/>
              <w:rPr>
                <w:rFonts w:ascii="Calibri" w:eastAsia="Calibri" w:hAnsi="Calibri" w:cs="Calibri"/>
                <w:color w:val="000000" w:themeColor="text1"/>
              </w:rPr>
            </w:pPr>
            <w:r>
              <w:rPr>
                <w:rFonts w:ascii="Calibri" w:hAnsi="Calibri"/>
                <w:b/>
                <w:color w:val="000000" w:themeColor="text1"/>
              </w:rPr>
              <w:t>Año de la línea de base</w:t>
            </w:r>
          </w:p>
        </w:tc>
        <w:tc>
          <w:tcPr>
            <w:tcW w:w="1785" w:type="dxa"/>
          </w:tcPr>
          <w:p w14:paraId="78A2E14F" w14:textId="07210D9F" w:rsidR="025790DD" w:rsidRDefault="025790DD" w:rsidP="025790DD">
            <w:pPr>
              <w:spacing w:before="60" w:after="60"/>
              <w:jc w:val="center"/>
              <w:rPr>
                <w:rFonts w:ascii="Calibri" w:eastAsia="Calibri" w:hAnsi="Calibri" w:cs="Calibri"/>
                <w:color w:val="000000" w:themeColor="text1"/>
              </w:rPr>
            </w:pPr>
            <w:r>
              <w:rPr>
                <w:rFonts w:ascii="Calibri" w:hAnsi="Calibri"/>
                <w:b/>
                <w:color w:val="000000" w:themeColor="text1"/>
              </w:rPr>
              <w:t>Datos de la línea de base</w:t>
            </w:r>
          </w:p>
        </w:tc>
      </w:tr>
      <w:tr w:rsidR="025790DD" w14:paraId="38DF9DF2" w14:textId="77777777" w:rsidTr="025790DD">
        <w:trPr>
          <w:trHeight w:val="300"/>
        </w:trPr>
        <w:tc>
          <w:tcPr>
            <w:tcW w:w="1785" w:type="dxa"/>
            <w:vAlign w:val="center"/>
          </w:tcPr>
          <w:p w14:paraId="570EC9C6" w14:textId="568F5CDB" w:rsidR="025790DD" w:rsidRDefault="025790DD" w:rsidP="025790DD">
            <w:pPr>
              <w:spacing w:before="60" w:after="60"/>
              <w:jc w:val="center"/>
              <w:rPr>
                <w:rFonts w:ascii="Calibri" w:eastAsia="Calibri" w:hAnsi="Calibri" w:cs="Calibri"/>
                <w:color w:val="000000" w:themeColor="text1"/>
              </w:rPr>
            </w:pPr>
            <w:r>
              <w:rPr>
                <w:rFonts w:ascii="Calibri" w:hAnsi="Calibri"/>
                <w:color w:val="000000" w:themeColor="text1"/>
              </w:rPr>
              <w:t>2016</w:t>
            </w:r>
          </w:p>
        </w:tc>
        <w:tc>
          <w:tcPr>
            <w:tcW w:w="1785" w:type="dxa"/>
            <w:vAlign w:val="center"/>
          </w:tcPr>
          <w:p w14:paraId="4AA6F9AA" w14:textId="03E0B0EA" w:rsidR="025790DD" w:rsidRDefault="025790DD" w:rsidP="025790DD">
            <w:pPr>
              <w:spacing w:before="60" w:after="60"/>
              <w:jc w:val="center"/>
              <w:rPr>
                <w:rFonts w:ascii="Calibri" w:eastAsia="Calibri" w:hAnsi="Calibri" w:cs="Calibri"/>
                <w:color w:val="000000" w:themeColor="text1"/>
              </w:rPr>
            </w:pPr>
            <w:r>
              <w:rPr>
                <w:rFonts w:ascii="Calibri" w:hAnsi="Calibri"/>
                <w:color w:val="000000" w:themeColor="text1"/>
              </w:rPr>
              <w:t>0.00 %</w:t>
            </w:r>
          </w:p>
        </w:tc>
      </w:tr>
    </w:tbl>
    <w:p w14:paraId="14C3AB0C" w14:textId="5B9CAB27" w:rsidR="025790DD" w:rsidRDefault="025790DD" w:rsidP="025790DD">
      <w:pPr>
        <w:spacing w:before="60" w:after="60" w:line="240" w:lineRule="auto"/>
        <w:rPr>
          <w:rFonts w:ascii="Calibri" w:eastAsia="Calibri" w:hAnsi="Calibri" w:cs="Calibri"/>
          <w:color w:val="000000" w:themeColor="text1"/>
        </w:rPr>
      </w:pPr>
    </w:p>
    <w:p w14:paraId="2FC2DD05" w14:textId="1A143B25" w:rsidR="025790DD" w:rsidRDefault="025790DD" w:rsidP="025790DD">
      <w:pPr>
        <w:spacing w:before="60" w:after="60" w:line="240" w:lineRule="auto"/>
        <w:rPr>
          <w:rFonts w:ascii="Calibri" w:eastAsia="Calibri" w:hAnsi="Calibri" w:cs="Calibri"/>
          <w:color w:val="000000" w:themeColor="text1"/>
        </w:rPr>
      </w:pPr>
      <w:r>
        <w:rPr>
          <w:rFonts w:ascii="Calibri" w:hAnsi="Calibri"/>
          <w:color w:val="000000" w:themeColor="text1"/>
        </w:rPr>
        <w:t>Datos históricos</w:t>
      </w:r>
    </w:p>
    <w:tbl>
      <w:tblPr>
        <w:tblW w:w="0" w:type="auto"/>
        <w:tblLayout w:type="fixed"/>
        <w:tblLook w:val="0000" w:firstRow="0" w:lastRow="0" w:firstColumn="0" w:lastColumn="0" w:noHBand="0" w:noVBand="0"/>
      </w:tblPr>
      <w:tblGrid>
        <w:gridCol w:w="1558"/>
        <w:gridCol w:w="1558"/>
        <w:gridCol w:w="1558"/>
        <w:gridCol w:w="1558"/>
        <w:gridCol w:w="1558"/>
        <w:gridCol w:w="1571"/>
      </w:tblGrid>
      <w:tr w:rsidR="025790DD" w14:paraId="605B6772"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6B3CEB8B" w14:textId="4A1AC882"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Año fiscal federal</w:t>
            </w:r>
          </w:p>
        </w:tc>
        <w:tc>
          <w:tcPr>
            <w:tcW w:w="1558" w:type="dxa"/>
            <w:tcBorders>
              <w:top w:val="single" w:sz="6" w:space="0" w:color="auto"/>
              <w:left w:val="single" w:sz="6" w:space="0" w:color="auto"/>
              <w:bottom w:val="single" w:sz="6" w:space="0" w:color="auto"/>
              <w:right w:val="single" w:sz="6" w:space="0" w:color="auto"/>
            </w:tcBorders>
          </w:tcPr>
          <w:p w14:paraId="4B66D3B7" w14:textId="47BA1B55"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2014</w:t>
            </w:r>
          </w:p>
        </w:tc>
        <w:tc>
          <w:tcPr>
            <w:tcW w:w="1558" w:type="dxa"/>
            <w:tcBorders>
              <w:top w:val="single" w:sz="6" w:space="0" w:color="auto"/>
              <w:left w:val="single" w:sz="6" w:space="0" w:color="auto"/>
              <w:bottom w:val="single" w:sz="6" w:space="0" w:color="auto"/>
              <w:right w:val="single" w:sz="6" w:space="0" w:color="auto"/>
            </w:tcBorders>
          </w:tcPr>
          <w:p w14:paraId="5587669E" w14:textId="05C4D446"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2015</w:t>
            </w:r>
          </w:p>
        </w:tc>
        <w:tc>
          <w:tcPr>
            <w:tcW w:w="1558" w:type="dxa"/>
            <w:tcBorders>
              <w:top w:val="single" w:sz="6" w:space="0" w:color="auto"/>
              <w:left w:val="single" w:sz="6" w:space="0" w:color="auto"/>
              <w:bottom w:val="single" w:sz="6" w:space="0" w:color="auto"/>
              <w:right w:val="single" w:sz="6" w:space="0" w:color="auto"/>
            </w:tcBorders>
            <w:vAlign w:val="center"/>
          </w:tcPr>
          <w:p w14:paraId="77820A47" w14:textId="194D9070"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2016</w:t>
            </w:r>
          </w:p>
        </w:tc>
        <w:tc>
          <w:tcPr>
            <w:tcW w:w="1558" w:type="dxa"/>
            <w:tcBorders>
              <w:top w:val="single" w:sz="6" w:space="0" w:color="auto"/>
              <w:left w:val="single" w:sz="6" w:space="0" w:color="auto"/>
              <w:bottom w:val="single" w:sz="6" w:space="0" w:color="auto"/>
              <w:right w:val="single" w:sz="6" w:space="0" w:color="auto"/>
            </w:tcBorders>
            <w:vAlign w:val="center"/>
          </w:tcPr>
          <w:p w14:paraId="653794FE" w14:textId="639A329D"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2017</w:t>
            </w:r>
          </w:p>
        </w:tc>
        <w:tc>
          <w:tcPr>
            <w:tcW w:w="1571" w:type="dxa"/>
            <w:tcBorders>
              <w:top w:val="single" w:sz="6" w:space="0" w:color="auto"/>
              <w:left w:val="single" w:sz="6" w:space="0" w:color="auto"/>
              <w:bottom w:val="single" w:sz="6" w:space="0" w:color="auto"/>
              <w:right w:val="single" w:sz="6" w:space="0" w:color="auto"/>
            </w:tcBorders>
            <w:vAlign w:val="center"/>
          </w:tcPr>
          <w:p w14:paraId="0D353E47" w14:textId="6309ACF7"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b/>
                <w:color w:val="000000" w:themeColor="text1"/>
              </w:rPr>
              <w:t>2018</w:t>
            </w:r>
          </w:p>
        </w:tc>
      </w:tr>
      <w:tr w:rsidR="025790DD" w14:paraId="4C68AB1D" w14:textId="77777777" w:rsidTr="025790DD">
        <w:trPr>
          <w:trHeight w:val="345"/>
        </w:trPr>
        <w:tc>
          <w:tcPr>
            <w:tcW w:w="1558" w:type="dxa"/>
            <w:tcBorders>
              <w:top w:val="single" w:sz="6" w:space="0" w:color="auto"/>
              <w:left w:val="single" w:sz="6" w:space="0" w:color="auto"/>
              <w:bottom w:val="single" w:sz="6" w:space="0" w:color="auto"/>
              <w:right w:val="single" w:sz="6" w:space="0" w:color="auto"/>
            </w:tcBorders>
          </w:tcPr>
          <w:p w14:paraId="13477ED7" w14:textId="65DDB05F" w:rsidR="025790DD" w:rsidRDefault="025790DD" w:rsidP="025790DD">
            <w:pPr>
              <w:spacing w:before="60" w:after="60" w:line="240" w:lineRule="auto"/>
              <w:rPr>
                <w:rFonts w:ascii="Calibri" w:eastAsia="Calibri" w:hAnsi="Calibri" w:cs="Calibri"/>
                <w:color w:val="000000" w:themeColor="text1"/>
              </w:rPr>
            </w:pPr>
            <w:r>
              <w:rPr>
                <w:rFonts w:ascii="Calibri" w:hAnsi="Calibri"/>
                <w:color w:val="000000" w:themeColor="text1"/>
              </w:rPr>
              <w:t xml:space="preserve">Objetivo </w:t>
            </w:r>
          </w:p>
        </w:tc>
        <w:tc>
          <w:tcPr>
            <w:tcW w:w="1558" w:type="dxa"/>
            <w:tcBorders>
              <w:top w:val="single" w:sz="6" w:space="0" w:color="auto"/>
              <w:left w:val="single" w:sz="6" w:space="0" w:color="auto"/>
              <w:bottom w:val="single" w:sz="6" w:space="0" w:color="auto"/>
              <w:right w:val="single" w:sz="6" w:space="0" w:color="auto"/>
            </w:tcBorders>
          </w:tcPr>
          <w:p w14:paraId="1FFB8CC0" w14:textId="1567EE79"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700FE83F" w14:textId="2ADBB82E"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7E29F37D" w14:textId="7CE031B2"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58" w:type="dxa"/>
            <w:tcBorders>
              <w:top w:val="single" w:sz="6" w:space="0" w:color="auto"/>
              <w:left w:val="single" w:sz="6" w:space="0" w:color="auto"/>
              <w:bottom w:val="single" w:sz="6" w:space="0" w:color="auto"/>
              <w:right w:val="single" w:sz="6" w:space="0" w:color="auto"/>
            </w:tcBorders>
          </w:tcPr>
          <w:p w14:paraId="05B05585" w14:textId="1AEC2051"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c>
          <w:tcPr>
            <w:tcW w:w="1571" w:type="dxa"/>
            <w:tcBorders>
              <w:top w:val="single" w:sz="6" w:space="0" w:color="auto"/>
              <w:left w:val="single" w:sz="6" w:space="0" w:color="auto"/>
              <w:bottom w:val="single" w:sz="6" w:space="0" w:color="auto"/>
              <w:right w:val="single" w:sz="6" w:space="0" w:color="auto"/>
            </w:tcBorders>
          </w:tcPr>
          <w:p w14:paraId="166DBACF" w14:textId="5FDED409"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0 %</w:t>
            </w:r>
          </w:p>
        </w:tc>
      </w:tr>
      <w:tr w:rsidR="025790DD" w14:paraId="4990C00E" w14:textId="77777777" w:rsidTr="025790DD">
        <w:trPr>
          <w:trHeight w:val="75"/>
        </w:trPr>
        <w:tc>
          <w:tcPr>
            <w:tcW w:w="1558" w:type="dxa"/>
            <w:tcBorders>
              <w:top w:val="single" w:sz="6" w:space="0" w:color="auto"/>
              <w:left w:val="single" w:sz="6" w:space="0" w:color="auto"/>
              <w:bottom w:val="single" w:sz="6" w:space="0" w:color="auto"/>
              <w:right w:val="single" w:sz="6" w:space="0" w:color="auto"/>
            </w:tcBorders>
          </w:tcPr>
          <w:p w14:paraId="1375644D" w14:textId="65EBA3AE" w:rsidR="025790DD" w:rsidRDefault="025790DD" w:rsidP="025790DD">
            <w:pPr>
              <w:spacing w:before="60" w:after="60" w:line="240" w:lineRule="auto"/>
              <w:rPr>
                <w:rFonts w:ascii="Calibri" w:eastAsia="Calibri" w:hAnsi="Calibri" w:cs="Calibri"/>
                <w:color w:val="000000" w:themeColor="text1"/>
              </w:rPr>
            </w:pPr>
            <w:r>
              <w:rPr>
                <w:rFonts w:ascii="Calibri" w:hAnsi="Calibri"/>
                <w:color w:val="000000" w:themeColor="text1"/>
              </w:rPr>
              <w:t>Datos</w:t>
            </w:r>
          </w:p>
        </w:tc>
        <w:tc>
          <w:tcPr>
            <w:tcW w:w="1558" w:type="dxa"/>
            <w:tcBorders>
              <w:top w:val="single" w:sz="6" w:space="0" w:color="auto"/>
              <w:left w:val="single" w:sz="6" w:space="0" w:color="auto"/>
              <w:bottom w:val="single" w:sz="6" w:space="0" w:color="auto"/>
              <w:right w:val="single" w:sz="6" w:space="0" w:color="auto"/>
            </w:tcBorders>
          </w:tcPr>
          <w:p w14:paraId="77AAD7AB" w14:textId="0C6115C0"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tcPr>
          <w:p w14:paraId="7D6EE415" w14:textId="5738EF7A"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vAlign w:val="center"/>
          </w:tcPr>
          <w:p w14:paraId="32D2C685" w14:textId="4BD3E66A"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58" w:type="dxa"/>
            <w:tcBorders>
              <w:top w:val="single" w:sz="6" w:space="0" w:color="auto"/>
              <w:left w:val="single" w:sz="6" w:space="0" w:color="auto"/>
              <w:bottom w:val="single" w:sz="6" w:space="0" w:color="auto"/>
              <w:right w:val="single" w:sz="6" w:space="0" w:color="auto"/>
            </w:tcBorders>
            <w:vAlign w:val="center"/>
          </w:tcPr>
          <w:p w14:paraId="7BCB5E3D" w14:textId="3BF940C6"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c>
          <w:tcPr>
            <w:tcW w:w="1571" w:type="dxa"/>
            <w:tcBorders>
              <w:top w:val="single" w:sz="6" w:space="0" w:color="auto"/>
              <w:left w:val="single" w:sz="6" w:space="0" w:color="auto"/>
              <w:bottom w:val="single" w:sz="6" w:space="0" w:color="auto"/>
              <w:right w:val="single" w:sz="6" w:space="0" w:color="auto"/>
            </w:tcBorders>
            <w:vAlign w:val="center"/>
          </w:tcPr>
          <w:p w14:paraId="2A0E6A28" w14:textId="57AD4507" w:rsidR="025790DD" w:rsidRDefault="025790DD" w:rsidP="025790DD">
            <w:pPr>
              <w:spacing w:before="60" w:after="60" w:line="240" w:lineRule="auto"/>
              <w:jc w:val="center"/>
              <w:rPr>
                <w:rFonts w:ascii="Calibri" w:eastAsia="Calibri" w:hAnsi="Calibri" w:cs="Calibri"/>
                <w:color w:val="000000" w:themeColor="text1"/>
              </w:rPr>
            </w:pPr>
            <w:r>
              <w:rPr>
                <w:rFonts w:ascii="Calibri" w:hAnsi="Calibri"/>
                <w:color w:val="000000" w:themeColor="text1"/>
              </w:rPr>
              <w:t>0.00 %</w:t>
            </w:r>
          </w:p>
        </w:tc>
      </w:tr>
    </w:tbl>
    <w:p w14:paraId="78B6E185" w14:textId="787BE358" w:rsidR="025790DD" w:rsidRDefault="025790DD" w:rsidP="025790DD">
      <w:pPr>
        <w:spacing w:after="0" w:line="240" w:lineRule="auto"/>
        <w:rPr>
          <w:b/>
          <w:bCs/>
          <w:color w:val="000000" w:themeColor="text1"/>
          <w:sz w:val="24"/>
          <w:szCs w:val="24"/>
        </w:rPr>
      </w:pPr>
    </w:p>
    <w:p w14:paraId="115626C5" w14:textId="0DB496C0" w:rsidR="025790DD" w:rsidRDefault="025790DD" w:rsidP="025790DD">
      <w:pPr>
        <w:spacing w:after="0" w:line="240" w:lineRule="auto"/>
        <w:rPr>
          <w:color w:val="000000" w:themeColor="text1"/>
          <w:sz w:val="24"/>
          <w:szCs w:val="24"/>
        </w:rPr>
      </w:pPr>
      <w:r>
        <w:rPr>
          <w:color w:val="000000" w:themeColor="text1"/>
        </w:rPr>
        <w:t>Año fiscal federal (FFY) 19</w:t>
      </w:r>
    </w:p>
    <w:tbl>
      <w:tblPr>
        <w:tblW w:w="0" w:type="auto"/>
        <w:tblLayout w:type="fixed"/>
        <w:tblLook w:val="0000" w:firstRow="0" w:lastRow="0" w:firstColumn="0" w:lastColumn="0" w:noHBand="0" w:noVBand="0"/>
      </w:tblPr>
      <w:tblGrid>
        <w:gridCol w:w="1552"/>
        <w:gridCol w:w="1559"/>
        <w:gridCol w:w="1276"/>
        <w:gridCol w:w="992"/>
        <w:gridCol w:w="1417"/>
        <w:gridCol w:w="993"/>
      </w:tblGrid>
      <w:tr w:rsidR="3BD34A9C" w14:paraId="0D0D262A" w14:textId="77777777" w:rsidTr="007F2490">
        <w:trPr>
          <w:trHeight w:val="345"/>
        </w:trPr>
        <w:tc>
          <w:tcPr>
            <w:tcW w:w="1552" w:type="dxa"/>
            <w:tcBorders>
              <w:top w:val="single" w:sz="6" w:space="0" w:color="auto"/>
              <w:left w:val="single" w:sz="6" w:space="0" w:color="auto"/>
              <w:bottom w:val="single" w:sz="6" w:space="0" w:color="auto"/>
              <w:right w:val="single" w:sz="6" w:space="0" w:color="auto"/>
            </w:tcBorders>
            <w:vAlign w:val="bottom"/>
          </w:tcPr>
          <w:p w14:paraId="715BA132" w14:textId="16F6E535"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Número de distritos con una representación desproporcionada de grupos raciales y étnicos en las categorías de discapacidad específica</w:t>
            </w:r>
          </w:p>
        </w:tc>
        <w:tc>
          <w:tcPr>
            <w:tcW w:w="1559" w:type="dxa"/>
            <w:tcBorders>
              <w:top w:val="single" w:sz="6" w:space="0" w:color="auto"/>
              <w:left w:val="single" w:sz="6" w:space="0" w:color="auto"/>
              <w:bottom w:val="single" w:sz="6" w:space="0" w:color="auto"/>
              <w:right w:val="single" w:sz="6" w:space="0" w:color="auto"/>
            </w:tcBorders>
            <w:vAlign w:val="bottom"/>
          </w:tcPr>
          <w:p w14:paraId="734F806B" w14:textId="762CD3B2"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Número de distritos con una representación desproporcionada de grupos raciales y étnicos en las categorías de discapacidad específica, debido una identificación inapropiada</w:t>
            </w:r>
          </w:p>
        </w:tc>
        <w:tc>
          <w:tcPr>
            <w:tcW w:w="1276" w:type="dxa"/>
            <w:tcBorders>
              <w:top w:val="single" w:sz="6" w:space="0" w:color="auto"/>
              <w:left w:val="single" w:sz="6" w:space="0" w:color="auto"/>
              <w:bottom w:val="single" w:sz="6" w:space="0" w:color="auto"/>
              <w:right w:val="single" w:sz="6" w:space="0" w:color="auto"/>
            </w:tcBorders>
            <w:vAlign w:val="bottom"/>
          </w:tcPr>
          <w:p w14:paraId="694EC5C9" w14:textId="022F37C9"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 xml:space="preserve">Número de distritos que cumplieron con </w:t>
            </w:r>
            <w:r w:rsidR="00E04F38">
              <w:rPr>
                <w:b/>
                <w:color w:val="000000" w:themeColor="text1"/>
                <w:sz w:val="16"/>
              </w:rPr>
              <w:t>el tamaño</w:t>
            </w:r>
            <w:r>
              <w:rPr>
                <w:b/>
                <w:color w:val="000000" w:themeColor="text1"/>
                <w:sz w:val="16"/>
              </w:rPr>
              <w:t xml:space="preserve"> “n” mínim</w:t>
            </w:r>
            <w:r w:rsidR="00E04F38">
              <w:rPr>
                <w:b/>
                <w:color w:val="000000" w:themeColor="text1"/>
                <w:sz w:val="16"/>
              </w:rPr>
              <w:t>o</w:t>
            </w:r>
            <w:r>
              <w:rPr>
                <w:b/>
                <w:color w:val="000000" w:themeColor="text1"/>
                <w:sz w:val="16"/>
              </w:rPr>
              <w:t xml:space="preserve"> estatal</w:t>
            </w:r>
          </w:p>
        </w:tc>
        <w:tc>
          <w:tcPr>
            <w:tcW w:w="992" w:type="dxa"/>
            <w:tcBorders>
              <w:top w:val="single" w:sz="6" w:space="0" w:color="auto"/>
              <w:left w:val="single" w:sz="6" w:space="0" w:color="auto"/>
              <w:bottom w:val="single" w:sz="6" w:space="0" w:color="auto"/>
              <w:right w:val="single" w:sz="6" w:space="0" w:color="auto"/>
            </w:tcBorders>
            <w:vAlign w:val="bottom"/>
          </w:tcPr>
          <w:p w14:paraId="292E6412" w14:textId="30C256A4"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Datos del año fiscal federal 2018</w:t>
            </w:r>
          </w:p>
        </w:tc>
        <w:tc>
          <w:tcPr>
            <w:tcW w:w="1417" w:type="dxa"/>
            <w:tcBorders>
              <w:top w:val="single" w:sz="6" w:space="0" w:color="auto"/>
              <w:left w:val="single" w:sz="6" w:space="0" w:color="auto"/>
              <w:bottom w:val="single" w:sz="6" w:space="0" w:color="auto"/>
              <w:right w:val="single" w:sz="6" w:space="0" w:color="auto"/>
            </w:tcBorders>
            <w:vAlign w:val="bottom"/>
          </w:tcPr>
          <w:p w14:paraId="2C77A4E0" w14:textId="2A829889"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Objetivo para el año fiscal federal 2019</w:t>
            </w:r>
          </w:p>
        </w:tc>
        <w:tc>
          <w:tcPr>
            <w:tcW w:w="993" w:type="dxa"/>
            <w:tcBorders>
              <w:top w:val="single" w:sz="6" w:space="0" w:color="auto"/>
              <w:left w:val="single" w:sz="6" w:space="0" w:color="auto"/>
              <w:bottom w:val="single" w:sz="6" w:space="0" w:color="auto"/>
              <w:right w:val="single" w:sz="6" w:space="0" w:color="auto"/>
            </w:tcBorders>
            <w:vAlign w:val="bottom"/>
          </w:tcPr>
          <w:p w14:paraId="6B89994D" w14:textId="6F229A21" w:rsidR="3BD34A9C" w:rsidRDefault="3BD34A9C" w:rsidP="3BD34A9C">
            <w:pPr>
              <w:spacing w:before="60" w:after="60" w:line="240" w:lineRule="auto"/>
              <w:jc w:val="center"/>
              <w:rPr>
                <w:rFonts w:eastAsiaTheme="minorEastAsia"/>
                <w:color w:val="000000" w:themeColor="text1"/>
                <w:sz w:val="16"/>
                <w:szCs w:val="16"/>
              </w:rPr>
            </w:pPr>
            <w:r>
              <w:rPr>
                <w:b/>
                <w:color w:val="000000" w:themeColor="text1"/>
                <w:sz w:val="16"/>
              </w:rPr>
              <w:t>Datos del año fiscal federal 2019</w:t>
            </w:r>
          </w:p>
        </w:tc>
      </w:tr>
      <w:tr w:rsidR="3BD34A9C" w14:paraId="3CE162F5" w14:textId="77777777" w:rsidTr="007F2490">
        <w:trPr>
          <w:trHeight w:val="360"/>
        </w:trPr>
        <w:tc>
          <w:tcPr>
            <w:tcW w:w="1552" w:type="dxa"/>
            <w:tcBorders>
              <w:top w:val="single" w:sz="6" w:space="0" w:color="auto"/>
              <w:left w:val="single" w:sz="6" w:space="0" w:color="auto"/>
              <w:bottom w:val="single" w:sz="6" w:space="0" w:color="auto"/>
              <w:right w:val="single" w:sz="6" w:space="0" w:color="auto"/>
            </w:tcBorders>
            <w:vAlign w:val="center"/>
          </w:tcPr>
          <w:p w14:paraId="228BC94B" w14:textId="73DA7CCD" w:rsidR="3BD34A9C" w:rsidRDefault="3BD34A9C" w:rsidP="3BD34A9C">
            <w:pPr>
              <w:spacing w:before="60" w:after="60" w:line="240" w:lineRule="auto"/>
              <w:jc w:val="center"/>
              <w:rPr>
                <w:rFonts w:eastAsiaTheme="minorEastAsia"/>
                <w:color w:val="000000" w:themeColor="text1"/>
              </w:rPr>
            </w:pPr>
            <w:r>
              <w:rPr>
                <w:color w:val="000000" w:themeColor="text1"/>
              </w:rPr>
              <w:t>8</w:t>
            </w:r>
          </w:p>
        </w:tc>
        <w:tc>
          <w:tcPr>
            <w:tcW w:w="1559" w:type="dxa"/>
            <w:tcBorders>
              <w:top w:val="single" w:sz="6" w:space="0" w:color="auto"/>
              <w:left w:val="single" w:sz="6" w:space="0" w:color="auto"/>
              <w:bottom w:val="single" w:sz="6" w:space="0" w:color="auto"/>
              <w:right w:val="single" w:sz="6" w:space="0" w:color="auto"/>
            </w:tcBorders>
            <w:vAlign w:val="center"/>
          </w:tcPr>
          <w:p w14:paraId="04728E9B" w14:textId="2F2D2169" w:rsidR="3BD34A9C" w:rsidRDefault="3BD34A9C" w:rsidP="3BD34A9C">
            <w:pPr>
              <w:spacing w:before="60" w:after="60" w:line="240" w:lineRule="auto"/>
              <w:jc w:val="center"/>
              <w:rPr>
                <w:rFonts w:eastAsiaTheme="minorEastAsia"/>
                <w:color w:val="000000" w:themeColor="text1"/>
              </w:rPr>
            </w:pPr>
            <w:r>
              <w:rPr>
                <w:color w:val="000000" w:themeColor="text1"/>
              </w:rPr>
              <w:t>0</w:t>
            </w:r>
          </w:p>
        </w:tc>
        <w:tc>
          <w:tcPr>
            <w:tcW w:w="1276" w:type="dxa"/>
            <w:tcBorders>
              <w:top w:val="single" w:sz="6" w:space="0" w:color="auto"/>
              <w:left w:val="single" w:sz="6" w:space="0" w:color="auto"/>
              <w:bottom w:val="single" w:sz="6" w:space="0" w:color="auto"/>
              <w:right w:val="single" w:sz="6" w:space="0" w:color="auto"/>
            </w:tcBorders>
          </w:tcPr>
          <w:p w14:paraId="4CE10792" w14:textId="7460630B" w:rsidR="3BD34A9C" w:rsidRDefault="3BD34A9C" w:rsidP="3BD34A9C">
            <w:pPr>
              <w:spacing w:before="60" w:after="60" w:line="240" w:lineRule="auto"/>
              <w:jc w:val="center"/>
              <w:rPr>
                <w:rFonts w:eastAsiaTheme="minorEastAsia"/>
                <w:color w:val="000000" w:themeColor="text1"/>
              </w:rPr>
            </w:pPr>
            <w:r>
              <w:rPr>
                <w:color w:val="000000" w:themeColor="text1"/>
              </w:rPr>
              <w:t>360</w:t>
            </w:r>
          </w:p>
        </w:tc>
        <w:tc>
          <w:tcPr>
            <w:tcW w:w="992" w:type="dxa"/>
            <w:tcBorders>
              <w:top w:val="single" w:sz="6" w:space="0" w:color="auto"/>
              <w:left w:val="single" w:sz="6" w:space="0" w:color="auto"/>
              <w:bottom w:val="single" w:sz="6" w:space="0" w:color="auto"/>
              <w:right w:val="single" w:sz="6" w:space="0" w:color="auto"/>
            </w:tcBorders>
          </w:tcPr>
          <w:p w14:paraId="13816390" w14:textId="08F009B8" w:rsidR="3BD34A9C" w:rsidRDefault="3BD34A9C" w:rsidP="3BD34A9C">
            <w:pPr>
              <w:spacing w:before="60" w:after="60" w:line="240" w:lineRule="auto"/>
              <w:jc w:val="center"/>
              <w:rPr>
                <w:rFonts w:eastAsiaTheme="minorEastAsia"/>
                <w:color w:val="000000" w:themeColor="text1"/>
              </w:rPr>
            </w:pPr>
            <w:r>
              <w:rPr>
                <w:color w:val="000000" w:themeColor="text1"/>
              </w:rPr>
              <w:t>0.00 %</w:t>
            </w:r>
          </w:p>
        </w:tc>
        <w:tc>
          <w:tcPr>
            <w:tcW w:w="1417" w:type="dxa"/>
            <w:tcBorders>
              <w:top w:val="single" w:sz="6" w:space="0" w:color="auto"/>
              <w:left w:val="single" w:sz="6" w:space="0" w:color="auto"/>
              <w:bottom w:val="single" w:sz="6" w:space="0" w:color="auto"/>
              <w:right w:val="single" w:sz="6" w:space="0" w:color="auto"/>
            </w:tcBorders>
          </w:tcPr>
          <w:p w14:paraId="4FBCE0EE" w14:textId="1544A3C5" w:rsidR="3BD34A9C" w:rsidRDefault="3BD34A9C" w:rsidP="3BD34A9C">
            <w:pPr>
              <w:spacing w:before="60" w:after="60" w:line="240" w:lineRule="auto"/>
              <w:jc w:val="center"/>
              <w:rPr>
                <w:rFonts w:eastAsiaTheme="minorEastAsia"/>
                <w:color w:val="000000" w:themeColor="text1"/>
              </w:rPr>
            </w:pPr>
            <w:r>
              <w:rPr>
                <w:color w:val="000000" w:themeColor="text1"/>
              </w:rPr>
              <w:t>0 %</w:t>
            </w:r>
          </w:p>
        </w:tc>
        <w:tc>
          <w:tcPr>
            <w:tcW w:w="993" w:type="dxa"/>
            <w:tcBorders>
              <w:top w:val="single" w:sz="6" w:space="0" w:color="auto"/>
              <w:left w:val="single" w:sz="6" w:space="0" w:color="auto"/>
              <w:bottom w:val="single" w:sz="6" w:space="0" w:color="auto"/>
              <w:right w:val="single" w:sz="6" w:space="0" w:color="auto"/>
            </w:tcBorders>
          </w:tcPr>
          <w:p w14:paraId="7E7D585A" w14:textId="189A06C6" w:rsidR="3BD34A9C" w:rsidRDefault="3BD34A9C" w:rsidP="3BD34A9C">
            <w:pPr>
              <w:spacing w:before="60" w:after="60" w:line="240" w:lineRule="auto"/>
              <w:jc w:val="center"/>
              <w:rPr>
                <w:rFonts w:eastAsiaTheme="minorEastAsia"/>
                <w:color w:val="000000" w:themeColor="text1"/>
              </w:rPr>
            </w:pPr>
            <w:r>
              <w:rPr>
                <w:color w:val="000000" w:themeColor="text1"/>
              </w:rPr>
              <w:t>0.00 %</w:t>
            </w:r>
          </w:p>
        </w:tc>
      </w:tr>
    </w:tbl>
    <w:p w14:paraId="00EF2B8E" w14:textId="57A205AE" w:rsidR="025790DD" w:rsidRDefault="025790DD" w:rsidP="3BD34A9C">
      <w:pPr>
        <w:spacing w:after="0" w:line="240" w:lineRule="auto"/>
        <w:rPr>
          <w:color w:val="000000" w:themeColor="text1"/>
          <w:sz w:val="24"/>
          <w:szCs w:val="24"/>
        </w:rPr>
      </w:pPr>
    </w:p>
    <w:p w14:paraId="048210BC" w14:textId="7A0133AC" w:rsidR="025790DD" w:rsidRDefault="025790DD" w:rsidP="025790DD">
      <w:pPr>
        <w:spacing w:after="0" w:line="240" w:lineRule="auto"/>
        <w:rPr>
          <w:rFonts w:ascii="Calibri" w:eastAsia="Calibri" w:hAnsi="Calibri" w:cs="Calibri"/>
        </w:rPr>
      </w:pPr>
    </w:p>
    <w:p w14:paraId="08A2AF18" w14:textId="0C892CF1" w:rsidR="025790DD" w:rsidRDefault="025790DD" w:rsidP="025790DD">
      <w:pPr>
        <w:spacing w:after="0" w:line="240" w:lineRule="auto"/>
        <w:rPr>
          <w:b/>
          <w:bCs/>
          <w:color w:val="000000" w:themeColor="text1"/>
          <w:sz w:val="24"/>
          <w:szCs w:val="24"/>
        </w:rPr>
      </w:pPr>
      <w:r>
        <w:rPr>
          <w:b/>
          <w:color w:val="000000" w:themeColor="text1"/>
          <w:sz w:val="24"/>
        </w:rPr>
        <w:t>¿Qué significa que un distrito exhiba una proporción alternativa o ponderada de riesgo de 4.0 o más?</w:t>
      </w:r>
    </w:p>
    <w:p w14:paraId="0DB9F57D" w14:textId="364C8D0F" w:rsidR="025790DD" w:rsidRDefault="025790DD" w:rsidP="025790DD">
      <w:pPr>
        <w:spacing w:after="0" w:line="240" w:lineRule="auto"/>
        <w:rPr>
          <w:color w:val="000000" w:themeColor="text1"/>
        </w:rPr>
      </w:pPr>
      <w:r>
        <w:rPr>
          <w:color w:val="000000" w:themeColor="text1"/>
        </w:rPr>
        <w:t>Esto significa que un estudiante de un determinado grupo racial o étnico parece tener tres veces más probabilidades de ser identificado como elegible para un tipo de discapacidad de lo esperado, según la tasa de incidencia general para ese grupo racial o étnico.</w:t>
      </w:r>
    </w:p>
    <w:p w14:paraId="5EA7681E" w14:textId="768D5CC9" w:rsidR="025790DD" w:rsidRDefault="025790DD" w:rsidP="025790DD">
      <w:pPr>
        <w:spacing w:after="0" w:line="240" w:lineRule="auto"/>
        <w:rPr>
          <w:b/>
          <w:bCs/>
          <w:color w:val="000000" w:themeColor="text1"/>
          <w:sz w:val="24"/>
          <w:szCs w:val="24"/>
        </w:rPr>
      </w:pPr>
    </w:p>
    <w:p w14:paraId="50250186" w14:textId="1DCCB1F8" w:rsidR="025790DD" w:rsidRDefault="025790DD" w:rsidP="025790DD">
      <w:pPr>
        <w:spacing w:after="0" w:line="240" w:lineRule="auto"/>
        <w:rPr>
          <w:b/>
          <w:bCs/>
          <w:color w:val="000000" w:themeColor="text1"/>
          <w:sz w:val="24"/>
          <w:szCs w:val="24"/>
        </w:rPr>
      </w:pPr>
      <w:r>
        <w:rPr>
          <w:b/>
          <w:color w:val="000000" w:themeColor="text1"/>
          <w:sz w:val="24"/>
        </w:rPr>
        <w:t xml:space="preserve">¿Cuándo se utiliza una proporción ponderada de riesgo para el cálculo del Indicador 10? ¿Cuándo se utiliza una proporción alternativa de riesgo para el cálculo del Indicador 10? </w:t>
      </w:r>
    </w:p>
    <w:p w14:paraId="3FB685D2" w14:textId="68F84F43" w:rsidR="025790DD" w:rsidRDefault="025790DD" w:rsidP="025790DD">
      <w:pPr>
        <w:spacing w:after="0" w:line="240" w:lineRule="auto"/>
        <w:rPr>
          <w:rFonts w:ascii="Calibri" w:eastAsia="Calibri" w:hAnsi="Calibri" w:cs="Calibri"/>
        </w:rPr>
      </w:pPr>
      <w:r>
        <w:rPr>
          <w:rFonts w:ascii="Calibri" w:hAnsi="Calibri"/>
        </w:rPr>
        <w:t xml:space="preserve">Se usa un método de proporción ponderada de riesgo para los distritos en los que hay al menos 10 estudiantes en el grupo racial/étnico en cuestión dentro de un tipo de discapacidad particular y al menos 10 estudiantes en el grupo de comparación (estudiantes de todos los demás grupos raciales/étnicos elegibles para educación especial en general o dentro de un tipo de discapacidad particular). </w:t>
      </w:r>
    </w:p>
    <w:p w14:paraId="6180DA00" w14:textId="4E697E30" w:rsidR="025790DD" w:rsidRDefault="025790DD" w:rsidP="025790DD">
      <w:pPr>
        <w:spacing w:after="0" w:line="240" w:lineRule="auto"/>
        <w:rPr>
          <w:rFonts w:ascii="Calibri" w:eastAsia="Calibri" w:hAnsi="Calibri" w:cs="Calibri"/>
        </w:rPr>
      </w:pPr>
    </w:p>
    <w:p w14:paraId="585A6180" w14:textId="613E728B" w:rsidR="025790DD" w:rsidRDefault="025790DD" w:rsidP="025790DD">
      <w:pPr>
        <w:spacing w:after="0" w:line="240" w:lineRule="auto"/>
        <w:rPr>
          <w:rFonts w:ascii="Calibri" w:eastAsia="Calibri" w:hAnsi="Calibri" w:cs="Calibri"/>
        </w:rPr>
      </w:pPr>
      <w:r>
        <w:rPr>
          <w:rFonts w:ascii="Calibri" w:hAnsi="Calibri"/>
        </w:rPr>
        <w:t>Se usa un método de proporción alternativa de riesgo para los distritos en los que hay al menos 10 estudiantes en el grupo racial/étnico en cuestión dentro de un tipo de discapacidad particular, pero menos de 10 estudiantes en el grupo de comparación (estudiantes de todos los demás grupos raciales/étnicos elegibles para educación especial en general o dentro de un tipo de discapacidad particular).</w:t>
      </w:r>
    </w:p>
    <w:p w14:paraId="5BBC1764" w14:textId="49C60B22" w:rsidR="025790DD" w:rsidRDefault="025790DD" w:rsidP="025790DD">
      <w:pPr>
        <w:spacing w:after="0" w:line="240" w:lineRule="auto"/>
        <w:rPr>
          <w:b/>
          <w:bCs/>
          <w:color w:val="000000" w:themeColor="text1"/>
          <w:sz w:val="24"/>
          <w:szCs w:val="24"/>
        </w:rPr>
      </w:pPr>
    </w:p>
    <w:p w14:paraId="1E738649" w14:textId="29B3E4D3" w:rsidR="025790DD" w:rsidRDefault="025790DD" w:rsidP="025790DD">
      <w:pPr>
        <w:spacing w:after="0" w:line="240" w:lineRule="auto"/>
        <w:rPr>
          <w:b/>
          <w:bCs/>
          <w:color w:val="000000" w:themeColor="text1"/>
          <w:sz w:val="24"/>
          <w:szCs w:val="24"/>
        </w:rPr>
      </w:pPr>
      <w:r>
        <w:rPr>
          <w:b/>
          <w:color w:val="000000" w:themeColor="text1"/>
          <w:sz w:val="24"/>
        </w:rPr>
        <w:t>¿Cuál es la fórmula para calcular la proporción ponderada de riesgo y la proporción alternativa de riesgo?</w:t>
      </w:r>
    </w:p>
    <w:p w14:paraId="146C6E7F" w14:textId="0035C758" w:rsidR="025790DD" w:rsidRDefault="025790DD" w:rsidP="025790DD">
      <w:pPr>
        <w:spacing w:after="0" w:line="240" w:lineRule="auto"/>
        <w:rPr>
          <w:rFonts w:ascii="Calibri" w:eastAsia="Calibri" w:hAnsi="Calibri" w:cs="Calibri"/>
          <w:i/>
          <w:iCs/>
          <w:sz w:val="24"/>
          <w:szCs w:val="24"/>
        </w:rPr>
      </w:pPr>
    </w:p>
    <w:p w14:paraId="44ACA53F" w14:textId="0A56B264" w:rsidR="025790DD" w:rsidRDefault="025790DD" w:rsidP="025790DD">
      <w:pPr>
        <w:spacing w:after="0" w:line="240" w:lineRule="auto"/>
        <w:rPr>
          <w:rFonts w:ascii="Calibri" w:eastAsia="Calibri" w:hAnsi="Calibri" w:cs="Calibri"/>
          <w:i/>
          <w:iCs/>
          <w:sz w:val="24"/>
          <w:szCs w:val="24"/>
        </w:rPr>
      </w:pPr>
      <w:r>
        <w:rPr>
          <w:rFonts w:ascii="Calibri" w:hAnsi="Calibri"/>
          <w:i/>
          <w:sz w:val="24"/>
        </w:rPr>
        <w:t xml:space="preserve">Proporción ponderada de riesgo </w:t>
      </w:r>
    </w:p>
    <w:p w14:paraId="406DACE2" w14:textId="2540E0EF" w:rsidR="025790DD" w:rsidRDefault="025790DD" w:rsidP="025790DD">
      <w:pPr>
        <w:spacing w:after="0" w:line="240" w:lineRule="auto"/>
        <w:rPr>
          <w:rFonts w:ascii="Calibri" w:eastAsia="Calibri" w:hAnsi="Calibri" w:cs="Calibri"/>
        </w:rPr>
      </w:pPr>
      <w:r>
        <w:rPr>
          <w:rFonts w:ascii="Calibri" w:hAnsi="Calibri"/>
        </w:rPr>
        <w:t xml:space="preserve">¿Cuántas veces mayor es el riesgo para </w:t>
      </w:r>
      <w:r>
        <w:rPr>
          <w:rFonts w:ascii="Calibri" w:hAnsi="Calibri"/>
          <w:u w:val="single"/>
        </w:rPr>
        <w:t>estudiantes hispanos</w:t>
      </w:r>
      <w:r>
        <w:rPr>
          <w:rFonts w:ascii="Calibri" w:hAnsi="Calibri"/>
        </w:rPr>
        <w:t xml:space="preserve"> de ser identificados como elegibles para educación especial y servicios relacionados por una </w:t>
      </w:r>
      <w:r>
        <w:rPr>
          <w:rFonts w:ascii="Calibri" w:hAnsi="Calibri"/>
          <w:u w:val="single"/>
        </w:rPr>
        <w:t>discapacidad específica de aprendizaje (SLD)</w:t>
      </w:r>
      <w:r>
        <w:rPr>
          <w:rFonts w:ascii="Calibri" w:hAnsi="Calibri"/>
        </w:rPr>
        <w:t xml:space="preserve">, en comparación con todos los otros grupos raciales/étnicos en el distrito? </w:t>
      </w:r>
    </w:p>
    <w:p w14:paraId="0260EB97" w14:textId="282452DD"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[(1-Composición de estudiantes hispanos y latinos a nivel estatal) * Riesgo del distrito para estudiantes hispanos con SLD] </w:t>
      </w:r>
    </w:p>
    <w:p w14:paraId="3CB27EF1" w14:textId="75440845"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(dividido en)</w:t>
      </w:r>
    </w:p>
    <w:p w14:paraId="04CB5C80" w14:textId="2078A9AC"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[(Composición de estudiantes afroamericanos a nivel estatal * Riesgo del distrito para estudiantes afroamericanos con SLD) </w:t>
      </w:r>
    </w:p>
    <w:p w14:paraId="79D3BB5D" w14:textId="4DFE3A19"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(sumado a) </w:t>
      </w:r>
    </w:p>
    <w:p w14:paraId="0D3D0A5E" w14:textId="22F301B8"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(Composición de estudiantes asiáticos a nivel estatal * Riesgo del distrito para estudiantes asiáticos con SLD) </w:t>
      </w:r>
    </w:p>
    <w:p w14:paraId="7DBA84DB" w14:textId="2D07B4D0"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109BC069" w14:textId="71A3B0EB"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(Composición de estudiantes nativo americanos a nivel estatal * Riesgo del distrito para estudiantes nativo americanos con SLD) </w:t>
      </w:r>
    </w:p>
    <w:p w14:paraId="76DC4F34" w14:textId="1BB06056"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52AC2A77" w14:textId="786D4993"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(Composición de estudiantes nativos de Hawái a nivel estatal * Riesgo del distrito para estudiantes nativos de Hawái con SLD) </w:t>
      </w:r>
    </w:p>
    <w:p w14:paraId="1B685395" w14:textId="586C95BD"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742A5D6C" w14:textId="20C4C37E"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(Composición de estudiantes multirraciales a nivel estatal * Riesgo del distrito para estudiantes multirraciales con SLD) </w:t>
      </w:r>
    </w:p>
    <w:p w14:paraId="559427E3" w14:textId="58B94CF9"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(sumado a) </w:t>
      </w:r>
    </w:p>
    <w:p w14:paraId="1CFA7257" w14:textId="450A1210"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(Composición de estudiantes blancos a nivel estatal * Riesgo del distrito para estudiantes blancos con SLD)]</w:t>
      </w:r>
    </w:p>
    <w:p w14:paraId="2EA6982C" w14:textId="58153179" w:rsidR="025790DD" w:rsidRPr="007F2490" w:rsidRDefault="025790DD" w:rsidP="025790DD">
      <w:pPr>
        <w:spacing w:after="0" w:line="240" w:lineRule="auto"/>
        <w:rPr>
          <w:b/>
          <w:bCs/>
          <w:color w:val="000000" w:themeColor="text1"/>
          <w:sz w:val="18"/>
          <w:szCs w:val="18"/>
        </w:rPr>
      </w:pPr>
    </w:p>
    <w:p w14:paraId="3DC8B1B9" w14:textId="57CADA13" w:rsidR="025790DD" w:rsidRDefault="025790DD" w:rsidP="025790DD">
      <w:pPr>
        <w:spacing w:after="0" w:line="240" w:lineRule="auto"/>
        <w:rPr>
          <w:rFonts w:ascii="Calibri" w:eastAsia="Calibri" w:hAnsi="Calibri" w:cs="Calibri"/>
          <w:i/>
          <w:iCs/>
        </w:rPr>
      </w:pPr>
      <w:r>
        <w:rPr>
          <w:rFonts w:ascii="Calibri" w:hAnsi="Calibri"/>
          <w:i/>
        </w:rPr>
        <w:t xml:space="preserve">Proporción alternativa de riesgo </w:t>
      </w:r>
    </w:p>
    <w:p w14:paraId="435C20BC" w14:textId="5F65309D" w:rsidR="025790DD" w:rsidRDefault="025790DD" w:rsidP="025790DD">
      <w:pPr>
        <w:spacing w:after="0" w:line="240" w:lineRule="auto"/>
        <w:rPr>
          <w:rFonts w:ascii="Calibri" w:eastAsia="Calibri" w:hAnsi="Calibri" w:cs="Calibri"/>
        </w:rPr>
      </w:pPr>
      <w:r>
        <w:rPr>
          <w:rFonts w:ascii="Calibri" w:hAnsi="Calibri"/>
        </w:rPr>
        <w:t xml:space="preserve">¿Cuántas veces mayor es el riesgo para </w:t>
      </w:r>
      <w:r>
        <w:rPr>
          <w:rFonts w:ascii="Calibri" w:hAnsi="Calibri"/>
          <w:u w:val="single"/>
        </w:rPr>
        <w:t>estudiantes hispanos y latinos</w:t>
      </w:r>
      <w:r>
        <w:rPr>
          <w:rFonts w:ascii="Calibri" w:hAnsi="Calibri"/>
        </w:rPr>
        <w:t xml:space="preserve"> de ser identificados como elegibles para educación especial y servicios relacionados por una </w:t>
      </w:r>
      <w:r>
        <w:rPr>
          <w:rFonts w:ascii="Calibri" w:hAnsi="Calibri"/>
          <w:u w:val="single"/>
        </w:rPr>
        <w:t>discapacidad específica de aprendizaje (SLD)</w:t>
      </w:r>
      <w:r>
        <w:rPr>
          <w:rFonts w:ascii="Calibri" w:hAnsi="Calibri"/>
        </w:rPr>
        <w:t>, en comparación con todos los otros grupos raciales/étnicos en el estado?</w:t>
      </w:r>
    </w:p>
    <w:p w14:paraId="7176DB47" w14:textId="2F72327C" w:rsidR="025790DD" w:rsidRDefault="025790DD" w:rsidP="025790DD">
      <w:pPr>
        <w:spacing w:after="0" w:line="240" w:lineRule="auto"/>
        <w:jc w:val="center"/>
        <w:rPr>
          <w:rFonts w:ascii="Calibri" w:eastAsia="Calibri" w:hAnsi="Calibri" w:cs="Calibri"/>
        </w:rPr>
      </w:pPr>
    </w:p>
    <w:p w14:paraId="0832EA30" w14:textId="62B15E6C"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(Riesgo del distrito para estudiantes hispanos y latinos con SLD) </w:t>
      </w:r>
    </w:p>
    <w:p w14:paraId="7FEA5646" w14:textId="4AD258AA"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lastRenderedPageBreak/>
        <w:t xml:space="preserve">÷ (dividido en) [(Riesgo estatal para estudiantes afroamericanos con SLD) </w:t>
      </w:r>
    </w:p>
    <w:p w14:paraId="60C420BC" w14:textId="02A04E73"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(sumado a) </w:t>
      </w:r>
    </w:p>
    <w:p w14:paraId="009326F2" w14:textId="336570CF"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(Riesgo estatal para estudiantes asiáticos con SLD) </w:t>
      </w:r>
    </w:p>
    <w:p w14:paraId="49F0DACB" w14:textId="5AEE3957"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62A515CC" w14:textId="4E464895"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(Riesgo estatal para estudiantes nativo americanos con SLD) </w:t>
      </w:r>
    </w:p>
    <w:p w14:paraId="7EDA8534" w14:textId="001A94DB"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(sumado a) </w:t>
      </w:r>
    </w:p>
    <w:p w14:paraId="0F17A8DB" w14:textId="69C91ABD"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(Riesgo estatal para estudiantes nativos de Hawái con SLD) </w:t>
      </w:r>
    </w:p>
    <w:p w14:paraId="4B4D08FF" w14:textId="16CD3C4D"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43106625" w14:textId="1E9A74EB"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(Riesgo estatal para estudiantes multirraciales con SLD) </w:t>
      </w:r>
    </w:p>
    <w:p w14:paraId="2C18934F" w14:textId="5A8F05ED"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(sumado a)</w:t>
      </w:r>
    </w:p>
    <w:p w14:paraId="7C9DFB67" w14:textId="2867ECE6" w:rsidR="025790DD" w:rsidRPr="007F2490" w:rsidRDefault="025790DD" w:rsidP="025790DD">
      <w:pPr>
        <w:spacing w:after="0" w:line="240" w:lineRule="auto"/>
        <w:jc w:val="center"/>
        <w:rPr>
          <w:rFonts w:ascii="Calibri" w:eastAsia="Calibri" w:hAnsi="Calibri" w:cs="Calibri"/>
          <w:sz w:val="18"/>
          <w:szCs w:val="18"/>
        </w:rPr>
      </w:pPr>
      <w:r w:rsidRPr="007F2490">
        <w:rPr>
          <w:rFonts w:ascii="Calibri" w:hAnsi="Calibri"/>
          <w:sz w:val="18"/>
          <w:szCs w:val="18"/>
        </w:rPr>
        <w:t xml:space="preserve"> (Riesgo estatal para estudiantes blancos con SLD)]</w:t>
      </w:r>
    </w:p>
    <w:p w14:paraId="4DF778F4" w14:textId="2A5D1D8C" w:rsidR="025790DD" w:rsidRDefault="025790DD" w:rsidP="025790DD">
      <w:pPr>
        <w:spacing w:after="0" w:line="240" w:lineRule="auto"/>
        <w:rPr>
          <w:b/>
          <w:bCs/>
          <w:color w:val="000000" w:themeColor="text1"/>
          <w:sz w:val="24"/>
          <w:szCs w:val="24"/>
        </w:rPr>
      </w:pPr>
    </w:p>
    <w:p w14:paraId="15698BBB" w14:textId="19239D87" w:rsidR="025790DD" w:rsidRDefault="025790DD" w:rsidP="025790DD">
      <w:pPr>
        <w:spacing w:after="0" w:line="240" w:lineRule="auto"/>
        <w:rPr>
          <w:rFonts w:ascii="Calibri" w:eastAsia="Calibri" w:hAnsi="Calibri" w:cs="Calibri"/>
          <w:b/>
          <w:bCs/>
          <w:sz w:val="24"/>
          <w:szCs w:val="24"/>
        </w:rPr>
      </w:pPr>
      <w:r>
        <w:rPr>
          <w:rFonts w:ascii="Calibri" w:hAnsi="Calibri"/>
          <w:b/>
          <w:sz w:val="24"/>
        </w:rPr>
        <w:t xml:space="preserve">¿Cómo se interpreta la proporción ponderada de riesgo y la proporción alternativa de riesgo? </w:t>
      </w:r>
    </w:p>
    <w:p w14:paraId="0D851928" w14:textId="083B6D99" w:rsidR="025790DD" w:rsidRDefault="025790DD" w:rsidP="3BD34A9C">
      <w:pPr>
        <w:spacing w:after="0" w:line="240" w:lineRule="auto"/>
        <w:rPr>
          <w:rFonts w:ascii="Calibri" w:eastAsia="Calibri" w:hAnsi="Calibri" w:cs="Calibri"/>
        </w:rPr>
      </w:pPr>
      <w:r>
        <w:rPr>
          <w:rFonts w:ascii="Calibri" w:hAnsi="Calibri"/>
        </w:rPr>
        <w:t xml:space="preserve">Cuando se aplica a la elegibilidad por categoría de discapacidad dentro de un distrito (Indicador 10 de SPP), la proporción ponderada de riesgo responde a la pregunta: "¿Cuántas veces mayor es el riesgo de un grupo racial/étnico específico de ser identificado como elegible para educación especial y servicios relacionados, para una categoría de discapacidad particular, en comparación con todos los otros grupos raciales/étnicos en el distrito?” </w:t>
      </w:r>
    </w:p>
    <w:p w14:paraId="37373B66" w14:textId="5184AD07" w:rsidR="025790DD" w:rsidRDefault="025790DD" w:rsidP="3BD34A9C">
      <w:pPr>
        <w:spacing w:after="0" w:line="240" w:lineRule="auto"/>
        <w:rPr>
          <w:rFonts w:ascii="Calibri" w:eastAsia="Calibri" w:hAnsi="Calibri" w:cs="Calibri"/>
        </w:rPr>
      </w:pPr>
    </w:p>
    <w:p w14:paraId="23DF3A5A" w14:textId="4B1A2FDF" w:rsidR="025790DD" w:rsidRDefault="025790DD" w:rsidP="3BD34A9C">
      <w:pPr>
        <w:spacing w:after="0" w:line="240" w:lineRule="auto"/>
        <w:rPr>
          <w:rFonts w:ascii="Calibri" w:eastAsia="Calibri" w:hAnsi="Calibri" w:cs="Calibri"/>
        </w:rPr>
      </w:pPr>
      <w:r>
        <w:rPr>
          <w:rFonts w:ascii="Calibri" w:hAnsi="Calibri"/>
        </w:rPr>
        <w:t xml:space="preserve">Cuando se aplica a la elegibilidad por categoría de discapacidad dentro de un distrito (Indicador 10 de SPP), la proporción alternativa de riesgo responde a la pregunta: "¿Cuántas veces mayor es el riesgo de un grupo racial/étnico específico de ser identificado como elegible para educación especial y servicios relacionados, para una categoría de discapacidad particular, en comparación con todos los otros grupos raciales/étnicos en el estado?” </w:t>
      </w:r>
    </w:p>
    <w:p w14:paraId="56872673" w14:textId="61D103A0" w:rsidR="025790DD" w:rsidRDefault="025790DD" w:rsidP="3BD34A9C">
      <w:pPr>
        <w:spacing w:after="0" w:line="240" w:lineRule="auto"/>
        <w:rPr>
          <w:rFonts w:ascii="Calibri" w:eastAsia="Calibri" w:hAnsi="Calibri" w:cs="Calibri"/>
        </w:rPr>
      </w:pPr>
    </w:p>
    <w:p w14:paraId="0118D05E" w14:textId="19AD586C" w:rsidR="025790DD" w:rsidRDefault="025790DD" w:rsidP="3BD34A9C">
      <w:pPr>
        <w:spacing w:after="0" w:line="240" w:lineRule="auto"/>
        <w:rPr>
          <w:rFonts w:ascii="Calibri" w:eastAsia="Calibri" w:hAnsi="Calibri" w:cs="Calibri"/>
        </w:rPr>
      </w:pPr>
      <w:r>
        <w:rPr>
          <w:rFonts w:ascii="Calibri" w:hAnsi="Calibri"/>
        </w:rPr>
        <w:t>En ambos casos, una proporción de riesgo de 1.0 significa que los estudiantes de ese grupo tienen la misma probabilidad de ser identificados como elegibles para educación especial que todos los demás estudiantes. Las proporciones de riesgo superiores a 1.0 indican el grado en que los estudiantes del grupo racial/étnico están sobrerrepresentados. Por ejemplo, una proporción de riesgo de 4.17 para estudiantes afroamericanos en la categoría de discapacidad intelectual significa que los estudiantes afroamericanos en el distrito tienen 4.17 veces más probabilidades de ser identificados en la categoría de discapacidad intelectual que todos los demás estudiantes en el distrito (WRR) o en el estado (ARR).</w:t>
      </w:r>
    </w:p>
    <w:p w14:paraId="1138C044" w14:textId="7BAC6A48" w:rsidR="025790DD" w:rsidRDefault="025790DD" w:rsidP="025790DD">
      <w:pPr>
        <w:spacing w:after="0" w:line="240" w:lineRule="auto"/>
        <w:rPr>
          <w:rFonts w:ascii="Calibri" w:eastAsia="Calibri" w:hAnsi="Calibri" w:cs="Calibri"/>
          <w:sz w:val="24"/>
          <w:szCs w:val="24"/>
        </w:rPr>
      </w:pPr>
    </w:p>
    <w:p w14:paraId="0AAE1FB2" w14:textId="72D851D7" w:rsidR="025790DD" w:rsidRDefault="025790DD" w:rsidP="025790DD">
      <w:pPr>
        <w:spacing w:after="0" w:line="240" w:lineRule="auto"/>
        <w:rPr>
          <w:rFonts w:ascii="Calibri" w:eastAsia="Calibri" w:hAnsi="Calibri" w:cs="Calibri"/>
          <w:b/>
          <w:bCs/>
          <w:sz w:val="24"/>
          <w:szCs w:val="24"/>
        </w:rPr>
      </w:pPr>
      <w:r>
        <w:rPr>
          <w:rFonts w:ascii="Calibri" w:hAnsi="Calibri"/>
          <w:b/>
          <w:sz w:val="24"/>
        </w:rPr>
        <w:t xml:space="preserve">¿Ha encontrado el Departamento algún distrito que tenga una representación desproporcionada de grupos raciales y étnicos en la educación especial como resultado de una identificación inapropiada? </w:t>
      </w:r>
    </w:p>
    <w:p w14:paraId="532ABF0A" w14:textId="70761370" w:rsidR="025790DD" w:rsidRDefault="025790DD" w:rsidP="025790DD">
      <w:pPr>
        <w:spacing w:after="0" w:line="240" w:lineRule="auto"/>
        <w:rPr>
          <w:rFonts w:ascii="Calibri" w:eastAsia="Calibri" w:hAnsi="Calibri" w:cs="Calibri"/>
        </w:rPr>
      </w:pPr>
    </w:p>
    <w:p w14:paraId="06C7853B" w14:textId="2A25E1AE" w:rsidR="025790DD" w:rsidRDefault="025790DD" w:rsidP="025790DD">
      <w:pPr>
        <w:spacing w:after="0" w:line="240" w:lineRule="auto"/>
        <w:rPr>
          <w:rFonts w:ascii="Calibri" w:eastAsia="Calibri" w:hAnsi="Calibri" w:cs="Calibri"/>
        </w:rPr>
      </w:pPr>
      <w:r>
        <w:rPr>
          <w:rFonts w:ascii="Calibri" w:hAnsi="Calibri"/>
        </w:rPr>
        <w:t>No, conforme a estos análisis y procedimientos de verificación, el Departamento no ha encontrado una representación desproporcionada debido a políticas, prácticas y procedimientos inapropiados o inconsistentes con respecto a la determinación de discapacidad y determinación de elegibilidad. Sin embargo, incluso si no se concluye en un hallazgo, el Departamento puede requerir que los distritos escolares marcados por representación desproporcionada tomen medidas específicas para revisar sus propios datos y realizar autoevaluaciones para reflexionar sobre las políticas, prácticas, procedimientos y suposiciones subyacentes que pueden estar contribuyendo a una representación desproporcionada.</w:t>
      </w:r>
    </w:p>
    <w:p w14:paraId="2BCB35A5" w14:textId="713723BD" w:rsidR="025790DD" w:rsidRDefault="025790DD" w:rsidP="025790DD">
      <w:pPr>
        <w:spacing w:after="0" w:line="240" w:lineRule="auto"/>
        <w:rPr>
          <w:rFonts w:ascii="Calibri" w:eastAsia="Calibri" w:hAnsi="Calibri" w:cs="Calibri"/>
          <w:sz w:val="24"/>
          <w:szCs w:val="24"/>
        </w:rPr>
      </w:pPr>
    </w:p>
    <w:p w14:paraId="07A95046" w14:textId="029375A2" w:rsidR="00DB68D0" w:rsidRDefault="00DB68D0" w:rsidP="025790DD">
      <w:pPr>
        <w:spacing w:after="0" w:line="240" w:lineRule="auto"/>
        <w:rPr>
          <w:b/>
          <w:bCs/>
          <w:color w:val="000000" w:themeColor="text1"/>
          <w:sz w:val="24"/>
          <w:szCs w:val="24"/>
        </w:rPr>
      </w:pPr>
      <w:r>
        <w:rPr>
          <w:b/>
          <w:color w:val="000000" w:themeColor="text1"/>
          <w:sz w:val="24"/>
        </w:rPr>
        <w:t>Recursos</w:t>
      </w:r>
    </w:p>
    <w:p w14:paraId="7ACF147C" w14:textId="742DFEC6" w:rsidR="025790DD" w:rsidRPr="00DB68D0" w:rsidRDefault="00C231BA" w:rsidP="00DB68D0">
      <w:pPr>
        <w:spacing w:after="0" w:line="240" w:lineRule="auto"/>
        <w:ind w:left="720"/>
        <w:rPr>
          <w:i/>
          <w:iCs/>
          <w:color w:val="000000" w:themeColor="text1"/>
          <w:sz w:val="24"/>
          <w:szCs w:val="24"/>
        </w:rPr>
      </w:pPr>
      <w:hyperlink r:id="rId14" w:history="1">
        <w:r w:rsidR="00DB68D0" w:rsidRPr="00191DC6">
          <w:rPr>
            <w:rStyle w:val="Hyperlink"/>
            <w:i/>
            <w:sz w:val="24"/>
          </w:rPr>
          <w:t>PowerPoint de Indicador 10</w:t>
        </w:r>
      </w:hyperlink>
    </w:p>
    <w:sectPr w:rsidR="025790DD" w:rsidRPr="00DB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891"/>
    <w:multiLevelType w:val="hybridMultilevel"/>
    <w:tmpl w:val="BA40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A0673"/>
    <w:multiLevelType w:val="hybridMultilevel"/>
    <w:tmpl w:val="1E3A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D6E07"/>
    <w:multiLevelType w:val="hybridMultilevel"/>
    <w:tmpl w:val="8E306158"/>
    <w:lvl w:ilvl="0" w:tplc="C48220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0746"/>
    <w:multiLevelType w:val="hybridMultilevel"/>
    <w:tmpl w:val="8ADE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54915"/>
    <w:multiLevelType w:val="hybridMultilevel"/>
    <w:tmpl w:val="C8529F38"/>
    <w:lvl w:ilvl="0" w:tplc="523A08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44F96"/>
    <w:multiLevelType w:val="hybridMultilevel"/>
    <w:tmpl w:val="0A522A18"/>
    <w:lvl w:ilvl="0" w:tplc="04090001">
      <w:start w:val="1"/>
      <w:numFmt w:val="bullet"/>
      <w:lvlText w:val=""/>
      <w:lvlJc w:val="left"/>
      <w:pPr>
        <w:tabs>
          <w:tab w:val="num" w:pos="0"/>
        </w:tabs>
        <w:ind w:left="0" w:hanging="360"/>
      </w:pPr>
      <w:rPr>
        <w:rFonts w:ascii="Symbol" w:hAnsi="Symbo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6" w15:restartNumberingAfterBreak="0">
    <w:nsid w:val="487A2DFB"/>
    <w:multiLevelType w:val="hybridMultilevel"/>
    <w:tmpl w:val="C838A56C"/>
    <w:lvl w:ilvl="0" w:tplc="04090001">
      <w:start w:val="1"/>
      <w:numFmt w:val="bullet"/>
      <w:lvlText w:val=""/>
      <w:lvlJc w:val="left"/>
      <w:pPr>
        <w:tabs>
          <w:tab w:val="num" w:pos="-720"/>
        </w:tabs>
        <w:ind w:left="-720" w:hanging="360"/>
      </w:pPr>
      <w:rPr>
        <w:rFonts w:ascii="Symbol" w:hAnsi="Symbol" w:hint="default"/>
      </w:rPr>
    </w:lvl>
    <w:lvl w:ilvl="1" w:tplc="131A0A2E">
      <w:numFmt w:val="bullet"/>
      <w:lvlText w:val="o"/>
      <w:lvlJc w:val="left"/>
      <w:pPr>
        <w:tabs>
          <w:tab w:val="num" w:pos="0"/>
        </w:tabs>
        <w:ind w:left="0" w:hanging="360"/>
      </w:pPr>
      <w:rPr>
        <w:rFonts w:ascii="Courier New" w:hAnsi="Courier New" w:hint="default"/>
      </w:rPr>
    </w:lvl>
    <w:lvl w:ilvl="2" w:tplc="EA80F952" w:tentative="1">
      <w:start w:val="1"/>
      <w:numFmt w:val="bullet"/>
      <w:lvlText w:val="•"/>
      <w:lvlJc w:val="left"/>
      <w:pPr>
        <w:tabs>
          <w:tab w:val="num" w:pos="720"/>
        </w:tabs>
        <w:ind w:left="720" w:hanging="360"/>
      </w:pPr>
      <w:rPr>
        <w:rFonts w:ascii="Arial" w:hAnsi="Arial" w:hint="default"/>
      </w:rPr>
    </w:lvl>
    <w:lvl w:ilvl="3" w:tplc="637C267C" w:tentative="1">
      <w:start w:val="1"/>
      <w:numFmt w:val="bullet"/>
      <w:lvlText w:val="•"/>
      <w:lvlJc w:val="left"/>
      <w:pPr>
        <w:tabs>
          <w:tab w:val="num" w:pos="1440"/>
        </w:tabs>
        <w:ind w:left="1440" w:hanging="360"/>
      </w:pPr>
      <w:rPr>
        <w:rFonts w:ascii="Arial" w:hAnsi="Arial" w:hint="default"/>
      </w:rPr>
    </w:lvl>
    <w:lvl w:ilvl="4" w:tplc="CC42A98C" w:tentative="1">
      <w:start w:val="1"/>
      <w:numFmt w:val="bullet"/>
      <w:lvlText w:val="•"/>
      <w:lvlJc w:val="left"/>
      <w:pPr>
        <w:tabs>
          <w:tab w:val="num" w:pos="2160"/>
        </w:tabs>
        <w:ind w:left="2160" w:hanging="360"/>
      </w:pPr>
      <w:rPr>
        <w:rFonts w:ascii="Arial" w:hAnsi="Arial" w:hint="default"/>
      </w:rPr>
    </w:lvl>
    <w:lvl w:ilvl="5" w:tplc="F06604E4" w:tentative="1">
      <w:start w:val="1"/>
      <w:numFmt w:val="bullet"/>
      <w:lvlText w:val="•"/>
      <w:lvlJc w:val="left"/>
      <w:pPr>
        <w:tabs>
          <w:tab w:val="num" w:pos="2880"/>
        </w:tabs>
        <w:ind w:left="2880" w:hanging="360"/>
      </w:pPr>
      <w:rPr>
        <w:rFonts w:ascii="Arial" w:hAnsi="Arial" w:hint="default"/>
      </w:rPr>
    </w:lvl>
    <w:lvl w:ilvl="6" w:tplc="1CD8E100" w:tentative="1">
      <w:start w:val="1"/>
      <w:numFmt w:val="bullet"/>
      <w:lvlText w:val="•"/>
      <w:lvlJc w:val="left"/>
      <w:pPr>
        <w:tabs>
          <w:tab w:val="num" w:pos="3600"/>
        </w:tabs>
        <w:ind w:left="3600" w:hanging="360"/>
      </w:pPr>
      <w:rPr>
        <w:rFonts w:ascii="Arial" w:hAnsi="Arial" w:hint="default"/>
      </w:rPr>
    </w:lvl>
    <w:lvl w:ilvl="7" w:tplc="47365852" w:tentative="1">
      <w:start w:val="1"/>
      <w:numFmt w:val="bullet"/>
      <w:lvlText w:val="•"/>
      <w:lvlJc w:val="left"/>
      <w:pPr>
        <w:tabs>
          <w:tab w:val="num" w:pos="4320"/>
        </w:tabs>
        <w:ind w:left="4320" w:hanging="360"/>
      </w:pPr>
      <w:rPr>
        <w:rFonts w:ascii="Arial" w:hAnsi="Arial" w:hint="default"/>
      </w:rPr>
    </w:lvl>
    <w:lvl w:ilvl="8" w:tplc="9D984E30" w:tentative="1">
      <w:start w:val="1"/>
      <w:numFmt w:val="bullet"/>
      <w:lvlText w:val="•"/>
      <w:lvlJc w:val="left"/>
      <w:pPr>
        <w:tabs>
          <w:tab w:val="num" w:pos="5040"/>
        </w:tabs>
        <w:ind w:left="5040" w:hanging="360"/>
      </w:pPr>
      <w:rPr>
        <w:rFonts w:ascii="Arial" w:hAnsi="Arial" w:hint="default"/>
      </w:rPr>
    </w:lvl>
  </w:abstractNum>
  <w:abstractNum w:abstractNumId="7" w15:restartNumberingAfterBreak="0">
    <w:nsid w:val="4A1F5223"/>
    <w:multiLevelType w:val="hybridMultilevel"/>
    <w:tmpl w:val="AC42D826"/>
    <w:lvl w:ilvl="0" w:tplc="C4822070">
      <w:start w:val="1"/>
      <w:numFmt w:val="decimal"/>
      <w:lvlText w:val="%1."/>
      <w:lvlJc w:val="left"/>
      <w:pPr>
        <w:ind w:left="770" w:hanging="360"/>
      </w:pPr>
      <w:rPr>
        <w:rFonts w:hint="default"/>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A776F37"/>
    <w:multiLevelType w:val="hybridMultilevel"/>
    <w:tmpl w:val="A3A45DEA"/>
    <w:lvl w:ilvl="0" w:tplc="3F0AE7AC">
      <w:start w:val="1"/>
      <w:numFmt w:val="bullet"/>
      <w:lvlText w:val="•"/>
      <w:lvlJc w:val="left"/>
      <w:pPr>
        <w:tabs>
          <w:tab w:val="num" w:pos="0"/>
        </w:tabs>
        <w:ind w:left="0" w:hanging="360"/>
      </w:pPr>
      <w:rPr>
        <w:rFonts w:ascii="Arial" w:hAnsi="Arial" w:hint="default"/>
      </w:rPr>
    </w:lvl>
    <w:lvl w:ilvl="1" w:tplc="2D42B36C" w:tentative="1">
      <w:start w:val="1"/>
      <w:numFmt w:val="bullet"/>
      <w:lvlText w:val="•"/>
      <w:lvlJc w:val="left"/>
      <w:pPr>
        <w:tabs>
          <w:tab w:val="num" w:pos="720"/>
        </w:tabs>
        <w:ind w:left="720" w:hanging="360"/>
      </w:pPr>
      <w:rPr>
        <w:rFonts w:ascii="Arial" w:hAnsi="Arial" w:hint="default"/>
      </w:rPr>
    </w:lvl>
    <w:lvl w:ilvl="2" w:tplc="E828F200" w:tentative="1">
      <w:start w:val="1"/>
      <w:numFmt w:val="bullet"/>
      <w:lvlText w:val="•"/>
      <w:lvlJc w:val="left"/>
      <w:pPr>
        <w:tabs>
          <w:tab w:val="num" w:pos="1440"/>
        </w:tabs>
        <w:ind w:left="1440" w:hanging="360"/>
      </w:pPr>
      <w:rPr>
        <w:rFonts w:ascii="Arial" w:hAnsi="Arial" w:hint="default"/>
      </w:rPr>
    </w:lvl>
    <w:lvl w:ilvl="3" w:tplc="83A86CE4" w:tentative="1">
      <w:start w:val="1"/>
      <w:numFmt w:val="bullet"/>
      <w:lvlText w:val="•"/>
      <w:lvlJc w:val="left"/>
      <w:pPr>
        <w:tabs>
          <w:tab w:val="num" w:pos="2160"/>
        </w:tabs>
        <w:ind w:left="2160" w:hanging="360"/>
      </w:pPr>
      <w:rPr>
        <w:rFonts w:ascii="Arial" w:hAnsi="Arial" w:hint="default"/>
      </w:rPr>
    </w:lvl>
    <w:lvl w:ilvl="4" w:tplc="E3C0EF78" w:tentative="1">
      <w:start w:val="1"/>
      <w:numFmt w:val="bullet"/>
      <w:lvlText w:val="•"/>
      <w:lvlJc w:val="left"/>
      <w:pPr>
        <w:tabs>
          <w:tab w:val="num" w:pos="2880"/>
        </w:tabs>
        <w:ind w:left="2880" w:hanging="360"/>
      </w:pPr>
      <w:rPr>
        <w:rFonts w:ascii="Arial" w:hAnsi="Arial" w:hint="default"/>
      </w:rPr>
    </w:lvl>
    <w:lvl w:ilvl="5" w:tplc="543E4F38" w:tentative="1">
      <w:start w:val="1"/>
      <w:numFmt w:val="bullet"/>
      <w:lvlText w:val="•"/>
      <w:lvlJc w:val="left"/>
      <w:pPr>
        <w:tabs>
          <w:tab w:val="num" w:pos="3600"/>
        </w:tabs>
        <w:ind w:left="3600" w:hanging="360"/>
      </w:pPr>
      <w:rPr>
        <w:rFonts w:ascii="Arial" w:hAnsi="Arial" w:hint="default"/>
      </w:rPr>
    </w:lvl>
    <w:lvl w:ilvl="6" w:tplc="8EB652C2" w:tentative="1">
      <w:start w:val="1"/>
      <w:numFmt w:val="bullet"/>
      <w:lvlText w:val="•"/>
      <w:lvlJc w:val="left"/>
      <w:pPr>
        <w:tabs>
          <w:tab w:val="num" w:pos="4320"/>
        </w:tabs>
        <w:ind w:left="4320" w:hanging="360"/>
      </w:pPr>
      <w:rPr>
        <w:rFonts w:ascii="Arial" w:hAnsi="Arial" w:hint="default"/>
      </w:rPr>
    </w:lvl>
    <w:lvl w:ilvl="7" w:tplc="77EC25F6" w:tentative="1">
      <w:start w:val="1"/>
      <w:numFmt w:val="bullet"/>
      <w:lvlText w:val="•"/>
      <w:lvlJc w:val="left"/>
      <w:pPr>
        <w:tabs>
          <w:tab w:val="num" w:pos="5040"/>
        </w:tabs>
        <w:ind w:left="5040" w:hanging="360"/>
      </w:pPr>
      <w:rPr>
        <w:rFonts w:ascii="Arial" w:hAnsi="Arial" w:hint="default"/>
      </w:rPr>
    </w:lvl>
    <w:lvl w:ilvl="8" w:tplc="CAC81594" w:tentative="1">
      <w:start w:val="1"/>
      <w:numFmt w:val="bullet"/>
      <w:lvlText w:val="•"/>
      <w:lvlJc w:val="left"/>
      <w:pPr>
        <w:tabs>
          <w:tab w:val="num" w:pos="5760"/>
        </w:tabs>
        <w:ind w:left="5760" w:hanging="360"/>
      </w:pPr>
      <w:rPr>
        <w:rFonts w:ascii="Arial" w:hAnsi="Arial" w:hint="default"/>
      </w:rPr>
    </w:lvl>
  </w:abstractNum>
  <w:abstractNum w:abstractNumId="9" w15:restartNumberingAfterBreak="0">
    <w:nsid w:val="4DE34F55"/>
    <w:multiLevelType w:val="hybridMultilevel"/>
    <w:tmpl w:val="752E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F6"/>
    <w:rsid w:val="000265B2"/>
    <w:rsid w:val="000407C0"/>
    <w:rsid w:val="00063A3E"/>
    <w:rsid w:val="0009018E"/>
    <w:rsid w:val="000A0CA5"/>
    <w:rsid w:val="000A2649"/>
    <w:rsid w:val="000A6254"/>
    <w:rsid w:val="000D25C4"/>
    <w:rsid w:val="000D5F42"/>
    <w:rsid w:val="000F194D"/>
    <w:rsid w:val="0012237F"/>
    <w:rsid w:val="00127372"/>
    <w:rsid w:val="00133F0A"/>
    <w:rsid w:val="00144DEB"/>
    <w:rsid w:val="00154869"/>
    <w:rsid w:val="001641E1"/>
    <w:rsid w:val="00191DC6"/>
    <w:rsid w:val="001A68E1"/>
    <w:rsid w:val="001B543E"/>
    <w:rsid w:val="001C3548"/>
    <w:rsid w:val="00211BB4"/>
    <w:rsid w:val="00214B39"/>
    <w:rsid w:val="00225985"/>
    <w:rsid w:val="00234DF6"/>
    <w:rsid w:val="00236453"/>
    <w:rsid w:val="00246310"/>
    <w:rsid w:val="00265095"/>
    <w:rsid w:val="00292F66"/>
    <w:rsid w:val="002A3D03"/>
    <w:rsid w:val="002B2FE0"/>
    <w:rsid w:val="002C10EA"/>
    <w:rsid w:val="002C3CD9"/>
    <w:rsid w:val="002C6CC8"/>
    <w:rsid w:val="002E6D55"/>
    <w:rsid w:val="002F1258"/>
    <w:rsid w:val="0032015D"/>
    <w:rsid w:val="00326A7D"/>
    <w:rsid w:val="003320A5"/>
    <w:rsid w:val="00377479"/>
    <w:rsid w:val="0038658C"/>
    <w:rsid w:val="003A1864"/>
    <w:rsid w:val="003B3A39"/>
    <w:rsid w:val="004203F8"/>
    <w:rsid w:val="00450780"/>
    <w:rsid w:val="00465018"/>
    <w:rsid w:val="00480F4F"/>
    <w:rsid w:val="004A11D3"/>
    <w:rsid w:val="004D7235"/>
    <w:rsid w:val="004E0037"/>
    <w:rsid w:val="004F68F1"/>
    <w:rsid w:val="0050262D"/>
    <w:rsid w:val="00506AB3"/>
    <w:rsid w:val="0052062C"/>
    <w:rsid w:val="00525EFD"/>
    <w:rsid w:val="00550799"/>
    <w:rsid w:val="00563EE0"/>
    <w:rsid w:val="00581B3C"/>
    <w:rsid w:val="00595B31"/>
    <w:rsid w:val="005A1F50"/>
    <w:rsid w:val="005C7305"/>
    <w:rsid w:val="005E5347"/>
    <w:rsid w:val="005F3ED8"/>
    <w:rsid w:val="00602554"/>
    <w:rsid w:val="006072B3"/>
    <w:rsid w:val="006103D6"/>
    <w:rsid w:val="00633B88"/>
    <w:rsid w:val="00643AE1"/>
    <w:rsid w:val="0065111C"/>
    <w:rsid w:val="00655026"/>
    <w:rsid w:val="00672107"/>
    <w:rsid w:val="00680D12"/>
    <w:rsid w:val="006811A9"/>
    <w:rsid w:val="00696D50"/>
    <w:rsid w:val="006A0318"/>
    <w:rsid w:val="00707D25"/>
    <w:rsid w:val="00707FC2"/>
    <w:rsid w:val="00711CBF"/>
    <w:rsid w:val="00734EC6"/>
    <w:rsid w:val="007737ED"/>
    <w:rsid w:val="00774563"/>
    <w:rsid w:val="007840C3"/>
    <w:rsid w:val="007A2F7D"/>
    <w:rsid w:val="007B2620"/>
    <w:rsid w:val="007F2490"/>
    <w:rsid w:val="00807494"/>
    <w:rsid w:val="00825121"/>
    <w:rsid w:val="00825FD0"/>
    <w:rsid w:val="00831F2C"/>
    <w:rsid w:val="00834790"/>
    <w:rsid w:val="00873D90"/>
    <w:rsid w:val="00875502"/>
    <w:rsid w:val="008854CC"/>
    <w:rsid w:val="00893589"/>
    <w:rsid w:val="008C3EE7"/>
    <w:rsid w:val="00914BE8"/>
    <w:rsid w:val="0091720B"/>
    <w:rsid w:val="009379A0"/>
    <w:rsid w:val="009772A2"/>
    <w:rsid w:val="00977FB0"/>
    <w:rsid w:val="009A5F2F"/>
    <w:rsid w:val="009A7F7D"/>
    <w:rsid w:val="009C38BA"/>
    <w:rsid w:val="009E145D"/>
    <w:rsid w:val="00A342C5"/>
    <w:rsid w:val="00A616D3"/>
    <w:rsid w:val="00A63F6B"/>
    <w:rsid w:val="00AB0778"/>
    <w:rsid w:val="00AB52DF"/>
    <w:rsid w:val="00AD66DA"/>
    <w:rsid w:val="00AE39AE"/>
    <w:rsid w:val="00AE6DF7"/>
    <w:rsid w:val="00B0460A"/>
    <w:rsid w:val="00B26C60"/>
    <w:rsid w:val="00B32A23"/>
    <w:rsid w:val="00B51964"/>
    <w:rsid w:val="00B6593A"/>
    <w:rsid w:val="00B668D6"/>
    <w:rsid w:val="00BB2899"/>
    <w:rsid w:val="00BB2DFD"/>
    <w:rsid w:val="00BC3F1F"/>
    <w:rsid w:val="00BE2415"/>
    <w:rsid w:val="00BF6941"/>
    <w:rsid w:val="00C06ED8"/>
    <w:rsid w:val="00C231BA"/>
    <w:rsid w:val="00C32E56"/>
    <w:rsid w:val="00C61BEA"/>
    <w:rsid w:val="00C72012"/>
    <w:rsid w:val="00C83F13"/>
    <w:rsid w:val="00C855E0"/>
    <w:rsid w:val="00CA05BE"/>
    <w:rsid w:val="00CA28FA"/>
    <w:rsid w:val="00CB6927"/>
    <w:rsid w:val="00CC1B25"/>
    <w:rsid w:val="00CC2357"/>
    <w:rsid w:val="00D056E8"/>
    <w:rsid w:val="00D10EEB"/>
    <w:rsid w:val="00D14FCC"/>
    <w:rsid w:val="00D457AB"/>
    <w:rsid w:val="00D603B4"/>
    <w:rsid w:val="00D667AD"/>
    <w:rsid w:val="00D852A2"/>
    <w:rsid w:val="00D96F34"/>
    <w:rsid w:val="00DA15DD"/>
    <w:rsid w:val="00DB1447"/>
    <w:rsid w:val="00DB68D0"/>
    <w:rsid w:val="00DC116E"/>
    <w:rsid w:val="00DF10AD"/>
    <w:rsid w:val="00E04F38"/>
    <w:rsid w:val="00E56BF1"/>
    <w:rsid w:val="00EB4DF5"/>
    <w:rsid w:val="00EC5391"/>
    <w:rsid w:val="00EF4C0A"/>
    <w:rsid w:val="00F1347A"/>
    <w:rsid w:val="00F571BC"/>
    <w:rsid w:val="00F9186A"/>
    <w:rsid w:val="00F93C61"/>
    <w:rsid w:val="00FB6F9A"/>
    <w:rsid w:val="00FF369A"/>
    <w:rsid w:val="025790DD"/>
    <w:rsid w:val="06C45FAC"/>
    <w:rsid w:val="0AB4E2E7"/>
    <w:rsid w:val="0CE0B683"/>
    <w:rsid w:val="0CE91731"/>
    <w:rsid w:val="0D1F01C2"/>
    <w:rsid w:val="0D3533A2"/>
    <w:rsid w:val="0F78DFC5"/>
    <w:rsid w:val="11F272E5"/>
    <w:rsid w:val="124ADA52"/>
    <w:rsid w:val="1274D7BA"/>
    <w:rsid w:val="12CD3CE6"/>
    <w:rsid w:val="152A13A7"/>
    <w:rsid w:val="18FE7A28"/>
    <w:rsid w:val="19C70C5D"/>
    <w:rsid w:val="1A3CC3DA"/>
    <w:rsid w:val="1D52AD7A"/>
    <w:rsid w:val="1DFB20B4"/>
    <w:rsid w:val="1E8BC248"/>
    <w:rsid w:val="1F1034FD"/>
    <w:rsid w:val="217CE269"/>
    <w:rsid w:val="232104F7"/>
    <w:rsid w:val="23F417A9"/>
    <w:rsid w:val="243153E3"/>
    <w:rsid w:val="255FFE53"/>
    <w:rsid w:val="2759B20C"/>
    <w:rsid w:val="2A8AEB0C"/>
    <w:rsid w:val="2C5C4BC0"/>
    <w:rsid w:val="2CB11B9B"/>
    <w:rsid w:val="2DF81C21"/>
    <w:rsid w:val="3231A882"/>
    <w:rsid w:val="339F6A3F"/>
    <w:rsid w:val="36079B18"/>
    <w:rsid w:val="3AB2E870"/>
    <w:rsid w:val="3BD34A9C"/>
    <w:rsid w:val="3D524D4C"/>
    <w:rsid w:val="3D7AD1EB"/>
    <w:rsid w:val="3F89807C"/>
    <w:rsid w:val="4333BF87"/>
    <w:rsid w:val="454FFC7F"/>
    <w:rsid w:val="47D1AF25"/>
    <w:rsid w:val="496D7F86"/>
    <w:rsid w:val="4A75E1E7"/>
    <w:rsid w:val="4C11B248"/>
    <w:rsid w:val="4C2D1C79"/>
    <w:rsid w:val="551E8025"/>
    <w:rsid w:val="55FCF2E0"/>
    <w:rsid w:val="58CFDDCC"/>
    <w:rsid w:val="5A4F2CF9"/>
    <w:rsid w:val="5C3B7961"/>
    <w:rsid w:val="62222DCD"/>
    <w:rsid w:val="622C4662"/>
    <w:rsid w:val="62C1B738"/>
    <w:rsid w:val="65A0F08D"/>
    <w:rsid w:val="65D0191E"/>
    <w:rsid w:val="6A4C35E7"/>
    <w:rsid w:val="6B9C4562"/>
    <w:rsid w:val="6F2B5172"/>
    <w:rsid w:val="71A99E5C"/>
    <w:rsid w:val="75A4AA90"/>
    <w:rsid w:val="765B3149"/>
    <w:rsid w:val="79523BD2"/>
    <w:rsid w:val="79B4B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B32E"/>
  <w15:chartTrackingRefBased/>
  <w15:docId w15:val="{48079875-3AAE-4B9B-A84D-4C652F3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107"/>
  </w:style>
  <w:style w:type="paragraph" w:styleId="Heading1">
    <w:name w:val="heading 1"/>
    <w:basedOn w:val="Normal"/>
    <w:next w:val="Normal"/>
    <w:link w:val="Heading1Char"/>
    <w:uiPriority w:val="9"/>
    <w:qFormat/>
    <w:rsid w:val="00D14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4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DF6"/>
    <w:rPr>
      <w:color w:val="0563C1" w:themeColor="hyperlink"/>
      <w:u w:val="single"/>
    </w:rPr>
  </w:style>
  <w:style w:type="paragraph" w:styleId="ListParagraph">
    <w:name w:val="List Paragraph"/>
    <w:basedOn w:val="Normal"/>
    <w:uiPriority w:val="34"/>
    <w:qFormat/>
    <w:rsid w:val="00234DF6"/>
    <w:pPr>
      <w:ind w:left="720"/>
      <w:contextualSpacing/>
    </w:pPr>
  </w:style>
  <w:style w:type="paragraph" w:styleId="NormalWeb">
    <w:name w:val="Normal (Web)"/>
    <w:basedOn w:val="Normal"/>
    <w:uiPriority w:val="99"/>
    <w:semiHidden/>
    <w:unhideWhenUsed/>
    <w:rsid w:val="00234D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364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0D5F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0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2B3"/>
    <w:rPr>
      <w:rFonts w:ascii="Segoe UI" w:hAnsi="Segoe UI" w:cs="Segoe UI"/>
      <w:sz w:val="18"/>
      <w:szCs w:val="18"/>
    </w:rPr>
  </w:style>
  <w:style w:type="paragraph" w:styleId="Revision">
    <w:name w:val="Revision"/>
    <w:hidden/>
    <w:uiPriority w:val="99"/>
    <w:semiHidden/>
    <w:rsid w:val="000F194D"/>
    <w:pPr>
      <w:spacing w:after="0" w:line="240" w:lineRule="auto"/>
    </w:pPr>
  </w:style>
  <w:style w:type="character" w:styleId="UnresolvedMention">
    <w:name w:val="Unresolved Mention"/>
    <w:basedOn w:val="DefaultParagraphFont"/>
    <w:uiPriority w:val="99"/>
    <w:semiHidden/>
    <w:unhideWhenUsed/>
    <w:rsid w:val="00D14FCC"/>
    <w:rPr>
      <w:color w:val="605E5C"/>
      <w:shd w:val="clear" w:color="auto" w:fill="E1DFDD"/>
    </w:rPr>
  </w:style>
  <w:style w:type="character" w:customStyle="1" w:styleId="Heading1Char">
    <w:name w:val="Heading 1 Char"/>
    <w:basedOn w:val="DefaultParagraphFont"/>
    <w:link w:val="Heading1"/>
    <w:uiPriority w:val="9"/>
    <w:rsid w:val="00D14F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4F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747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9A7F7D"/>
    <w:rPr>
      <w:b/>
      <w:bCs/>
    </w:rPr>
  </w:style>
  <w:style w:type="character" w:customStyle="1" w:styleId="CommentSubjectChar">
    <w:name w:val="Comment Subject Char"/>
    <w:basedOn w:val="CommentTextChar"/>
    <w:link w:val="CommentSubject"/>
    <w:uiPriority w:val="99"/>
    <w:semiHidden/>
    <w:rsid w:val="009A7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45841">
      <w:bodyDiv w:val="1"/>
      <w:marLeft w:val="0"/>
      <w:marRight w:val="0"/>
      <w:marTop w:val="0"/>
      <w:marBottom w:val="0"/>
      <w:divBdr>
        <w:top w:val="none" w:sz="0" w:space="0" w:color="auto"/>
        <w:left w:val="none" w:sz="0" w:space="0" w:color="auto"/>
        <w:bottom w:val="none" w:sz="0" w:space="0" w:color="auto"/>
        <w:right w:val="none" w:sz="0" w:space="0" w:color="auto"/>
      </w:divBdr>
      <w:divsChild>
        <w:div w:id="195704530">
          <w:marLeft w:val="360"/>
          <w:marRight w:val="0"/>
          <w:marTop w:val="200"/>
          <w:marBottom w:val="0"/>
          <w:divBdr>
            <w:top w:val="none" w:sz="0" w:space="0" w:color="auto"/>
            <w:left w:val="none" w:sz="0" w:space="0" w:color="auto"/>
            <w:bottom w:val="none" w:sz="0" w:space="0" w:color="auto"/>
            <w:right w:val="none" w:sz="0" w:space="0" w:color="auto"/>
          </w:divBdr>
        </w:div>
        <w:div w:id="599992710">
          <w:marLeft w:val="360"/>
          <w:marRight w:val="0"/>
          <w:marTop w:val="200"/>
          <w:marBottom w:val="0"/>
          <w:divBdr>
            <w:top w:val="none" w:sz="0" w:space="0" w:color="auto"/>
            <w:left w:val="none" w:sz="0" w:space="0" w:color="auto"/>
            <w:bottom w:val="none" w:sz="0" w:space="0" w:color="auto"/>
            <w:right w:val="none" w:sz="0" w:space="0" w:color="auto"/>
          </w:divBdr>
        </w:div>
        <w:div w:id="1092429575">
          <w:marLeft w:val="360"/>
          <w:marRight w:val="0"/>
          <w:marTop w:val="200"/>
          <w:marBottom w:val="0"/>
          <w:divBdr>
            <w:top w:val="none" w:sz="0" w:space="0" w:color="auto"/>
            <w:left w:val="none" w:sz="0" w:space="0" w:color="auto"/>
            <w:bottom w:val="none" w:sz="0" w:space="0" w:color="auto"/>
            <w:right w:val="none" w:sz="0" w:space="0" w:color="auto"/>
          </w:divBdr>
        </w:div>
        <w:div w:id="1869753858">
          <w:marLeft w:val="360"/>
          <w:marRight w:val="0"/>
          <w:marTop w:val="200"/>
          <w:marBottom w:val="0"/>
          <w:divBdr>
            <w:top w:val="none" w:sz="0" w:space="0" w:color="auto"/>
            <w:left w:val="none" w:sz="0" w:space="0" w:color="auto"/>
            <w:bottom w:val="none" w:sz="0" w:space="0" w:color="auto"/>
            <w:right w:val="none" w:sz="0" w:space="0" w:color="auto"/>
          </w:divBdr>
        </w:div>
      </w:divsChild>
    </w:div>
    <w:div w:id="1918661341">
      <w:bodyDiv w:val="1"/>
      <w:marLeft w:val="0"/>
      <w:marRight w:val="0"/>
      <w:marTop w:val="0"/>
      <w:marBottom w:val="0"/>
      <w:divBdr>
        <w:top w:val="none" w:sz="0" w:space="0" w:color="auto"/>
        <w:left w:val="none" w:sz="0" w:space="0" w:color="auto"/>
        <w:bottom w:val="none" w:sz="0" w:space="0" w:color="auto"/>
        <w:right w:val="none" w:sz="0" w:space="0" w:color="auto"/>
      </w:divBdr>
    </w:div>
    <w:div w:id="21035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spp/indicators/indicator10/indicator10-vietnames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sped/spp/indicators/indicator10/indicator10-portuguese.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ped/spp/indicators/indicator10/indicator10-haitiancreole.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doe.mass.edu/sped/spp/indicators/indicator10/indicator10-chinese.docx" TargetMode="External"/><Relationship Id="rId4" Type="http://schemas.openxmlformats.org/officeDocument/2006/relationships/customXml" Target="../customXml/item4.xml"/><Relationship Id="rId9" Type="http://schemas.openxmlformats.org/officeDocument/2006/relationships/hyperlink" Target="https://www.doe.mass.edu/sped/spp/indicators/indicator10/" TargetMode="External"/><Relationship Id="rId14" Type="http://schemas.openxmlformats.org/officeDocument/2006/relationships/hyperlink" Target="https://www.doe.mass.edu/sped/spp/indicators/indicators-9-10-slides-spanish.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Hanafin, Bob (DESE)</DisplayName>
        <AccountId>25</AccountId>
        <AccountType/>
      </UserInfo>
      <UserInfo>
        <DisplayName>Viviani, Lauren (DESE)</DisplayName>
        <AccountId>23</AccountId>
        <AccountType/>
      </UserInfo>
      <UserInfo>
        <DisplayName>Liu, Yi-Juin (DESE)</DisplayName>
        <AccountId>99</AccountId>
        <AccountType/>
      </UserInfo>
    </SharedWithUsers>
    <TaxCatchAll xmlns="55966e0c-939d-4bbf-90b4-42061a5e5694" xsi:nil="true"/>
    <lcf76f155ced4ddcb4097134ff3c332f xmlns="cc23f7d9-a29c-42d6-b193-fa0a263dd6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4" ma:contentTypeDescription="Create a new document." ma:contentTypeScope="" ma:versionID="bf85bd3fa92504208f7da9b570c34793">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a600b848613c7fd4d4fa1d13c9abdf2b"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03A64-D0A8-46C7-B6D7-FBE1B5EFA5D7}">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2.xml><?xml version="1.0" encoding="utf-8"?>
<ds:datastoreItem xmlns:ds="http://schemas.openxmlformats.org/officeDocument/2006/customXml" ds:itemID="{2162D8B9-0628-4E40-A541-D141816A9D57}">
  <ds:schemaRefs>
    <ds:schemaRef ds:uri="http://schemas.openxmlformats.org/officeDocument/2006/bibliography"/>
  </ds:schemaRefs>
</ds:datastoreItem>
</file>

<file path=customXml/itemProps3.xml><?xml version="1.0" encoding="utf-8"?>
<ds:datastoreItem xmlns:ds="http://schemas.openxmlformats.org/officeDocument/2006/customXml" ds:itemID="{F49DA2A9-E114-4C39-84EB-B73343F36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AE461-19BD-4B8F-B96F-E764C5287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1295</Words>
  <Characters>7359</Characters>
  <Application>Microsoft Office Word</Application>
  <DocSecurity>0</DocSecurity>
  <Lines>204</Lines>
  <Paragraphs>108</Paragraphs>
  <ScaleCrop>false</ScaleCrop>
  <HeadingPairs>
    <vt:vector size="2" baseType="variant">
      <vt:variant>
        <vt:lpstr>Title</vt:lpstr>
      </vt:variant>
      <vt:variant>
        <vt:i4>1</vt:i4>
      </vt:variant>
    </vt:vector>
  </HeadingPairs>
  <TitlesOfParts>
    <vt:vector size="1" baseType="lpstr">
      <vt:lpstr>Indicator 10: Disproportionate Representation in Specific Disability Categories — Spanish</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10: Disproportionate Representation in Specific Disability Categories — Spanish</dc:title>
  <dc:subject/>
  <dc:creator>DESE</dc:creator>
  <cp:keywords/>
  <dc:description/>
  <cp:lastModifiedBy>Zou, Dong (EOE)</cp:lastModifiedBy>
  <cp:revision>15</cp:revision>
  <dcterms:created xsi:type="dcterms:W3CDTF">2022-10-18T13:30:00Z</dcterms:created>
  <dcterms:modified xsi:type="dcterms:W3CDTF">2023-01-26T18:06:00Z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