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99B95" w14:textId="52D143D4" w:rsidR="00040A64" w:rsidRPr="006670A1" w:rsidRDefault="00405765" w:rsidP="00040A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hyperlink r:id="rId8" w:history="1">
        <w:r w:rsidR="00040A64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English</w:t>
        </w:r>
      </w:hyperlink>
      <w:r w:rsidR="00040A6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9" w:history="1">
        <w:r w:rsidR="00040A64" w:rsidRPr="0015211F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</w:hyperlink>
      <w:r w:rsidR="00040A6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0" w:history="1">
        <w:r w:rsidR="00040A64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Kreyòl Ayisyen</w:t>
        </w:r>
      </w:hyperlink>
      <w:r w:rsidR="00040A6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1" w:history="1">
        <w:r w:rsidR="00040A64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português</w:t>
        </w:r>
      </w:hyperlink>
      <w:r w:rsidR="00040A64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r w:rsidR="00040A64" w:rsidRPr="00040A64">
        <w:rPr>
          <w:rFonts w:ascii="SimSun" w:eastAsia="SimSun" w:hAnsi="SimSun" w:cs="SimSun"/>
          <w:b/>
          <w:bCs/>
          <w:shd w:val="clear" w:color="auto" w:fill="FFFFFF"/>
        </w:rPr>
        <w:t>español</w:t>
      </w:r>
      <w:r w:rsidR="00040A64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2" w:history="1">
        <w:r w:rsidR="00040A64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Vi</w:t>
        </w:r>
        <w:r w:rsidR="00040A64" w:rsidRPr="0015211F">
          <w:rPr>
            <w:rStyle w:val="Hyperlink"/>
            <w:rFonts w:ascii="Cambria" w:eastAsia="SimSun" w:hAnsi="Cambria" w:cs="Cambria"/>
            <w:b/>
            <w:bCs/>
            <w:shd w:val="clear" w:color="auto" w:fill="FFFFFF"/>
          </w:rPr>
          <w:t>ệ</w:t>
        </w:r>
        <w:r w:rsidR="00040A64" w:rsidRPr="0015211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t</w:t>
        </w:r>
      </w:hyperlink>
    </w:p>
    <w:p w14:paraId="5F653BA4" w14:textId="5DA6ABBA" w:rsidR="00236858" w:rsidRDefault="00236858" w:rsidP="002368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  <w:r>
        <w:rPr>
          <w:rFonts w:ascii="Segoe UI" w:hAnsi="Segoe UI"/>
          <w:color w:val="0C7580"/>
          <w:sz w:val="36"/>
        </w:rPr>
        <w:t>¿Qué es el Indicador 11?</w:t>
      </w:r>
    </w:p>
    <w:p w14:paraId="0690F4BE" w14:textId="7E7E73B5" w:rsidR="000E5DF6" w:rsidRPr="000E5DF6" w:rsidRDefault="00EF7A46" w:rsidP="00FD2221">
      <w:pPr>
        <w:rPr>
          <w:rFonts w:ascii="Segoe UI" w:hAnsi="Segoe UI" w:cs="Segoe UI"/>
        </w:rPr>
      </w:pPr>
      <w:r>
        <w:rPr>
          <w:rFonts w:ascii="Segoe UI" w:hAnsi="Segoe UI"/>
        </w:rPr>
        <w:t>El Indicador 11 recopila datos para determinar si los estudiantes reciben evaluaciones iniciales, y si la elegibilidad para educación especial se determina dentro del plazo de 45 días hábiles escolares de Massachusetts.</w:t>
      </w:r>
    </w:p>
    <w:p w14:paraId="01FD7475" w14:textId="6528ACF9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egoe UI" w:hAnsi="Segoe UI"/>
          <w:b w:val="0"/>
          <w:color w:val="0C7580"/>
        </w:rPr>
        <w:t>¿Por qué es importante el Indicador 11?</w:t>
      </w:r>
    </w:p>
    <w:p w14:paraId="3A061BE6" w14:textId="1231DA7F" w:rsidR="00235427" w:rsidRPr="00235427" w:rsidRDefault="00235427" w:rsidP="00235427">
      <w:pPr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/>
        </w:rPr>
        <w:t xml:space="preserve">El Indicador 11 garantiza que los estudiantes sean evaluados de manera oportuna para que aquellos que resulten elegibles reciban los servicios y apoyos necesarios, sin demoras innecesarias. </w:t>
      </w:r>
    </w:p>
    <w:p w14:paraId="17691CE0" w14:textId="33BB490D" w:rsidR="00235427" w:rsidRPr="00235427" w:rsidRDefault="00235427" w:rsidP="00235427">
      <w:pPr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/>
        </w:rPr>
        <w:t xml:space="preserve">Las escuelas deben cumplir con la Ley de Educación para Individuos con Discapacidades (IDEA), 34 CFR </w:t>
      </w:r>
      <w:hyperlink r:id="rId13" w:history="1">
        <w:r>
          <w:rPr>
            <w:rStyle w:val="Hyperlink"/>
            <w:rFonts w:ascii="Segoe UI" w:hAnsi="Segoe UI"/>
          </w:rPr>
          <w:t>300.111</w:t>
        </w:r>
      </w:hyperlink>
      <w:r>
        <w:rPr>
          <w:rFonts w:ascii="Segoe UI" w:hAnsi="Segoe UI"/>
        </w:rPr>
        <w:t xml:space="preserve"> y </w:t>
      </w:r>
      <w:hyperlink r:id="rId14" w:history="1">
        <w:r>
          <w:rPr>
            <w:rStyle w:val="Hyperlink"/>
            <w:rFonts w:ascii="Segoe UI" w:hAnsi="Segoe UI"/>
          </w:rPr>
          <w:t>300.301</w:t>
        </w:r>
      </w:hyperlink>
      <w:r>
        <w:rPr>
          <w:rFonts w:ascii="Segoe UI" w:hAnsi="Segoe UI"/>
        </w:rPr>
        <w:t xml:space="preserve"> y con las regulaciones de Massachusetts, 603 CMR </w:t>
      </w:r>
      <w:hyperlink r:id="rId15" w:history="1">
        <w:r>
          <w:rPr>
            <w:rStyle w:val="Hyperlink"/>
            <w:rFonts w:ascii="Segoe UI" w:hAnsi="Segoe UI"/>
          </w:rPr>
          <w:t>28.04</w:t>
        </w:r>
      </w:hyperlink>
      <w:r>
        <w:rPr>
          <w:rFonts w:ascii="Segoe UI" w:hAnsi="Segoe UI"/>
        </w:rPr>
        <w:t xml:space="preserve">. </w:t>
      </w:r>
    </w:p>
    <w:p w14:paraId="36857A71" w14:textId="3A865CDF" w:rsidR="00235427" w:rsidRPr="00235427" w:rsidRDefault="00235427" w:rsidP="00235427">
      <w:pPr>
        <w:numPr>
          <w:ilvl w:val="0"/>
          <w:numId w:val="5"/>
        </w:numPr>
        <w:rPr>
          <w:rFonts w:ascii="Segoe UI" w:hAnsi="Segoe UI" w:cs="Segoe UI"/>
        </w:rPr>
      </w:pPr>
      <w:r>
        <w:rPr>
          <w:rFonts w:ascii="Segoe UI" w:hAnsi="Segoe UI"/>
        </w:rPr>
        <w:t xml:space="preserve">Las evaluaciones que no se completan dentro del plazo requerido pueden resultar en una demora o denegación de una </w:t>
      </w:r>
      <w:hyperlink r:id="rId16" w:history="1">
        <w:r>
          <w:rPr>
            <w:rStyle w:val="Hyperlink"/>
            <w:rFonts w:ascii="Segoe UI" w:hAnsi="Segoe UI"/>
          </w:rPr>
          <w:t>educación pública apropiada y gratuita</w:t>
        </w:r>
      </w:hyperlink>
      <w:r>
        <w:rPr>
          <w:rFonts w:ascii="Segoe UI" w:hAnsi="Segoe UI"/>
        </w:rPr>
        <w:t>.</w:t>
      </w:r>
    </w:p>
    <w:p w14:paraId="5644CA3F" w14:textId="77777777" w:rsidR="001817B5" w:rsidRDefault="001817B5" w:rsidP="000E5DF6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egoe UI" w:hAnsi="Segoe UI"/>
          <w:b w:val="0"/>
          <w:color w:val="0C7580"/>
        </w:rPr>
        <w:t>¿Cómo se recopilan los datos del Indicador 11?</w:t>
      </w:r>
    </w:p>
    <w:p w14:paraId="28F67E1F" w14:textId="77777777" w:rsidR="001817B5" w:rsidRPr="001817B5" w:rsidRDefault="001817B5" w:rsidP="001817B5">
      <w:pPr>
        <w:pStyle w:val="Heading2"/>
        <w:numPr>
          <w:ilvl w:val="0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>
        <w:rPr>
          <w:rFonts w:ascii="Segoe UI" w:hAnsi="Segoe UI"/>
          <w:b w:val="0"/>
          <w:sz w:val="22"/>
        </w:rPr>
        <w:t xml:space="preserve">Los datos del Indicador 11 provienen de la información enviada por los distritos escolares al Departamento de Educación Primaria y Secundaria (DESE). </w:t>
      </w:r>
    </w:p>
    <w:p w14:paraId="13513C0A" w14:textId="77777777" w:rsidR="001817B5" w:rsidRPr="001817B5" w:rsidRDefault="001817B5" w:rsidP="001817B5">
      <w:pPr>
        <w:pStyle w:val="Heading2"/>
        <w:numPr>
          <w:ilvl w:val="0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>
        <w:rPr>
          <w:rFonts w:ascii="Segoe UI" w:hAnsi="Segoe UI"/>
          <w:b w:val="0"/>
          <w:sz w:val="22"/>
        </w:rPr>
        <w:t>La información enviada incluye lo siguiente:</w:t>
      </w:r>
    </w:p>
    <w:p w14:paraId="2E78F7C4" w14:textId="77777777" w:rsidR="001817B5" w:rsidRPr="001817B5" w:rsidRDefault="001817B5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>
        <w:rPr>
          <w:rFonts w:ascii="Segoe UI" w:hAnsi="Segoe UI"/>
          <w:b w:val="0"/>
          <w:sz w:val="22"/>
        </w:rPr>
        <w:t>Fecha del consentimiento de los padres para la evaluación inicial</w:t>
      </w:r>
    </w:p>
    <w:p w14:paraId="71C5F384" w14:textId="77777777" w:rsidR="001817B5" w:rsidRPr="001817B5" w:rsidRDefault="001817B5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>
        <w:rPr>
          <w:rFonts w:ascii="Segoe UI" w:hAnsi="Segoe UI"/>
          <w:b w:val="0"/>
          <w:sz w:val="22"/>
        </w:rPr>
        <w:t>Fecha de la reunión para determinar la elegibilidad</w:t>
      </w:r>
    </w:p>
    <w:p w14:paraId="521BFC93" w14:textId="1D97F302" w:rsidR="001817B5" w:rsidRPr="001817B5" w:rsidRDefault="001817B5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>
        <w:rPr>
          <w:rFonts w:ascii="Segoe UI" w:hAnsi="Segoe UI"/>
          <w:b w:val="0"/>
          <w:sz w:val="22"/>
        </w:rPr>
        <w:t>Si el estudiante resultó elegible para los servicios</w:t>
      </w:r>
    </w:p>
    <w:p w14:paraId="16B5635B" w14:textId="77777777" w:rsidR="001817B5" w:rsidRPr="001817B5" w:rsidRDefault="001817B5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>
        <w:rPr>
          <w:rFonts w:ascii="Segoe UI" w:hAnsi="Segoe UI"/>
          <w:b w:val="0"/>
          <w:sz w:val="22"/>
        </w:rPr>
        <w:t>Tipo de discapacidad</w:t>
      </w:r>
    </w:p>
    <w:p w14:paraId="47B14644" w14:textId="77777777" w:rsidR="001817B5" w:rsidRPr="001817B5" w:rsidRDefault="001817B5" w:rsidP="001817B5">
      <w:pPr>
        <w:pStyle w:val="Heading2"/>
        <w:numPr>
          <w:ilvl w:val="1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>
        <w:rPr>
          <w:rFonts w:ascii="Segoe UI" w:hAnsi="Segoe UI"/>
          <w:b w:val="0"/>
          <w:sz w:val="22"/>
        </w:rPr>
        <w:t>Razones de los retrasos</w:t>
      </w:r>
    </w:p>
    <w:p w14:paraId="76E17EFC" w14:textId="77777777" w:rsidR="001817B5" w:rsidRPr="001817B5" w:rsidRDefault="001817B5" w:rsidP="001817B5">
      <w:pPr>
        <w:pStyle w:val="Heading2"/>
        <w:numPr>
          <w:ilvl w:val="0"/>
          <w:numId w:val="6"/>
        </w:numPr>
        <w:shd w:val="clear" w:color="auto" w:fill="FFFFFF"/>
        <w:rPr>
          <w:rFonts w:ascii="Segoe UI" w:hAnsi="Segoe UI" w:cs="Segoe UI"/>
          <w:b w:val="0"/>
          <w:bCs w:val="0"/>
          <w:spacing w:val="12"/>
          <w:sz w:val="22"/>
          <w:szCs w:val="22"/>
        </w:rPr>
      </w:pPr>
      <w:r>
        <w:rPr>
          <w:rFonts w:ascii="Segoe UI" w:hAnsi="Segoe UI"/>
          <w:b w:val="0"/>
          <w:sz w:val="22"/>
        </w:rPr>
        <w:t>Revisión de los supervisores estatales y verificación de la información enviada para determinar el cumplimiento de los requisitos estatales y federales.</w:t>
      </w:r>
    </w:p>
    <w:p w14:paraId="71314B15" w14:textId="77777777" w:rsidR="004D49BE" w:rsidRPr="005C1815" w:rsidRDefault="004D49BE" w:rsidP="005C1815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egoe UI" w:hAnsi="Segoe UI"/>
          <w:b w:val="0"/>
          <w:color w:val="0C7580"/>
        </w:rPr>
        <w:t>¿Cómo se calcula el Indicador 11?</w:t>
      </w:r>
    </w:p>
    <w:p w14:paraId="7C2A7B54" w14:textId="03631890" w:rsidR="005C1815" w:rsidRPr="005C1815" w:rsidRDefault="202A23AB" w:rsidP="202A23A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101D35"/>
        </w:rPr>
      </w:pPr>
      <w:r>
        <w:rPr>
          <w:rFonts w:ascii="Segoe UI" w:hAnsi="Segoe UI"/>
          <w:color w:val="101D35"/>
        </w:rPr>
        <w:t>El Indicador 11 se calcula utilizando lo siguiente:</w:t>
      </w:r>
    </w:p>
    <w:p w14:paraId="0845A537" w14:textId="6ADCE5E9" w:rsidR="005C1815" w:rsidRPr="005C1815" w:rsidRDefault="202A23AB" w:rsidP="516C4B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101D35"/>
        </w:rPr>
      </w:pPr>
      <w:r>
        <w:rPr>
          <w:rFonts w:ascii="Segoe UI" w:hAnsi="Segoe UI"/>
          <w:color w:val="101D35"/>
        </w:rPr>
        <w:t>El número de estudiantes con evaluaciones completadas dentro del plazo requerido.</w:t>
      </w:r>
    </w:p>
    <w:p w14:paraId="47CC64A7" w14:textId="68FECD57" w:rsidR="005C1815" w:rsidRPr="005C1815" w:rsidRDefault="202A23AB" w:rsidP="516C4B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01D35"/>
          <w:kern w:val="24"/>
        </w:rPr>
      </w:pPr>
      <w:r>
        <w:rPr>
          <w:rFonts w:ascii="Segoe UI" w:hAnsi="Segoe UI"/>
          <w:color w:val="101D35"/>
        </w:rPr>
        <w:t>El número total de estudiantes para quienes se recibió el consentimiento de los padres.</w:t>
      </w:r>
    </w:p>
    <w:p w14:paraId="6A6F5EB9" w14:textId="62D1486F" w:rsidR="00236858" w:rsidRDefault="00D4575A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egoe UI" w:hAnsi="Segoe UI"/>
          <w:b w:val="0"/>
          <w:color w:val="0C7580"/>
        </w:rPr>
        <w:t>Datos del Indicador 11</w:t>
      </w:r>
    </w:p>
    <w:p w14:paraId="6E843974" w14:textId="32B81A12" w:rsidR="00236858" w:rsidRPr="000E5DF6" w:rsidRDefault="00362981" w:rsidP="00362981">
      <w:pPr>
        <w:rPr>
          <w:rFonts w:ascii="Segoe UI" w:hAnsi="Segoe UI" w:cs="Segoe UI"/>
        </w:rPr>
      </w:pPr>
      <w:r>
        <w:rPr>
          <w:rFonts w:ascii="Segoe UI" w:hAnsi="Segoe UI"/>
        </w:rPr>
        <w:lastRenderedPageBreak/>
        <w:t xml:space="preserve">Debido a que esta es una medida de cumplimiento, el gobierno federal requiere un objetivo de 100 % de acatamiento.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5"/>
        <w:gridCol w:w="1477"/>
        <w:gridCol w:w="1554"/>
        <w:gridCol w:w="1554"/>
        <w:gridCol w:w="1555"/>
        <w:gridCol w:w="1555"/>
      </w:tblGrid>
      <w:tr w:rsidR="00166F04" w:rsidRPr="000E5DF6" w14:paraId="4B5DBCB1" w14:textId="77777777" w:rsidTr="00704C01">
        <w:tc>
          <w:tcPr>
            <w:tcW w:w="1338" w:type="dxa"/>
            <w:shd w:val="clear" w:color="auto" w:fill="D9E2F3" w:themeFill="accent1" w:themeFillTint="33"/>
          </w:tcPr>
          <w:p w14:paraId="4459E52B" w14:textId="2A148B46" w:rsidR="00166F04" w:rsidRPr="000E5DF6" w:rsidRDefault="00166F04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Año escolar</w:t>
            </w:r>
          </w:p>
        </w:tc>
        <w:tc>
          <w:tcPr>
            <w:tcW w:w="1534" w:type="dxa"/>
            <w:vAlign w:val="center"/>
          </w:tcPr>
          <w:p w14:paraId="3556BBAF" w14:textId="5205D219" w:rsidR="00166F04" w:rsidRPr="000E5DF6" w:rsidRDefault="00166F04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2016-17</w:t>
            </w:r>
          </w:p>
        </w:tc>
        <w:tc>
          <w:tcPr>
            <w:tcW w:w="1619" w:type="dxa"/>
            <w:vAlign w:val="center"/>
          </w:tcPr>
          <w:p w14:paraId="1A8C7162" w14:textId="16F24721" w:rsidR="00166F04" w:rsidRPr="000E5DF6" w:rsidRDefault="00166F04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2017-18</w:t>
            </w:r>
          </w:p>
        </w:tc>
        <w:tc>
          <w:tcPr>
            <w:tcW w:w="1619" w:type="dxa"/>
            <w:vAlign w:val="center"/>
          </w:tcPr>
          <w:p w14:paraId="18E68DE7" w14:textId="66B06DB1" w:rsidR="00166F04" w:rsidRPr="000E5DF6" w:rsidRDefault="00166F04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2018-19</w:t>
            </w:r>
          </w:p>
        </w:tc>
        <w:tc>
          <w:tcPr>
            <w:tcW w:w="1620" w:type="dxa"/>
            <w:vAlign w:val="center"/>
          </w:tcPr>
          <w:p w14:paraId="5FDE8D77" w14:textId="72412CB0" w:rsidR="00166F04" w:rsidRPr="000E5DF6" w:rsidRDefault="00166F04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2019-20</w:t>
            </w:r>
          </w:p>
        </w:tc>
        <w:tc>
          <w:tcPr>
            <w:tcW w:w="1620" w:type="dxa"/>
            <w:vAlign w:val="center"/>
          </w:tcPr>
          <w:p w14:paraId="77E5F10F" w14:textId="6BDE8F9B" w:rsidR="00166F04" w:rsidRPr="000E5DF6" w:rsidRDefault="00166F04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2020-21</w:t>
            </w:r>
          </w:p>
        </w:tc>
      </w:tr>
      <w:tr w:rsidR="00166F04" w:rsidRPr="000E5DF6" w14:paraId="562DF325" w14:textId="77777777" w:rsidTr="00704C01">
        <w:tc>
          <w:tcPr>
            <w:tcW w:w="1338" w:type="dxa"/>
            <w:shd w:val="clear" w:color="auto" w:fill="D9E2F3" w:themeFill="accent1" w:themeFillTint="33"/>
          </w:tcPr>
          <w:p w14:paraId="525CC270" w14:textId="5E2F30AF" w:rsidR="00166F04" w:rsidRPr="00704C01" w:rsidRDefault="00704C01" w:rsidP="000E5DF6">
            <w:pPr>
              <w:jc w:val="center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/>
                <w:b/>
              </w:rPr>
              <w:t>Porcentaje de cumplimiento a nivel estatal</w:t>
            </w:r>
          </w:p>
        </w:tc>
        <w:tc>
          <w:tcPr>
            <w:tcW w:w="1534" w:type="dxa"/>
            <w:vAlign w:val="center"/>
          </w:tcPr>
          <w:p w14:paraId="33BB6902" w14:textId="60AC704A" w:rsidR="00166F04" w:rsidRPr="000E5DF6" w:rsidRDefault="00166F04" w:rsidP="000E5DF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95.83 %</w:t>
            </w:r>
          </w:p>
        </w:tc>
        <w:tc>
          <w:tcPr>
            <w:tcW w:w="1619" w:type="dxa"/>
            <w:vAlign w:val="center"/>
          </w:tcPr>
          <w:p w14:paraId="661CB009" w14:textId="6DA860D0" w:rsidR="00166F04" w:rsidRPr="000E5DF6" w:rsidRDefault="00166F04" w:rsidP="000E5DF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96.50 %</w:t>
            </w:r>
          </w:p>
        </w:tc>
        <w:tc>
          <w:tcPr>
            <w:tcW w:w="1619" w:type="dxa"/>
            <w:vAlign w:val="center"/>
          </w:tcPr>
          <w:p w14:paraId="759A2C06" w14:textId="7E13E5DE" w:rsidR="00166F04" w:rsidRPr="000E5DF6" w:rsidRDefault="00166F04" w:rsidP="000E5DF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91.69 %</w:t>
            </w:r>
          </w:p>
        </w:tc>
        <w:tc>
          <w:tcPr>
            <w:tcW w:w="1620" w:type="dxa"/>
            <w:vAlign w:val="center"/>
          </w:tcPr>
          <w:p w14:paraId="3697CB74" w14:textId="7DE2F4FE" w:rsidR="00166F04" w:rsidRPr="000E5DF6" w:rsidRDefault="00166F04" w:rsidP="000E5DF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97.28 %</w:t>
            </w:r>
          </w:p>
        </w:tc>
        <w:tc>
          <w:tcPr>
            <w:tcW w:w="1620" w:type="dxa"/>
            <w:vAlign w:val="center"/>
          </w:tcPr>
          <w:p w14:paraId="786502EB" w14:textId="7DB4075B" w:rsidR="00166F04" w:rsidRPr="000E5DF6" w:rsidRDefault="00166F04" w:rsidP="000E5DF6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/>
              </w:rPr>
              <w:t>93.49 %</w:t>
            </w:r>
          </w:p>
        </w:tc>
      </w:tr>
    </w:tbl>
    <w:p w14:paraId="5A818C59" w14:textId="77777777" w:rsidR="00362981" w:rsidRDefault="00362981" w:rsidP="00362981"/>
    <w:p w14:paraId="25D6FED1" w14:textId="11E4C5E1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  <w:r>
        <w:rPr>
          <w:rFonts w:ascii="Segoe UI" w:hAnsi="Segoe UI"/>
          <w:b w:val="0"/>
          <w:color w:val="0C7580"/>
        </w:rPr>
        <w:t>Más información sobre el Indicador 11:</w:t>
      </w:r>
    </w:p>
    <w:p w14:paraId="6427B4D9" w14:textId="2047694A" w:rsidR="000D0AF5" w:rsidRPr="006B4C7C" w:rsidRDefault="00916AF1" w:rsidP="000D0AF5">
      <w:pPr>
        <w:rPr>
          <w:rFonts w:ascii="Segoe UI" w:hAnsi="Segoe UI" w:cs="Segoe UI"/>
          <w:i/>
          <w:iCs/>
        </w:rPr>
      </w:pPr>
      <w:hyperlink r:id="rId17" w:history="1">
        <w:r w:rsidR="000D0AF5" w:rsidRPr="00405765">
          <w:rPr>
            <w:rStyle w:val="Hyperlink"/>
            <w:rFonts w:ascii="Segoe UI" w:hAnsi="Segoe UI"/>
            <w:i/>
          </w:rPr>
          <w:t>PowerPoint de Indicador 11</w:t>
        </w:r>
      </w:hyperlink>
    </w:p>
    <w:p w14:paraId="108800F0" w14:textId="499B415F" w:rsidR="000D0AF5" w:rsidRPr="006B4C7C" w:rsidRDefault="000D0AF5" w:rsidP="000D0AF5">
      <w:pPr>
        <w:rPr>
          <w:rFonts w:ascii="Segoe UI" w:hAnsi="Segoe UI" w:cs="Segoe UI"/>
        </w:rPr>
      </w:pPr>
      <w:r>
        <w:rPr>
          <w:rFonts w:ascii="Segoe UI" w:hAnsi="Segoe UI"/>
        </w:rPr>
        <w:t>Recursos adicionales:</w:t>
      </w:r>
    </w:p>
    <w:p w14:paraId="2D75ACAB" w14:textId="5F55D6E3" w:rsidR="00826209" w:rsidRPr="00826209" w:rsidRDefault="00916AF1" w:rsidP="00826209">
      <w:pPr>
        <w:numPr>
          <w:ilvl w:val="0"/>
          <w:numId w:val="7"/>
        </w:numPr>
        <w:rPr>
          <w:rFonts w:ascii="Segoe UI" w:hAnsi="Segoe UI" w:cs="Segoe UI"/>
        </w:rPr>
      </w:pPr>
      <w:hyperlink r:id="rId18" w:history="1">
        <w:r w:rsidR="00FA46E5">
          <w:rPr>
            <w:rStyle w:val="Hyperlink"/>
            <w:rFonts w:ascii="Segoe UI" w:hAnsi="Segoe UI"/>
          </w:rPr>
          <w:t>Recursos de Child Find de MA</w:t>
        </w:r>
      </w:hyperlink>
    </w:p>
    <w:p w14:paraId="166DF4B0" w14:textId="69526865" w:rsidR="00826209" w:rsidRPr="00826209" w:rsidRDefault="00916AF1" w:rsidP="00826209">
      <w:pPr>
        <w:numPr>
          <w:ilvl w:val="0"/>
          <w:numId w:val="7"/>
        </w:numPr>
        <w:rPr>
          <w:rFonts w:ascii="Segoe UI" w:hAnsi="Segoe UI" w:cs="Segoe UI"/>
        </w:rPr>
      </w:pPr>
      <w:hyperlink r:id="rId19" w:history="1">
        <w:r w:rsidR="00FA46E5">
          <w:rPr>
            <w:rStyle w:val="Hyperlink"/>
            <w:rFonts w:ascii="Segoe UI" w:hAnsi="Segoe UI"/>
          </w:rPr>
          <w:t>Autoevaluación de Child Find (Centro de asistencia técnica para la infancia temprana)</w:t>
        </w:r>
      </w:hyperlink>
    </w:p>
    <w:p w14:paraId="1350D23E" w14:textId="1CAD0427" w:rsidR="00826209" w:rsidRPr="00826209" w:rsidRDefault="00916AF1" w:rsidP="00826209">
      <w:pPr>
        <w:numPr>
          <w:ilvl w:val="0"/>
          <w:numId w:val="7"/>
        </w:numPr>
        <w:rPr>
          <w:rFonts w:ascii="Segoe UI" w:hAnsi="Segoe UI" w:cs="Segoe UI"/>
        </w:rPr>
      </w:pPr>
      <w:hyperlink r:id="rId20" w:history="1">
        <w:r w:rsidR="00FA46E5">
          <w:rPr>
            <w:rStyle w:val="Hyperlink"/>
            <w:rFonts w:ascii="Segoe UI" w:hAnsi="Segoe UI"/>
          </w:rPr>
          <w:t>Evaluación de discapacidad de niños en edad escolar (Centro de información y recursos para padres)</w:t>
        </w:r>
      </w:hyperlink>
    </w:p>
    <w:p w14:paraId="6A794A95" w14:textId="5A8497E1" w:rsidR="000D0AF5" w:rsidRPr="00BE4619" w:rsidRDefault="00916AF1" w:rsidP="00BE4619">
      <w:pPr>
        <w:pStyle w:val="ListParagraph"/>
        <w:numPr>
          <w:ilvl w:val="0"/>
          <w:numId w:val="7"/>
        </w:numPr>
        <w:spacing w:after="0" w:line="240" w:lineRule="auto"/>
        <w:rPr>
          <w:rFonts w:ascii="Segoe UI" w:hAnsi="Segoe UI" w:cs="Segoe UI"/>
        </w:rPr>
      </w:pPr>
      <w:hyperlink r:id="rId21" w:history="1">
        <w:r w:rsidR="007652A5">
          <w:rPr>
            <w:rStyle w:val="Hyperlink"/>
            <w:rFonts w:ascii="Segoe UI" w:hAnsi="Segoe UI"/>
          </w:rPr>
          <w:t>Datos de indicadores específicos del distrito y a nivel estatal de Massachusetts</w:t>
        </w:r>
      </w:hyperlink>
    </w:p>
    <w:p w14:paraId="4A2F36DB" w14:textId="77777777" w:rsidR="000D0AF5" w:rsidRPr="0068562A" w:rsidRDefault="000D0AF5" w:rsidP="000D0AF5">
      <w:pPr>
        <w:spacing w:after="0" w:line="240" w:lineRule="auto"/>
        <w:rPr>
          <w:rFonts w:ascii="Segoe UI" w:hAnsi="Segoe UI" w:cs="Segoe UI"/>
        </w:rPr>
      </w:pPr>
    </w:p>
    <w:p w14:paraId="633EC336" w14:textId="77777777" w:rsidR="002D5156" w:rsidRDefault="002D5156" w:rsidP="002D5156"/>
    <w:p w14:paraId="237246DD" w14:textId="77777777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</w:p>
    <w:p w14:paraId="63645367" w14:textId="77777777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</w:p>
    <w:p w14:paraId="35365201" w14:textId="77777777" w:rsidR="00236858" w:rsidRDefault="00236858" w:rsidP="00236858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0C7580"/>
          <w:spacing w:val="12"/>
        </w:rPr>
      </w:pPr>
    </w:p>
    <w:p w14:paraId="7628345A" w14:textId="77777777" w:rsidR="00236858" w:rsidRPr="00236858" w:rsidRDefault="00236858" w:rsidP="002368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color w:val="0C7580"/>
          <w:spacing w:val="12"/>
          <w:sz w:val="36"/>
          <w:szCs w:val="36"/>
        </w:rPr>
      </w:pPr>
    </w:p>
    <w:p w14:paraId="495312FA" w14:textId="77777777" w:rsidR="00684052" w:rsidRDefault="00684052"/>
    <w:sectPr w:rsidR="0068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BE6308"/>
    <w:lvl w:ilvl="0">
      <w:numFmt w:val="bullet"/>
      <w:lvlText w:val="*"/>
      <w:lvlJc w:val="left"/>
    </w:lvl>
  </w:abstractNum>
  <w:abstractNum w:abstractNumId="1" w15:restartNumberingAfterBreak="0">
    <w:nsid w:val="0A38349C"/>
    <w:multiLevelType w:val="hybridMultilevel"/>
    <w:tmpl w:val="0C2A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6D40"/>
    <w:multiLevelType w:val="hybridMultilevel"/>
    <w:tmpl w:val="AAE6EB00"/>
    <w:lvl w:ilvl="0" w:tplc="57248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0D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00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6D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42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A2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2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AC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8E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35758F"/>
    <w:multiLevelType w:val="hybridMultilevel"/>
    <w:tmpl w:val="6578279E"/>
    <w:lvl w:ilvl="0" w:tplc="35882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6C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C2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A8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CF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6C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A6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02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85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6502D"/>
    <w:multiLevelType w:val="hybridMultilevel"/>
    <w:tmpl w:val="134CBDE6"/>
    <w:lvl w:ilvl="0" w:tplc="CD1AF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E3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81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AD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6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4D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A1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85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0C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D06AC9"/>
    <w:multiLevelType w:val="hybridMultilevel"/>
    <w:tmpl w:val="FCB43682"/>
    <w:lvl w:ilvl="0" w:tplc="6E926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20E0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F20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08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ED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26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E2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6E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EA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58"/>
    <w:rsid w:val="00040A64"/>
    <w:rsid w:val="00091910"/>
    <w:rsid w:val="000D0AF5"/>
    <w:rsid w:val="000E5DF6"/>
    <w:rsid w:val="0010026A"/>
    <w:rsid w:val="001439AD"/>
    <w:rsid w:val="00166F04"/>
    <w:rsid w:val="001817B5"/>
    <w:rsid w:val="0022752D"/>
    <w:rsid w:val="00235427"/>
    <w:rsid w:val="00236858"/>
    <w:rsid w:val="002407B1"/>
    <w:rsid w:val="002D5156"/>
    <w:rsid w:val="00346D48"/>
    <w:rsid w:val="00362981"/>
    <w:rsid w:val="00373752"/>
    <w:rsid w:val="00405765"/>
    <w:rsid w:val="0043645E"/>
    <w:rsid w:val="00447CB8"/>
    <w:rsid w:val="00470C7A"/>
    <w:rsid w:val="00474EC6"/>
    <w:rsid w:val="004D49BE"/>
    <w:rsid w:val="004E21EA"/>
    <w:rsid w:val="005C1815"/>
    <w:rsid w:val="005D1CF3"/>
    <w:rsid w:val="005F4784"/>
    <w:rsid w:val="00621FA8"/>
    <w:rsid w:val="00684052"/>
    <w:rsid w:val="006B4C7C"/>
    <w:rsid w:val="006F5FB4"/>
    <w:rsid w:val="00704C01"/>
    <w:rsid w:val="007652A5"/>
    <w:rsid w:val="00782CFB"/>
    <w:rsid w:val="007D2C1C"/>
    <w:rsid w:val="008076CD"/>
    <w:rsid w:val="00826209"/>
    <w:rsid w:val="0084578A"/>
    <w:rsid w:val="008530F8"/>
    <w:rsid w:val="00863CD9"/>
    <w:rsid w:val="008A4242"/>
    <w:rsid w:val="008E6F7B"/>
    <w:rsid w:val="00916AF1"/>
    <w:rsid w:val="00940D48"/>
    <w:rsid w:val="00987761"/>
    <w:rsid w:val="00A812F6"/>
    <w:rsid w:val="00B76102"/>
    <w:rsid w:val="00B90F28"/>
    <w:rsid w:val="00BC2FFB"/>
    <w:rsid w:val="00BE4619"/>
    <w:rsid w:val="00C27C34"/>
    <w:rsid w:val="00D4575A"/>
    <w:rsid w:val="00DD5554"/>
    <w:rsid w:val="00EF7A46"/>
    <w:rsid w:val="00F80E5C"/>
    <w:rsid w:val="00FA46E5"/>
    <w:rsid w:val="00FD2221"/>
    <w:rsid w:val="181E693B"/>
    <w:rsid w:val="202A23AB"/>
    <w:rsid w:val="32F9D1E0"/>
    <w:rsid w:val="37ABA8B1"/>
    <w:rsid w:val="448BE013"/>
    <w:rsid w:val="516C4B3F"/>
    <w:rsid w:val="7AEFE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581A"/>
  <w15:chartTrackingRefBased/>
  <w15:docId w15:val="{5BB95D27-5AC9-4F9C-A315-D07264AC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85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36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1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1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807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6CD"/>
    <w:pPr>
      <w:spacing w:before="60" w:after="6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6CD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1FA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6E5"/>
    <w:pPr>
      <w:spacing w:before="0"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6E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9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218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562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49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128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41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819">
          <w:marLeft w:val="36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4423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1/" TargetMode="External"/><Relationship Id="rId13" Type="http://schemas.openxmlformats.org/officeDocument/2006/relationships/hyperlink" Target="https://sites.ed.gov/idea/regs/b/b/300.111" TargetMode="External"/><Relationship Id="rId18" Type="http://schemas.openxmlformats.org/officeDocument/2006/relationships/hyperlink" Target="https://www.doe.mass.edu/sped/ta/docs/child-find-resourc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ofiles.doe.mass.edu/statereport/special_education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spp/indicators/indicator11/indicator11-vietnamese.docx" TargetMode="External"/><Relationship Id="rId17" Type="http://schemas.openxmlformats.org/officeDocument/2006/relationships/hyperlink" Target="https://www.doe.mass.edu/sped/spp/indicators/indicator11/indicator11-slides-spanish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.gov/idea/regs/b/b/300.101" TargetMode="External"/><Relationship Id="rId20" Type="http://schemas.openxmlformats.org/officeDocument/2006/relationships/hyperlink" Target="https://www.parentcenterhub.org/evalu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11/indicator11-portuguese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lawsregs/603cmr28.html?section=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e.mass.edu/sped/spp/indicators/indicator11/indicator11-haitiancreole.docx" TargetMode="External"/><Relationship Id="rId19" Type="http://schemas.openxmlformats.org/officeDocument/2006/relationships/hyperlink" Target="https://ectacenter.org/topics/earlyid/tools.as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pp/indicators/indicator11/indicator11-chinese.docx" TargetMode="External"/><Relationship Id="rId14" Type="http://schemas.openxmlformats.org/officeDocument/2006/relationships/hyperlink" Target="https://sites.ed.gov/idea/regs/b/d/300.3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14F0E-2B60-4337-8CEB-C2EE823A7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14C30-9C3A-48E1-9E40-D5A0C432325C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3.xml><?xml version="1.0" encoding="utf-8"?>
<ds:datastoreItem xmlns:ds="http://schemas.openxmlformats.org/officeDocument/2006/customXml" ds:itemID="{5604426F-066A-46EE-A9AC-9F453C803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2971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11: Child Find (Initial Evaluations) — Spanish</dc:title>
  <dc:subject/>
  <dc:creator>DESE</dc:creator>
  <cp:keywords/>
  <dc:description/>
  <cp:lastModifiedBy>Zou, Dong (EOE)</cp:lastModifiedBy>
  <cp:revision>9</cp:revision>
  <dcterms:created xsi:type="dcterms:W3CDTF">2022-11-01T12:54:00Z</dcterms:created>
  <dcterms:modified xsi:type="dcterms:W3CDTF">2023-01-26T18:46:00Z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