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19505040"/>
    <w:p w14:paraId="2B97500D" w14:textId="774EC606" w:rsidR="00853068" w:rsidRPr="006670A1" w:rsidRDefault="00B96D36" w:rsidP="008530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rPr>
          <w:rFonts w:ascii="SimSun" w:eastAsia="SimSun" w:hAnsi="SimSun" w:cs="SimSun"/>
          <w:b/>
          <w:bCs/>
          <w:shd w:val="clear" w:color="auto" w:fill="FFFFFF"/>
        </w:rPr>
        <w:fldChar w:fldCharType="begin"/>
      </w:r>
      <w:r>
        <w:rPr>
          <w:rFonts w:ascii="SimSun" w:eastAsia="SimSun" w:hAnsi="SimSun" w:cs="SimSun"/>
          <w:b/>
          <w:bCs/>
          <w:shd w:val="clear" w:color="auto" w:fill="FFFFFF"/>
        </w:rPr>
        <w:instrText xml:space="preserve"> HYPERLINK "https://www.doe.mass.edu/sped/spp/indicators/indicator12/" </w:instrTex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separate"/>
      </w:r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853068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853068" w:rsidRPr="00B96D36">
        <w:rPr>
          <w:rFonts w:ascii="SimSun" w:eastAsia="SimSun" w:hAnsi="SimSun" w:cs="SimSun" w:hint="eastAsia"/>
          <w:b/>
          <w:bCs/>
        </w:rPr>
        <w:t>繁體中</w:t>
      </w:r>
      <w:proofErr w:type="spellEnd"/>
      <w:r w:rsidR="00853068" w:rsidRPr="00B96D36">
        <w:rPr>
          <w:rFonts w:ascii="SimSun" w:eastAsia="SimSun" w:hAnsi="SimSun" w:cs="SimSun" w:hint="eastAsia"/>
          <w:b/>
          <w:bCs/>
        </w:rPr>
        <w:t>文</w:t>
      </w:r>
      <w:r w:rsidR="00853068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414C4A">
        <w:fldChar w:fldCharType="begin"/>
      </w:r>
      <w:r w:rsidR="00414C4A">
        <w:instrText xml:space="preserve"> HYPERLINK "https://www.doe.mass.edu/sped/spp/indicators/indicator12/indicator12-haitiancreole.docx" </w:instrText>
      </w:r>
      <w:r w:rsidR="00414C4A">
        <w:fldChar w:fldCharType="separate"/>
      </w:r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 w:rsidR="00414C4A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853068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414C4A">
        <w:fldChar w:fldCharType="begin"/>
      </w:r>
      <w:r w:rsidR="00414C4A">
        <w:instrText xml:space="preserve"> HYPERLINK "https://www.doe.mass.edu/sped/spp/indicators/indicator12/indicator12-portuguese.docx" </w:instrText>
      </w:r>
      <w:r w:rsidR="00414C4A">
        <w:fldChar w:fldCharType="separate"/>
      </w:r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853068" w:rsidRPr="00B96D36">
        <w:rPr>
          <w:rStyle w:val="Hyperlink"/>
          <w:rFonts w:ascii="Times New Roman" w:eastAsia="SimSun" w:hAnsi="Times New Roman" w:cs="Times New Roman"/>
          <w:b/>
          <w:bCs/>
          <w:shd w:val="clear" w:color="auto" w:fill="FFFFFF"/>
        </w:rPr>
        <w:t>​</w:t>
      </w:r>
      <w:r w:rsidR="00414C4A">
        <w:rPr>
          <w:rStyle w:val="Hyperlink"/>
          <w:rFonts w:ascii="Times New Roman" w:eastAsia="SimSun" w:hAnsi="Times New Roman" w:cs="Times New Roman"/>
          <w:b/>
          <w:bCs/>
          <w:shd w:val="clear" w:color="auto" w:fill="FFFFFF"/>
        </w:rPr>
        <w:fldChar w:fldCharType="end"/>
      </w:r>
      <w:r w:rsidR="00853068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414C4A">
        <w:fldChar w:fldCharType="begin"/>
      </w:r>
      <w:r w:rsidR="00414C4A">
        <w:instrText xml:space="preserve"> HYPERLINK "https://w</w:instrText>
      </w:r>
      <w:r w:rsidR="00414C4A">
        <w:instrText xml:space="preserve">ww.doe.mass.edu/sped/spp/indicators/indicator12/indicator12-spanish.docx" </w:instrText>
      </w:r>
      <w:r w:rsidR="00414C4A">
        <w:fldChar w:fldCharType="separate"/>
      </w:r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 w:rsidR="00414C4A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853068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414C4A">
        <w:fldChar w:fldCharType="begin"/>
      </w:r>
      <w:r w:rsidR="00414C4A">
        <w:instrText xml:space="preserve"> HYPERLINK "https://www.doe.mass.edu/sped/spp/indicators/indicator12/indicator12-vietnamese.docx" </w:instrText>
      </w:r>
      <w:r w:rsidR="00414C4A">
        <w:fldChar w:fldCharType="separate"/>
      </w:r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853068" w:rsidRPr="00B96D36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853068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 w:rsidR="00414C4A"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bookmarkEnd w:id="0"/>
    <w:p w14:paraId="2BD8D2A1" w14:textId="2E95B377" w:rsidR="00D21195" w:rsidRDefault="00162034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 w:rsidRPr="00236858">
        <w:rPr>
          <w:rFonts w:ascii="SimSun" w:eastAsia="SimSun" w:hAnsi="SimSun" w:cs="SimSun"/>
          <w:color w:val="0C7580"/>
          <w:spacing w:val="12"/>
          <w:sz w:val="36"/>
          <w:szCs w:val="36"/>
        </w:rPr>
        <w:t>什么是指标12？</w:t>
      </w:r>
    </w:p>
    <w:p w14:paraId="4D8BC21F" w14:textId="76827261" w:rsidR="00970677" w:rsidRDefault="00162034" w:rsidP="121852DC">
      <w:pPr>
        <w:pStyle w:val="Heading2"/>
        <w:shd w:val="clear" w:color="auto" w:fill="FFFFFF" w:themeFill="background1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 w:rsidRPr="121852DC">
        <w:rPr>
          <w:rFonts w:ascii="SimSun" w:eastAsia="SimSun" w:hAnsi="SimSun" w:cs="SimSun"/>
          <w:b w:val="0"/>
          <w:bCs w:val="0"/>
          <w:sz w:val="22"/>
          <w:szCs w:val="22"/>
        </w:rPr>
        <w:t>指标12衡量的是从有资格接受特殊教育服务和3岁生日时有资格接受个性化教育计划(IEP)</w:t>
      </w:r>
      <w:proofErr w:type="spellStart"/>
      <w:r w:rsidRPr="121852DC">
        <w:rPr>
          <w:rFonts w:ascii="SimSun" w:eastAsia="SimSun" w:hAnsi="SimSun" w:cs="SimSun"/>
          <w:b w:val="0"/>
          <w:bCs w:val="0"/>
          <w:sz w:val="22"/>
          <w:szCs w:val="22"/>
        </w:rPr>
        <w:t>的儿童转介的百分比</w:t>
      </w:r>
      <w:proofErr w:type="spellEnd"/>
      <w:r w:rsidRPr="121852DC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01FD7475" w14:textId="40FD394B" w:rsidR="00236858" w:rsidRDefault="00162034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t>指标12为何重要？</w:t>
      </w:r>
    </w:p>
    <w:p w14:paraId="6DD2434B" w14:textId="20B8046E" w:rsidR="00970677" w:rsidRPr="00970677" w:rsidRDefault="00162034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</w:rPr>
      </w:pPr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指标12是麻萨诸塞州确保学校和学区遵守《残疾人法案》(IDEA)规定（</w:t>
      </w:r>
      <w:hyperlink r:id="rId8" w:history="1">
        <w:r w:rsidRPr="00970677">
          <w:rPr>
            <w:rStyle w:val="Hyperlink"/>
            <w:rFonts w:ascii="SimSun" w:eastAsia="SimSun" w:hAnsi="SimSun" w:cs="SimSun"/>
            <w:b w:val="0"/>
            <w:bCs w:val="0"/>
            <w:sz w:val="22"/>
            <w:szCs w:val="22"/>
          </w:rPr>
          <w:t>34 CFR 300.124</w:t>
        </w:r>
      </w:hyperlink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和</w:t>
      </w:r>
      <w:hyperlink r:id="rId9" w:history="1">
        <w:r w:rsidRPr="00970677">
          <w:rPr>
            <w:rStyle w:val="Hyperlink"/>
            <w:rFonts w:ascii="SimSun" w:eastAsia="SimSun" w:hAnsi="SimSun" w:cs="SimSun"/>
            <w:b w:val="0"/>
            <w:bCs w:val="0"/>
            <w:sz w:val="22"/>
            <w:szCs w:val="22"/>
          </w:rPr>
          <w:t>34 CFR 300.323</w:t>
        </w:r>
      </w:hyperlink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）和麻萨诸塞州特殊教育规定（</w:t>
      </w:r>
      <w:hyperlink r:id="rId10" w:history="1">
        <w:r w:rsidRPr="00970677">
          <w:rPr>
            <w:rStyle w:val="Hyperlink"/>
            <w:rFonts w:ascii="SimSun" w:eastAsia="SimSun" w:hAnsi="SimSun" w:cs="SimSun"/>
            <w:b w:val="0"/>
            <w:bCs w:val="0"/>
            <w:sz w:val="22"/>
            <w:szCs w:val="22"/>
          </w:rPr>
          <w:t>603 CMR 28:04 - 28:06</w:t>
        </w:r>
      </w:hyperlink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）的一种方式，用于将儿童从早期干预（出生到3岁）过渡到特殊教育（3-22岁）。</w:t>
      </w:r>
    </w:p>
    <w:p w14:paraId="366C7E58" w14:textId="77777777" w:rsidR="00970677" w:rsidRPr="00970677" w:rsidRDefault="00162034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</w:rPr>
      </w:pPr>
      <w:proofErr w:type="spellStart"/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该指标确保对儿童进行及时评估，使那些认定的符合条件的儿童得到所需服务和支持，而不产生不必要的延误</w:t>
      </w:r>
      <w:proofErr w:type="spellEnd"/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7B37D799" w14:textId="3D22982D" w:rsidR="00970677" w:rsidRPr="00970677" w:rsidRDefault="00162034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</w:rPr>
      </w:pPr>
      <w:proofErr w:type="spellStart"/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如果儿童不按照法律规定的时间接受评估和IEP服务，这可能会延误或拒绝儿童接受</w:t>
      </w:r>
      <w:hyperlink r:id="rId11" w:history="1">
        <w:r w:rsidRPr="00970677">
          <w:rPr>
            <w:rStyle w:val="Hyperlink"/>
            <w:rFonts w:ascii="SimSun" w:eastAsia="SimSun" w:hAnsi="SimSun" w:cs="SimSun"/>
            <w:b w:val="0"/>
            <w:bCs w:val="0"/>
            <w:sz w:val="22"/>
            <w:szCs w:val="22"/>
          </w:rPr>
          <w:t>免费和适当公共教育</w:t>
        </w:r>
        <w:proofErr w:type="spellEnd"/>
      </w:hyperlink>
      <w:r w:rsidRPr="00970677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542F9F7F" w14:textId="77777777" w:rsidR="00356104" w:rsidRDefault="00162034" w:rsidP="00744284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 w:rsidRPr="00356104">
        <w:rPr>
          <w:rFonts w:ascii="SimSun" w:eastAsia="SimSun" w:hAnsi="SimSun" w:cs="SimSun"/>
          <w:b w:val="0"/>
          <w:bCs w:val="0"/>
          <w:color w:val="0C7580"/>
          <w:spacing w:val="12"/>
        </w:rPr>
        <w:t>如何搜集指标12的数据？</w:t>
      </w:r>
    </w:p>
    <w:p w14:paraId="0D5B44FA" w14:textId="77777777" w:rsidR="00356104" w:rsidRPr="00356104" w:rsidRDefault="00162034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指标12的数据来自学区提交给中小学教育部（DESE）的信息。</w:t>
      </w:r>
    </w:p>
    <w:p w14:paraId="0171EA5D" w14:textId="77777777" w:rsidR="00356104" w:rsidRPr="00356104" w:rsidRDefault="00162034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信息包括</w:t>
      </w:r>
      <w:proofErr w:type="spellEnd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：</w:t>
      </w:r>
    </w:p>
    <w:p w14:paraId="0A38A677" w14:textId="77777777" w:rsidR="00356104" w:rsidRPr="00356104" w:rsidRDefault="0016203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学区收到早期干预转介的日期</w:t>
      </w:r>
      <w:proofErr w:type="spellEnd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3A56CAF2" w14:textId="77777777" w:rsidR="00356104" w:rsidRPr="00356104" w:rsidRDefault="0016203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家长同意初步评估的日期</w:t>
      </w:r>
      <w:proofErr w:type="spellEnd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2EB46F3C" w14:textId="77777777" w:rsidR="00356104" w:rsidRPr="00356104" w:rsidRDefault="0016203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小组会议的日期</w:t>
      </w:r>
      <w:proofErr w:type="spellEnd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5B1C0D56" w14:textId="77777777" w:rsidR="00356104" w:rsidRPr="00356104" w:rsidRDefault="0016203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学生是否有资格接受服务</w:t>
      </w:r>
      <w:proofErr w:type="spellEnd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5E389374" w14:textId="77777777" w:rsidR="00356104" w:rsidRPr="00356104" w:rsidRDefault="0016203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延误的原因</w:t>
      </w:r>
      <w:proofErr w:type="spellEnd"/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3B7DA29B" w14:textId="77777777" w:rsidR="00356104" w:rsidRPr="00356104" w:rsidRDefault="00162034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 w:rsidRPr="00356104">
        <w:rPr>
          <w:rFonts w:ascii="SimSun" w:eastAsia="SimSun" w:hAnsi="SimSun" w:cs="SimSun"/>
          <w:b w:val="0"/>
          <w:bCs w:val="0"/>
          <w:sz w:val="22"/>
          <w:szCs w:val="22"/>
        </w:rPr>
        <w:t>DESE审查提交的信息以便确定指标12的符合性。</w:t>
      </w:r>
    </w:p>
    <w:p w14:paraId="6EE862F8" w14:textId="77777777" w:rsidR="002921FD" w:rsidRDefault="00162034" w:rsidP="3E1C1D88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Segoe UI" w:hAnsi="Segoe UI" w:cs="Segoe UI"/>
          <w:color w:val="0C7580"/>
          <w:spacing w:val="12"/>
        </w:rPr>
      </w:pPr>
      <w:r w:rsidRPr="002921FD">
        <w:rPr>
          <w:rFonts w:ascii="SimSun" w:eastAsia="SimSun" w:hAnsi="SimSun" w:cs="SimSun"/>
          <w:b w:val="0"/>
          <w:color w:val="0C7580"/>
          <w:spacing w:val="12"/>
        </w:rPr>
        <w:t>怎样计算指标12？</w:t>
      </w:r>
    </w:p>
    <w:p w14:paraId="2F38F83A" w14:textId="77777777" w:rsidR="002921FD" w:rsidRPr="002921FD" w:rsidRDefault="00162034" w:rsidP="002921FD">
      <w:pPr>
        <w:pStyle w:val="Heading2"/>
        <w:shd w:val="clear" w:color="auto" w:fill="FFFFFF"/>
        <w:rPr>
          <w:rFonts w:ascii="Segoe UI" w:hAnsi="Segoe UI" w:cs="Segoe UI"/>
          <w:b w:val="0"/>
          <w:bCs w:val="0"/>
          <w:sz w:val="22"/>
          <w:szCs w:val="22"/>
        </w:rPr>
      </w:pPr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使用以下各项衡量指标12：</w:t>
      </w:r>
    </w:p>
    <w:p w14:paraId="3797864A" w14:textId="77777777" w:rsidR="002921FD" w:rsidRPr="002921FD" w:rsidRDefault="00162034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接受早期干预和转介至特殊教育的儿童人数</w:t>
      </w:r>
      <w:proofErr w:type="spellEnd"/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4B0787B8" w14:textId="77777777" w:rsidR="002921FD" w:rsidRPr="002921FD" w:rsidRDefault="00162034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proofErr w:type="spellStart"/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转介和确定不符合要求的儿童人数</w:t>
      </w:r>
      <w:proofErr w:type="spellEnd"/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7AEE7894" w14:textId="6B828D20" w:rsidR="002921FD" w:rsidRPr="002921FD" w:rsidRDefault="00162034" w:rsidP="121852DC">
      <w:pPr>
        <w:pStyle w:val="Heading2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 w:rsidRPr="121852DC">
        <w:rPr>
          <w:rFonts w:ascii="SimSun" w:eastAsia="SimSun" w:hAnsi="SimSun" w:cs="SimSun"/>
          <w:b w:val="0"/>
          <w:bCs w:val="0"/>
          <w:sz w:val="22"/>
          <w:szCs w:val="22"/>
        </w:rPr>
        <w:t>3岁生日有资格接受IEP的儿童人数。</w:t>
      </w:r>
    </w:p>
    <w:p w14:paraId="2994C4B2" w14:textId="77777777" w:rsidR="002921FD" w:rsidRPr="002921FD" w:rsidRDefault="00162034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因家长拒绝提供同意书而导致评估或服务延误或根据34 CFR§300.301(d)</w:t>
      </w:r>
      <w:proofErr w:type="spellStart"/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适用允许存在例外情况的儿童数量</w:t>
      </w:r>
      <w:proofErr w:type="spellEnd"/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。</w:t>
      </w:r>
    </w:p>
    <w:p w14:paraId="4E8C1C8F" w14:textId="77777777" w:rsidR="002921FD" w:rsidRPr="002921FD" w:rsidRDefault="00162034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</w:rPr>
      </w:pPr>
      <w:r w:rsidRPr="002921FD">
        <w:rPr>
          <w:rFonts w:ascii="SimSun" w:eastAsia="SimSun" w:hAnsi="SimSun" w:cs="SimSun"/>
          <w:b w:val="0"/>
          <w:bCs w:val="0"/>
          <w:sz w:val="22"/>
          <w:szCs w:val="22"/>
        </w:rPr>
        <w:t>确定有资格接受早期干预服务的距3岁生日不到90天的儿童人数</w:t>
      </w:r>
    </w:p>
    <w:p w14:paraId="6A6F5EB9" w14:textId="08F8DEE8" w:rsidR="00236858" w:rsidRDefault="00162034" w:rsidP="7ECB79DE">
      <w:pPr>
        <w:pStyle w:val="Heading2"/>
        <w:shd w:val="clear" w:color="auto" w:fill="FFFFFF" w:themeFill="background1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lastRenderedPageBreak/>
        <w:t>指标12数据</w:t>
      </w:r>
    </w:p>
    <w:p w14:paraId="21738A8F" w14:textId="4CCB5E54" w:rsidR="7ECB79DE" w:rsidRDefault="00162034" w:rsidP="3E1C1D88">
      <w:pPr>
        <w:spacing w:beforeAutospacing="1" w:afterAutospacing="1" w:line="240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3E1C1D88">
        <w:rPr>
          <w:rStyle w:val="normaltextrun"/>
          <w:rFonts w:ascii="SimSun" w:eastAsia="SimSun" w:hAnsi="SimSun" w:cs="SimSun"/>
          <w:color w:val="000000" w:themeColor="text1"/>
        </w:rPr>
        <w:t>由于这是衡量符合性，因此，联邦政府要求符合性目标达到100%。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584"/>
        <w:gridCol w:w="1584"/>
        <w:gridCol w:w="1585"/>
        <w:gridCol w:w="1585"/>
        <w:gridCol w:w="1585"/>
      </w:tblGrid>
      <w:tr w:rsidR="00056153" w14:paraId="5888509E" w14:textId="77777777" w:rsidTr="00AA7280">
        <w:tc>
          <w:tcPr>
            <w:tcW w:w="1427" w:type="dxa"/>
            <w:shd w:val="clear" w:color="auto" w:fill="D9E2F3" w:themeFill="accent1" w:themeFillTint="33"/>
          </w:tcPr>
          <w:p w14:paraId="74449690" w14:textId="2EFCFAA7" w:rsidR="00AD4C05" w:rsidRPr="009073D3" w:rsidRDefault="00162034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spellStart"/>
            <w:r>
              <w:rPr>
                <w:rFonts w:ascii="SimSun" w:eastAsia="SimSun" w:hAnsi="SimSun" w:cs="SimSun"/>
                <w:b/>
                <w:bCs/>
              </w:rPr>
              <w:t>学年</w:t>
            </w:r>
            <w:proofErr w:type="spellEnd"/>
          </w:p>
        </w:tc>
        <w:tc>
          <w:tcPr>
            <w:tcW w:w="1584" w:type="dxa"/>
            <w:vAlign w:val="center"/>
          </w:tcPr>
          <w:p w14:paraId="65ADAF42" w14:textId="2B36E6E5" w:rsidR="00AD4C05" w:rsidRPr="009073D3" w:rsidRDefault="00162034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073D3">
              <w:rPr>
                <w:rFonts w:ascii="SimSun" w:eastAsia="SimSun" w:hAnsi="SimSun" w:cs="SimSun"/>
                <w:b/>
                <w:bCs/>
              </w:rPr>
              <w:t>2016-17</w:t>
            </w:r>
          </w:p>
        </w:tc>
        <w:tc>
          <w:tcPr>
            <w:tcW w:w="1584" w:type="dxa"/>
            <w:vAlign w:val="center"/>
          </w:tcPr>
          <w:p w14:paraId="53295B3B" w14:textId="61D3FB30" w:rsidR="00AD4C05" w:rsidRPr="009073D3" w:rsidRDefault="00162034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073D3">
              <w:rPr>
                <w:rFonts w:ascii="SimSun" w:eastAsia="SimSun" w:hAnsi="SimSun" w:cs="SimSun"/>
                <w:b/>
                <w:bCs/>
              </w:rPr>
              <w:t>2017-18</w:t>
            </w:r>
          </w:p>
        </w:tc>
        <w:tc>
          <w:tcPr>
            <w:tcW w:w="1585" w:type="dxa"/>
            <w:vAlign w:val="center"/>
          </w:tcPr>
          <w:p w14:paraId="749DC19E" w14:textId="5A2DF28C" w:rsidR="00AD4C05" w:rsidRPr="009073D3" w:rsidRDefault="00162034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073D3">
              <w:rPr>
                <w:rFonts w:ascii="SimSun" w:eastAsia="SimSun" w:hAnsi="SimSun" w:cs="SimSun"/>
                <w:b/>
                <w:bCs/>
              </w:rPr>
              <w:t>2018-19</w:t>
            </w:r>
          </w:p>
        </w:tc>
        <w:tc>
          <w:tcPr>
            <w:tcW w:w="1585" w:type="dxa"/>
            <w:vAlign w:val="center"/>
          </w:tcPr>
          <w:p w14:paraId="6319CCC6" w14:textId="10E80B5F" w:rsidR="00AD4C05" w:rsidRPr="009073D3" w:rsidRDefault="00162034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073D3">
              <w:rPr>
                <w:rFonts w:ascii="SimSun" w:eastAsia="SimSun" w:hAnsi="SimSun" w:cs="SimSun"/>
                <w:b/>
                <w:bCs/>
              </w:rPr>
              <w:t>2019-20</w:t>
            </w:r>
          </w:p>
        </w:tc>
        <w:tc>
          <w:tcPr>
            <w:tcW w:w="1585" w:type="dxa"/>
            <w:vAlign w:val="center"/>
          </w:tcPr>
          <w:p w14:paraId="6FD1A3DD" w14:textId="4863DCD4" w:rsidR="00AD4C05" w:rsidRPr="009073D3" w:rsidRDefault="00162034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073D3">
              <w:rPr>
                <w:rFonts w:ascii="SimSun" w:eastAsia="SimSun" w:hAnsi="SimSun" w:cs="SimSun"/>
                <w:b/>
                <w:bCs/>
              </w:rPr>
              <w:t xml:space="preserve">2020—2021 </w:t>
            </w:r>
          </w:p>
        </w:tc>
      </w:tr>
      <w:tr w:rsidR="00056153" w14:paraId="5529D65E" w14:textId="77777777" w:rsidTr="00AA7280">
        <w:tc>
          <w:tcPr>
            <w:tcW w:w="1427" w:type="dxa"/>
            <w:shd w:val="clear" w:color="auto" w:fill="D9E2F3" w:themeFill="accent1" w:themeFillTint="33"/>
          </w:tcPr>
          <w:p w14:paraId="0B6B6C6D" w14:textId="27EA8934" w:rsidR="00AD4C05" w:rsidRPr="00AD4C05" w:rsidRDefault="00162034" w:rsidP="009073D3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spellStart"/>
            <w:r w:rsidRPr="00AD4C05">
              <w:rPr>
                <w:rFonts w:ascii="SimSun" w:eastAsia="SimSun" w:hAnsi="SimSun" w:cs="SimSun"/>
                <w:b/>
                <w:bCs/>
              </w:rPr>
              <w:t>全州符合性百分比</w:t>
            </w:r>
            <w:proofErr w:type="spellEnd"/>
          </w:p>
        </w:tc>
        <w:tc>
          <w:tcPr>
            <w:tcW w:w="1584" w:type="dxa"/>
            <w:vAlign w:val="center"/>
          </w:tcPr>
          <w:p w14:paraId="008996A4" w14:textId="4090BB3A" w:rsidR="00AD4C05" w:rsidRPr="009073D3" w:rsidRDefault="00162034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imSun" w:eastAsia="SimSun" w:hAnsi="SimSun" w:cs="SimSun"/>
              </w:rPr>
              <w:t>99.17%</w:t>
            </w:r>
          </w:p>
        </w:tc>
        <w:tc>
          <w:tcPr>
            <w:tcW w:w="1584" w:type="dxa"/>
            <w:vAlign w:val="center"/>
          </w:tcPr>
          <w:p w14:paraId="3964D1DE" w14:textId="195B8CC8" w:rsidR="00AD4C05" w:rsidRPr="009073D3" w:rsidRDefault="00162034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imSun" w:eastAsia="SimSun" w:hAnsi="SimSun" w:cs="SimSun"/>
              </w:rPr>
              <w:t>92.12%</w:t>
            </w:r>
          </w:p>
        </w:tc>
        <w:tc>
          <w:tcPr>
            <w:tcW w:w="1585" w:type="dxa"/>
            <w:vAlign w:val="center"/>
          </w:tcPr>
          <w:p w14:paraId="6BD405A4" w14:textId="6E31A2A2" w:rsidR="00AD4C05" w:rsidRPr="009073D3" w:rsidRDefault="00162034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imSun" w:eastAsia="SimSun" w:hAnsi="SimSun" w:cs="SimSun"/>
              </w:rPr>
              <w:t>82.93%</w:t>
            </w:r>
          </w:p>
        </w:tc>
        <w:tc>
          <w:tcPr>
            <w:tcW w:w="1585" w:type="dxa"/>
            <w:vAlign w:val="center"/>
          </w:tcPr>
          <w:p w14:paraId="3FE961A2" w14:textId="4027D410" w:rsidR="00AD4C05" w:rsidRPr="009073D3" w:rsidRDefault="00162034" w:rsidP="009073D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imSun" w:eastAsia="SimSun" w:hAnsi="SimSun" w:cs="SimSun"/>
              </w:rPr>
              <w:t>72.45%</w:t>
            </w:r>
          </w:p>
        </w:tc>
        <w:tc>
          <w:tcPr>
            <w:tcW w:w="1585" w:type="dxa"/>
            <w:vAlign w:val="center"/>
          </w:tcPr>
          <w:p w14:paraId="775363D5" w14:textId="0F4FA73E" w:rsidR="00AD4C05" w:rsidRPr="009073D3" w:rsidRDefault="00162034" w:rsidP="008C368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imSun" w:eastAsia="SimSun" w:hAnsi="SimSun" w:cs="SimSun"/>
              </w:rPr>
              <w:t>57.58%</w:t>
            </w:r>
          </w:p>
        </w:tc>
      </w:tr>
    </w:tbl>
    <w:p w14:paraId="600DA4BD" w14:textId="0675C320" w:rsidR="00236858" w:rsidRDefault="00236858" w:rsidP="008C3689"/>
    <w:p w14:paraId="25D6FED1" w14:textId="0D40B5CE" w:rsidR="00236858" w:rsidRDefault="00162034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imSun" w:eastAsia="SimSun" w:hAnsi="SimSun" w:cs="SimSun"/>
          <w:b w:val="0"/>
          <w:bCs w:val="0"/>
          <w:color w:val="0C7580"/>
          <w:spacing w:val="12"/>
        </w:rPr>
        <w:t>了解指标12相关更多信息：</w:t>
      </w:r>
    </w:p>
    <w:p w14:paraId="237246DD" w14:textId="3B066A89" w:rsidR="00236858" w:rsidRDefault="009017AF" w:rsidP="001661D8">
      <w:pPr>
        <w:rPr>
          <w:rFonts w:ascii="Segoe UI" w:hAnsi="Segoe UI" w:cs="Segoe UI"/>
          <w:i/>
          <w:iCs/>
        </w:rPr>
      </w:pPr>
      <w:hyperlink r:id="rId12" w:history="1">
        <w:r w:rsidR="00162034" w:rsidRPr="009017AF">
          <w:rPr>
            <w:rStyle w:val="Hyperlink"/>
            <w:rFonts w:ascii="SimSun" w:eastAsia="SimSun" w:hAnsi="SimSun" w:cs="SimSun"/>
            <w:i/>
            <w:iCs/>
          </w:rPr>
          <w:t>指标12 PowerPoint</w:t>
        </w:r>
      </w:hyperlink>
    </w:p>
    <w:p w14:paraId="27EE60A0" w14:textId="0560FDD4" w:rsidR="00E91AC1" w:rsidRPr="00E91AC1" w:rsidRDefault="00162034" w:rsidP="001661D8">
      <w:pPr>
        <w:rPr>
          <w:rFonts w:ascii="Segoe UI" w:hAnsi="Segoe UI" w:cs="Segoe UI"/>
        </w:rPr>
      </w:pPr>
      <w:proofErr w:type="spellStart"/>
      <w:r w:rsidRPr="121852DC">
        <w:rPr>
          <w:rFonts w:ascii="SimSun" w:eastAsia="SimSun" w:hAnsi="SimSun" w:cs="SimSun"/>
        </w:rPr>
        <w:t>其他资源</w:t>
      </w:r>
      <w:proofErr w:type="spellEnd"/>
      <w:r w:rsidRPr="121852DC">
        <w:rPr>
          <w:rFonts w:ascii="SimSun" w:eastAsia="SimSun" w:hAnsi="SimSun" w:cs="SimSun"/>
        </w:rPr>
        <w:t>：</w:t>
      </w:r>
    </w:p>
    <w:p w14:paraId="794E680A" w14:textId="74DC8446" w:rsidR="121852DC" w:rsidRDefault="00162034" w:rsidP="00402375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</w:pPr>
      <w:proofErr w:type="spellStart"/>
      <w:r w:rsidRPr="121852DC">
        <w:rPr>
          <w:rFonts w:ascii="SimSun" w:eastAsia="SimSun" w:hAnsi="SimSun" w:cs="SimSun"/>
        </w:rPr>
        <w:t>规定和法规综述</w:t>
      </w:r>
      <w:proofErr w:type="spellEnd"/>
    </w:p>
    <w:p w14:paraId="28587B31" w14:textId="4C6E407E" w:rsidR="00A326F8" w:rsidRDefault="00414C4A" w:rsidP="00A326F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13" w:history="1">
        <w:proofErr w:type="spellStart"/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>ECTA中心：从C部分转衔到幼儿园的联邦要求</w:t>
        </w:r>
        <w:proofErr w:type="spellEnd"/>
      </w:hyperlink>
    </w:p>
    <w:p w14:paraId="4EE446E7" w14:textId="11D2136D" w:rsidR="121852DC" w:rsidRDefault="00162034" w:rsidP="00A326F8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</w:pPr>
      <w:r w:rsidRPr="121852DC">
        <w:rPr>
          <w:rFonts w:ascii="SimSun" w:eastAsia="SimSun" w:hAnsi="SimSun" w:cs="SimSun"/>
        </w:rPr>
        <w:t>确保在3岁生日时开始服务的时间表</w:t>
      </w:r>
    </w:p>
    <w:p w14:paraId="489D2B82" w14:textId="1DF452A6" w:rsidR="00F80A2C" w:rsidRDefault="00414C4A" w:rsidP="00F80A2C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</w:pPr>
      <w:hyperlink r:id="rId14" w:anchor="citem_f301-6c4a" w:history="1">
        <w:proofErr w:type="spellStart"/>
        <w:r w:rsidR="00162034" w:rsidRPr="00F80A2C">
          <w:rPr>
            <w:rStyle w:val="Hyperlink"/>
            <w:rFonts w:ascii="SimSun" w:eastAsia="SimSun" w:hAnsi="SimSun" w:cs="SimSun"/>
          </w:rPr>
          <w:t>OSERS重返学校路线图：根据《残疾人教育法案》B部分儿童发现</w:t>
        </w:r>
        <w:proofErr w:type="spellEnd"/>
      </w:hyperlink>
    </w:p>
    <w:p w14:paraId="038C2EE1" w14:textId="0DFB602B" w:rsidR="00640DE0" w:rsidRPr="00640DE0" w:rsidRDefault="00162034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proofErr w:type="spellStart"/>
      <w:r>
        <w:rPr>
          <w:rFonts w:ascii="SimSun" w:eastAsia="SimSun" w:hAnsi="SimSun" w:cs="SimSun"/>
        </w:rPr>
        <w:t>麻萨诸塞州中小学教育部</w:t>
      </w:r>
      <w:proofErr w:type="spellEnd"/>
      <w:r>
        <w:rPr>
          <w:rFonts w:ascii="SimSun" w:eastAsia="SimSun" w:hAnsi="SimSun" w:cs="SimSun"/>
        </w:rPr>
        <w:t xml:space="preserve">- </w:t>
      </w:r>
      <w:hyperlink r:id="rId15" w:history="1">
        <w:proofErr w:type="spellStart"/>
        <w:r w:rsidRPr="000E5DF6">
          <w:rPr>
            <w:rStyle w:val="Hyperlink"/>
            <w:rFonts w:ascii="SimSun" w:eastAsia="SimSun" w:hAnsi="SimSun" w:cs="SimSun"/>
          </w:rPr>
          <w:t>儿童发现资源</w:t>
        </w:r>
        <w:proofErr w:type="spellEnd"/>
      </w:hyperlink>
    </w:p>
    <w:p w14:paraId="37B2779B" w14:textId="7362BD1F" w:rsidR="00640DE0" w:rsidRPr="00640DE0" w:rsidRDefault="00414C4A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16" w:history="1">
        <w:r w:rsidR="00A326F8" w:rsidRPr="00640DE0">
          <w:rPr>
            <w:rStyle w:val="Hyperlink"/>
            <w:rFonts w:ascii="SimSun" w:eastAsia="SimSun" w:hAnsi="SimSun" w:cs="SimSun"/>
            <w:sz w:val="24"/>
            <w:szCs w:val="24"/>
          </w:rPr>
          <w:t>技术援助咨询SPED2019-1：从早期干预计划过渡到幼儿特殊教育-特殊教育（mass.edu）</w:t>
        </w:r>
      </w:hyperlink>
    </w:p>
    <w:p w14:paraId="3208BDE2" w14:textId="15AA26BD" w:rsidR="00640DE0" w:rsidRPr="00640DE0" w:rsidRDefault="00414C4A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17" w:history="1">
        <w:proofErr w:type="spellStart"/>
        <w:r w:rsidR="00A326F8" w:rsidRPr="00640DE0">
          <w:rPr>
            <w:rStyle w:val="Hyperlink"/>
            <w:rFonts w:ascii="SimSun" w:eastAsia="SimSun" w:hAnsi="SimSun" w:cs="SimSun"/>
            <w:sz w:val="24"/>
            <w:szCs w:val="24"/>
          </w:rPr>
          <w:t>较晚转介至C部分的C部分和B部分过渡要求</w:t>
        </w:r>
        <w:proofErr w:type="spellEnd"/>
      </w:hyperlink>
    </w:p>
    <w:p w14:paraId="2FDAAD1B" w14:textId="03303850" w:rsidR="00640DE0" w:rsidRPr="00640DE0" w:rsidRDefault="00414C4A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18" w:history="1">
        <w:r w:rsidR="00A326F8" w:rsidRPr="00640DE0">
          <w:rPr>
            <w:rStyle w:val="Hyperlink"/>
            <w:rFonts w:ascii="SimSun" w:eastAsia="SimSun" w:hAnsi="SimSun" w:cs="SimSun"/>
            <w:sz w:val="24"/>
            <w:szCs w:val="24"/>
          </w:rPr>
          <w:t>Timeline_for_late_referral_accessible_version_2018-09-17.pdf (ectacenter.org)</w:t>
        </w:r>
      </w:hyperlink>
    </w:p>
    <w:p w14:paraId="53FE62B3" w14:textId="18D91EB9" w:rsidR="00A326F8" w:rsidRPr="00640DE0" w:rsidRDefault="00414C4A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</w:pPr>
      <w:hyperlink r:id="rId19" w:history="1">
        <w:proofErr w:type="spellStart"/>
        <w:r w:rsidR="00162034" w:rsidRPr="00640DE0">
          <w:rPr>
            <w:rStyle w:val="Hyperlink"/>
            <w:rFonts w:ascii="SimSun" w:eastAsia="SimSun" w:hAnsi="SimSun" w:cs="SimSun"/>
            <w:sz w:val="24"/>
            <w:szCs w:val="24"/>
          </w:rPr>
          <w:t>Transition_Timeline_Flow_Chart_Final</w:t>
        </w:r>
        <w:proofErr w:type="spellEnd"/>
        <w:r w:rsidR="00162034" w:rsidRPr="00640DE0">
          <w:rPr>
            <w:rStyle w:val="Hyperlink"/>
            <w:rFonts w:ascii="SimSun" w:eastAsia="SimSun" w:hAnsi="SimSun" w:cs="SimSun"/>
            <w:sz w:val="24"/>
            <w:szCs w:val="24"/>
          </w:rPr>
          <w:t xml:space="preserve"> OSEP approved 10_8_12 (ectacenter.org)</w:t>
        </w:r>
      </w:hyperlink>
    </w:p>
    <w:p w14:paraId="786F9B3D" w14:textId="13CF9477" w:rsidR="00473C34" w:rsidRDefault="00162034" w:rsidP="00473C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ascii="SimSun" w:eastAsia="SimSun" w:hAnsi="SimSun" w:cs="SimSun"/>
          <w:color w:val="000000"/>
          <w:sz w:val="24"/>
          <w:szCs w:val="24"/>
        </w:rPr>
        <w:t>LEAs和EI提供者的策略和资源</w:t>
      </w:r>
      <w:proofErr w:type="spellEnd"/>
    </w:p>
    <w:p w14:paraId="02B0DF89" w14:textId="4144C069" w:rsidR="002F4F2C" w:rsidRDefault="00414C4A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0" w:history="1"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>构成（ectacenter.org）</w:t>
        </w:r>
      </w:hyperlink>
    </w:p>
    <w:p w14:paraId="567C37CD" w14:textId="6966AD9F" w:rsidR="002F4F2C" w:rsidRDefault="00414C4A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1" w:history="1"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>从早期干预服务过渡到B部分学前特殊教育的清单（ectacenter.org）</w:t>
        </w:r>
      </w:hyperlink>
    </w:p>
    <w:p w14:paraId="17AF73BF" w14:textId="0EDA6404" w:rsidR="002F4F2C" w:rsidRDefault="00414C4A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2" w:history="1">
        <w:proofErr w:type="spellStart"/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>您的孩子从早期干预转介到学前特殊教育服务</w:t>
        </w:r>
        <w:proofErr w:type="spellEnd"/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>(ectacenter.org)</w:t>
        </w:r>
      </w:hyperlink>
    </w:p>
    <w:p w14:paraId="40F831D7" w14:textId="3DA1DE4D" w:rsidR="002F4F2C" w:rsidRPr="00D104D2" w:rsidRDefault="00162034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eastAsia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rFonts w:ascii="SimSun" w:eastAsia="SimSun" w:hAnsi="SimSun" w:cs="SimSun"/>
          <w:sz w:val="24"/>
          <w:szCs w:val="24"/>
        </w:rPr>
        <w:instrText xml:space="preserve"> HYPERLINK "https://connectmodules.dec-sped.org/connect-modules/resources/videos/foundations-of-transition/" </w:instrText>
      </w:r>
      <w:r>
        <w:rPr>
          <w:sz w:val="24"/>
          <w:szCs w:val="24"/>
        </w:rPr>
        <w:fldChar w:fldCharType="separate"/>
      </w:r>
      <w:r w:rsidRPr="00D104D2">
        <w:rPr>
          <w:rStyle w:val="Hyperlink"/>
          <w:rFonts w:ascii="SimSun" w:eastAsia="SimSun" w:hAnsi="SimSun" w:cs="SimSun"/>
          <w:sz w:val="24"/>
          <w:szCs w:val="24"/>
        </w:rPr>
        <w:t>幼儿过渡基础-连接模块（dec-sped.org）</w:t>
      </w:r>
    </w:p>
    <w:p w14:paraId="0C9CDB94" w14:textId="5A848A49" w:rsidR="002F4F2C" w:rsidRDefault="00162034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fldChar w:fldCharType="end"/>
      </w:r>
      <w:hyperlink r:id="rId23" w:history="1">
        <w:r>
          <w:rPr>
            <w:rStyle w:val="Hyperlink"/>
            <w:rFonts w:ascii="SimSun" w:eastAsia="SimSun" w:hAnsi="SimSun" w:cs="SimSun"/>
            <w:sz w:val="24"/>
            <w:szCs w:val="24"/>
          </w:rPr>
          <w:t>从早期干预过渡到学前特殊教育服务（ectacenter.org）</w:t>
        </w:r>
      </w:hyperlink>
    </w:p>
    <w:p w14:paraId="78A06167" w14:textId="4E1D453A" w:rsidR="002F4F2C" w:rsidRDefault="00414C4A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4" w:history="1">
        <w:proofErr w:type="spellStart"/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>ECTA中心：新冠肺炎疫情期间，从IDEA</w:t>
        </w:r>
        <w:proofErr w:type="spellEnd"/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 xml:space="preserve"> C部分过渡到B部分第619节</w:t>
        </w:r>
      </w:hyperlink>
    </w:p>
    <w:p w14:paraId="3BC5A5CD" w14:textId="13DDAA95" w:rsidR="002F4F2C" w:rsidRDefault="00414C4A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5" w:history="1">
        <w:r w:rsidR="00162034">
          <w:rPr>
            <w:rStyle w:val="Hyperlink"/>
            <w:rFonts w:ascii="SimSun" w:eastAsia="SimSun" w:hAnsi="SimSun" w:cs="SimSun"/>
            <w:sz w:val="24"/>
            <w:szCs w:val="24"/>
          </w:rPr>
          <w:t>transition-review-documentation.docx （live.com）</w:t>
        </w:r>
      </w:hyperlink>
    </w:p>
    <w:p w14:paraId="28768D34" w14:textId="2ECE1DED" w:rsidR="002F4F2C" w:rsidRPr="003657A1" w:rsidRDefault="00162034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eastAsia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rFonts w:ascii="SimSun" w:eastAsia="SimSun" w:hAnsi="SimSun" w:cs="SimSun"/>
          <w:sz w:val="24"/>
          <w:szCs w:val="24"/>
        </w:rPr>
        <w:instrText xml:space="preserve"> HYPERLINK "https://ectacenter.org/topics/transition/stateex.asp" </w:instrText>
      </w:r>
      <w:r>
        <w:rPr>
          <w:sz w:val="24"/>
          <w:szCs w:val="24"/>
        </w:rPr>
        <w:fldChar w:fldCharType="separate"/>
      </w:r>
      <w:proofErr w:type="spellStart"/>
      <w:r w:rsidRPr="003657A1">
        <w:rPr>
          <w:rStyle w:val="Hyperlink"/>
          <w:rFonts w:ascii="SimSun" w:eastAsia="SimSun" w:hAnsi="SimSun" w:cs="SimSun"/>
          <w:sz w:val="24"/>
          <w:szCs w:val="24"/>
        </w:rPr>
        <w:t>ECTA中心：州过渡示例</w:t>
      </w:r>
      <w:proofErr w:type="spellEnd"/>
    </w:p>
    <w:p w14:paraId="3D6C9CB8" w14:textId="0A3F5430" w:rsidR="00E91AC1" w:rsidRPr="004F1058" w:rsidRDefault="00162034" w:rsidP="004F1058">
      <w:pPr>
        <w:pStyle w:val="ListParagraph"/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>
        <w:rPr>
          <w:sz w:val="24"/>
          <w:szCs w:val="24"/>
        </w:rPr>
        <w:fldChar w:fldCharType="end"/>
      </w:r>
      <w:hyperlink r:id="rId26" w:history="1">
        <w:proofErr w:type="spellStart"/>
        <w:r w:rsidRPr="004F1058">
          <w:rPr>
            <w:rStyle w:val="Hyperlink"/>
            <w:rFonts w:ascii="SimSun" w:eastAsia="SimSun" w:hAnsi="SimSun" w:cs="SimSun"/>
          </w:rPr>
          <w:t>麻萨诸塞州全州和学区特定指标数据</w:t>
        </w:r>
        <w:proofErr w:type="spellEnd"/>
      </w:hyperlink>
    </w:p>
    <w:p w14:paraId="0AC51CE2" w14:textId="77777777" w:rsidR="00E91AC1" w:rsidRPr="0068562A" w:rsidRDefault="00E91AC1" w:rsidP="00E91AC1">
      <w:pPr>
        <w:spacing w:after="0" w:line="240" w:lineRule="auto"/>
        <w:rPr>
          <w:rFonts w:ascii="Segoe UI" w:hAnsi="Segoe UI" w:cs="Segoe UI"/>
        </w:rPr>
      </w:pPr>
    </w:p>
    <w:p w14:paraId="495312FA" w14:textId="77777777" w:rsidR="00684052" w:rsidRDefault="00684052"/>
    <w:sectPr w:rsidR="0068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602"/>
    <w:multiLevelType w:val="hybridMultilevel"/>
    <w:tmpl w:val="0534F4E4"/>
    <w:lvl w:ilvl="0" w:tplc="5016D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C5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EE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8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03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E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4D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E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CF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46859"/>
    <w:multiLevelType w:val="hybridMultilevel"/>
    <w:tmpl w:val="E86CF3EA"/>
    <w:lvl w:ilvl="0" w:tplc="26D6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0C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42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6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24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A3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6F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CF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4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53381"/>
    <w:multiLevelType w:val="hybridMultilevel"/>
    <w:tmpl w:val="4D9A5D00"/>
    <w:lvl w:ilvl="0" w:tplc="11CE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4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8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C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4F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4A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62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A1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48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C31EBE"/>
    <w:multiLevelType w:val="hybridMultilevel"/>
    <w:tmpl w:val="3A6A412C"/>
    <w:lvl w:ilvl="0" w:tplc="BB205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83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C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E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62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09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40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6B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C6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643"/>
    <w:multiLevelType w:val="multilevel"/>
    <w:tmpl w:val="10DE8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E5FC0"/>
    <w:multiLevelType w:val="hybridMultilevel"/>
    <w:tmpl w:val="2EF4C424"/>
    <w:lvl w:ilvl="0" w:tplc="4C907DA4">
      <w:start w:val="1"/>
      <w:numFmt w:val="lowerLetter"/>
      <w:lvlText w:val="%1)"/>
      <w:lvlJc w:val="left"/>
      <w:pPr>
        <w:ind w:left="720" w:hanging="360"/>
      </w:pPr>
    </w:lvl>
    <w:lvl w:ilvl="1" w:tplc="5C769712" w:tentative="1">
      <w:start w:val="1"/>
      <w:numFmt w:val="lowerLetter"/>
      <w:lvlText w:val="%2."/>
      <w:lvlJc w:val="left"/>
      <w:pPr>
        <w:ind w:left="1440" w:hanging="360"/>
      </w:pPr>
    </w:lvl>
    <w:lvl w:ilvl="2" w:tplc="1CDA3D3E" w:tentative="1">
      <w:start w:val="1"/>
      <w:numFmt w:val="lowerRoman"/>
      <w:lvlText w:val="%3."/>
      <w:lvlJc w:val="right"/>
      <w:pPr>
        <w:ind w:left="2160" w:hanging="180"/>
      </w:pPr>
    </w:lvl>
    <w:lvl w:ilvl="3" w:tplc="EE2E1804" w:tentative="1">
      <w:start w:val="1"/>
      <w:numFmt w:val="decimal"/>
      <w:lvlText w:val="%4."/>
      <w:lvlJc w:val="left"/>
      <w:pPr>
        <w:ind w:left="2880" w:hanging="360"/>
      </w:pPr>
    </w:lvl>
    <w:lvl w:ilvl="4" w:tplc="97DA0C90" w:tentative="1">
      <w:start w:val="1"/>
      <w:numFmt w:val="lowerLetter"/>
      <w:lvlText w:val="%5."/>
      <w:lvlJc w:val="left"/>
      <w:pPr>
        <w:ind w:left="3600" w:hanging="360"/>
      </w:pPr>
    </w:lvl>
    <w:lvl w:ilvl="5" w:tplc="43A456B8" w:tentative="1">
      <w:start w:val="1"/>
      <w:numFmt w:val="lowerRoman"/>
      <w:lvlText w:val="%6."/>
      <w:lvlJc w:val="right"/>
      <w:pPr>
        <w:ind w:left="4320" w:hanging="180"/>
      </w:pPr>
    </w:lvl>
    <w:lvl w:ilvl="6" w:tplc="62E6A474" w:tentative="1">
      <w:start w:val="1"/>
      <w:numFmt w:val="decimal"/>
      <w:lvlText w:val="%7."/>
      <w:lvlJc w:val="left"/>
      <w:pPr>
        <w:ind w:left="5040" w:hanging="360"/>
      </w:pPr>
    </w:lvl>
    <w:lvl w:ilvl="7" w:tplc="7D988F64" w:tentative="1">
      <w:start w:val="1"/>
      <w:numFmt w:val="lowerLetter"/>
      <w:lvlText w:val="%8."/>
      <w:lvlJc w:val="left"/>
      <w:pPr>
        <w:ind w:left="5760" w:hanging="360"/>
      </w:pPr>
    </w:lvl>
    <w:lvl w:ilvl="8" w:tplc="7DA0E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B15"/>
    <w:multiLevelType w:val="hybridMultilevel"/>
    <w:tmpl w:val="C27A7804"/>
    <w:lvl w:ilvl="0" w:tplc="82C2D9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CB25458" w:tentative="1">
      <w:start w:val="1"/>
      <w:numFmt w:val="lowerLetter"/>
      <w:lvlText w:val="%2."/>
      <w:lvlJc w:val="left"/>
      <w:pPr>
        <w:ind w:left="1440" w:hanging="360"/>
      </w:pPr>
    </w:lvl>
    <w:lvl w:ilvl="2" w:tplc="0F4ADEA4" w:tentative="1">
      <w:start w:val="1"/>
      <w:numFmt w:val="lowerRoman"/>
      <w:lvlText w:val="%3."/>
      <w:lvlJc w:val="right"/>
      <w:pPr>
        <w:ind w:left="2160" w:hanging="180"/>
      </w:pPr>
    </w:lvl>
    <w:lvl w:ilvl="3" w:tplc="DB922332" w:tentative="1">
      <w:start w:val="1"/>
      <w:numFmt w:val="decimal"/>
      <w:lvlText w:val="%4."/>
      <w:lvlJc w:val="left"/>
      <w:pPr>
        <w:ind w:left="2880" w:hanging="360"/>
      </w:pPr>
    </w:lvl>
    <w:lvl w:ilvl="4" w:tplc="9F60C9F8" w:tentative="1">
      <w:start w:val="1"/>
      <w:numFmt w:val="lowerLetter"/>
      <w:lvlText w:val="%5."/>
      <w:lvlJc w:val="left"/>
      <w:pPr>
        <w:ind w:left="3600" w:hanging="360"/>
      </w:pPr>
    </w:lvl>
    <w:lvl w:ilvl="5" w:tplc="C510901E" w:tentative="1">
      <w:start w:val="1"/>
      <w:numFmt w:val="lowerRoman"/>
      <w:lvlText w:val="%6."/>
      <w:lvlJc w:val="right"/>
      <w:pPr>
        <w:ind w:left="4320" w:hanging="180"/>
      </w:pPr>
    </w:lvl>
    <w:lvl w:ilvl="6" w:tplc="4D50861E" w:tentative="1">
      <w:start w:val="1"/>
      <w:numFmt w:val="decimal"/>
      <w:lvlText w:val="%7."/>
      <w:lvlJc w:val="left"/>
      <w:pPr>
        <w:ind w:left="5040" w:hanging="360"/>
      </w:pPr>
    </w:lvl>
    <w:lvl w:ilvl="7" w:tplc="9E940648" w:tentative="1">
      <w:start w:val="1"/>
      <w:numFmt w:val="lowerLetter"/>
      <w:lvlText w:val="%8."/>
      <w:lvlJc w:val="left"/>
      <w:pPr>
        <w:ind w:left="5760" w:hanging="360"/>
      </w:pPr>
    </w:lvl>
    <w:lvl w:ilvl="8" w:tplc="597C6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30A"/>
    <w:multiLevelType w:val="hybridMultilevel"/>
    <w:tmpl w:val="EFA2C224"/>
    <w:lvl w:ilvl="0" w:tplc="9F420E18">
      <w:start w:val="1"/>
      <w:numFmt w:val="decimal"/>
      <w:lvlText w:val="%1."/>
      <w:lvlJc w:val="left"/>
      <w:pPr>
        <w:ind w:left="720" w:hanging="360"/>
      </w:pPr>
    </w:lvl>
    <w:lvl w:ilvl="1" w:tplc="F38002E6">
      <w:start w:val="1"/>
      <w:numFmt w:val="lowerLetter"/>
      <w:lvlText w:val="%2."/>
      <w:lvlJc w:val="left"/>
      <w:pPr>
        <w:ind w:left="1440" w:hanging="360"/>
      </w:pPr>
    </w:lvl>
    <w:lvl w:ilvl="2" w:tplc="AB126D48">
      <w:start w:val="1"/>
      <w:numFmt w:val="lowerRoman"/>
      <w:lvlText w:val="%3."/>
      <w:lvlJc w:val="right"/>
      <w:pPr>
        <w:ind w:left="2160" w:hanging="180"/>
      </w:pPr>
    </w:lvl>
    <w:lvl w:ilvl="3" w:tplc="CFF0A1C2">
      <w:start w:val="1"/>
      <w:numFmt w:val="decimal"/>
      <w:lvlText w:val="%4."/>
      <w:lvlJc w:val="left"/>
      <w:pPr>
        <w:ind w:left="2880" w:hanging="360"/>
      </w:pPr>
    </w:lvl>
    <w:lvl w:ilvl="4" w:tplc="3A7AD4E0">
      <w:start w:val="1"/>
      <w:numFmt w:val="lowerLetter"/>
      <w:lvlText w:val="%5."/>
      <w:lvlJc w:val="left"/>
      <w:pPr>
        <w:ind w:left="3600" w:hanging="360"/>
      </w:pPr>
    </w:lvl>
    <w:lvl w:ilvl="5" w:tplc="3558D20C">
      <w:start w:val="1"/>
      <w:numFmt w:val="lowerRoman"/>
      <w:lvlText w:val="%6."/>
      <w:lvlJc w:val="right"/>
      <w:pPr>
        <w:ind w:left="4320" w:hanging="180"/>
      </w:pPr>
    </w:lvl>
    <w:lvl w:ilvl="6" w:tplc="D7321F2E">
      <w:start w:val="1"/>
      <w:numFmt w:val="decimal"/>
      <w:lvlText w:val="%7."/>
      <w:lvlJc w:val="left"/>
      <w:pPr>
        <w:ind w:left="5040" w:hanging="360"/>
      </w:pPr>
    </w:lvl>
    <w:lvl w:ilvl="7" w:tplc="8182BCAA">
      <w:start w:val="1"/>
      <w:numFmt w:val="lowerLetter"/>
      <w:lvlText w:val="%8."/>
      <w:lvlJc w:val="left"/>
      <w:pPr>
        <w:ind w:left="5760" w:hanging="360"/>
      </w:pPr>
    </w:lvl>
    <w:lvl w:ilvl="8" w:tplc="48684B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2AD8"/>
    <w:multiLevelType w:val="hybridMultilevel"/>
    <w:tmpl w:val="BD36366E"/>
    <w:lvl w:ilvl="0" w:tplc="BED2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CB6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E20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49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A8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49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0A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A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CA78E6"/>
    <w:multiLevelType w:val="hybridMultilevel"/>
    <w:tmpl w:val="C5D4F5FC"/>
    <w:lvl w:ilvl="0" w:tplc="2188E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8A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C7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7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C1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C0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B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A2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A1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75FCF"/>
    <w:multiLevelType w:val="hybridMultilevel"/>
    <w:tmpl w:val="9F9E0768"/>
    <w:lvl w:ilvl="0" w:tplc="9DE4B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28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6E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89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0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2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A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09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766D31"/>
    <w:multiLevelType w:val="hybridMultilevel"/>
    <w:tmpl w:val="7B96A6BC"/>
    <w:lvl w:ilvl="0" w:tplc="707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6A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48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D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87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4F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A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B4B78"/>
    <w:multiLevelType w:val="hybridMultilevel"/>
    <w:tmpl w:val="F6328940"/>
    <w:lvl w:ilvl="0" w:tplc="627C8E5E">
      <w:start w:val="1"/>
      <w:numFmt w:val="decimal"/>
      <w:lvlText w:val="%1."/>
      <w:lvlJc w:val="left"/>
      <w:pPr>
        <w:ind w:left="720" w:hanging="360"/>
      </w:pPr>
    </w:lvl>
    <w:lvl w:ilvl="1" w:tplc="569E82D4">
      <w:start w:val="1"/>
      <w:numFmt w:val="lowerLetter"/>
      <w:lvlText w:val="%2."/>
      <w:lvlJc w:val="left"/>
      <w:pPr>
        <w:ind w:left="1440" w:hanging="360"/>
      </w:pPr>
    </w:lvl>
    <w:lvl w:ilvl="2" w:tplc="A6209C22">
      <w:start w:val="1"/>
      <w:numFmt w:val="lowerRoman"/>
      <w:lvlText w:val="%3."/>
      <w:lvlJc w:val="right"/>
      <w:pPr>
        <w:ind w:left="2160" w:hanging="180"/>
      </w:pPr>
    </w:lvl>
    <w:lvl w:ilvl="3" w:tplc="3D544246">
      <w:start w:val="1"/>
      <w:numFmt w:val="decimal"/>
      <w:lvlText w:val="%4."/>
      <w:lvlJc w:val="left"/>
      <w:pPr>
        <w:ind w:left="2880" w:hanging="360"/>
      </w:pPr>
    </w:lvl>
    <w:lvl w:ilvl="4" w:tplc="DCFAE224">
      <w:start w:val="1"/>
      <w:numFmt w:val="lowerLetter"/>
      <w:lvlText w:val="%5."/>
      <w:lvlJc w:val="left"/>
      <w:pPr>
        <w:ind w:left="3600" w:hanging="360"/>
      </w:pPr>
    </w:lvl>
    <w:lvl w:ilvl="5" w:tplc="019ACCB8">
      <w:start w:val="1"/>
      <w:numFmt w:val="lowerRoman"/>
      <w:lvlText w:val="%6."/>
      <w:lvlJc w:val="right"/>
      <w:pPr>
        <w:ind w:left="4320" w:hanging="180"/>
      </w:pPr>
    </w:lvl>
    <w:lvl w:ilvl="6" w:tplc="5E1CE58C">
      <w:start w:val="1"/>
      <w:numFmt w:val="decimal"/>
      <w:lvlText w:val="%7."/>
      <w:lvlJc w:val="left"/>
      <w:pPr>
        <w:ind w:left="5040" w:hanging="360"/>
      </w:pPr>
    </w:lvl>
    <w:lvl w:ilvl="7" w:tplc="F07C8FD2">
      <w:start w:val="1"/>
      <w:numFmt w:val="lowerLetter"/>
      <w:lvlText w:val="%8."/>
      <w:lvlJc w:val="left"/>
      <w:pPr>
        <w:ind w:left="5760" w:hanging="360"/>
      </w:pPr>
    </w:lvl>
    <w:lvl w:ilvl="8" w:tplc="D60626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A4934"/>
    <w:multiLevelType w:val="multilevel"/>
    <w:tmpl w:val="4316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5765D"/>
    <w:multiLevelType w:val="hybridMultilevel"/>
    <w:tmpl w:val="62001A1C"/>
    <w:lvl w:ilvl="0" w:tplc="7AD47226">
      <w:start w:val="1"/>
      <w:numFmt w:val="decimal"/>
      <w:lvlText w:val="%1."/>
      <w:lvlJc w:val="left"/>
      <w:pPr>
        <w:ind w:left="720" w:hanging="360"/>
      </w:pPr>
    </w:lvl>
    <w:lvl w:ilvl="1" w:tplc="AAD40B58">
      <w:start w:val="1"/>
      <w:numFmt w:val="lowerLetter"/>
      <w:lvlText w:val="%2."/>
      <w:lvlJc w:val="left"/>
      <w:pPr>
        <w:ind w:left="1440" w:hanging="360"/>
      </w:pPr>
    </w:lvl>
    <w:lvl w:ilvl="2" w:tplc="7DF47F4A">
      <w:start w:val="1"/>
      <w:numFmt w:val="lowerRoman"/>
      <w:lvlText w:val="%3."/>
      <w:lvlJc w:val="left"/>
      <w:pPr>
        <w:ind w:left="2160" w:hanging="180"/>
      </w:pPr>
    </w:lvl>
    <w:lvl w:ilvl="3" w:tplc="BEDEC42E">
      <w:start w:val="1"/>
      <w:numFmt w:val="decimal"/>
      <w:lvlText w:val="%4."/>
      <w:lvlJc w:val="left"/>
      <w:pPr>
        <w:ind w:left="2880" w:hanging="360"/>
      </w:pPr>
    </w:lvl>
    <w:lvl w:ilvl="4" w:tplc="99524E22">
      <w:start w:val="1"/>
      <w:numFmt w:val="lowerLetter"/>
      <w:lvlText w:val="%5."/>
      <w:lvlJc w:val="left"/>
      <w:pPr>
        <w:ind w:left="3600" w:hanging="360"/>
      </w:pPr>
    </w:lvl>
    <w:lvl w:ilvl="5" w:tplc="CB68D71E">
      <w:start w:val="1"/>
      <w:numFmt w:val="lowerRoman"/>
      <w:lvlText w:val="%6."/>
      <w:lvlJc w:val="right"/>
      <w:pPr>
        <w:ind w:left="4320" w:hanging="180"/>
      </w:pPr>
    </w:lvl>
    <w:lvl w:ilvl="6" w:tplc="5CCA1252">
      <w:start w:val="1"/>
      <w:numFmt w:val="decimal"/>
      <w:lvlText w:val="%7."/>
      <w:lvlJc w:val="left"/>
      <w:pPr>
        <w:ind w:left="5040" w:hanging="360"/>
      </w:pPr>
    </w:lvl>
    <w:lvl w:ilvl="7" w:tplc="55AC3F74">
      <w:start w:val="1"/>
      <w:numFmt w:val="lowerLetter"/>
      <w:lvlText w:val="%8."/>
      <w:lvlJc w:val="left"/>
      <w:pPr>
        <w:ind w:left="5760" w:hanging="360"/>
      </w:pPr>
    </w:lvl>
    <w:lvl w:ilvl="8" w:tplc="BEE031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26836"/>
    <w:rsid w:val="000274F4"/>
    <w:rsid w:val="00056153"/>
    <w:rsid w:val="000B2371"/>
    <w:rsid w:val="000E04B8"/>
    <w:rsid w:val="000E5DF6"/>
    <w:rsid w:val="00115AC6"/>
    <w:rsid w:val="001607D6"/>
    <w:rsid w:val="00162034"/>
    <w:rsid w:val="001661D8"/>
    <w:rsid w:val="00236858"/>
    <w:rsid w:val="00290D4C"/>
    <w:rsid w:val="002921FD"/>
    <w:rsid w:val="002D0FBE"/>
    <w:rsid w:val="002F0183"/>
    <w:rsid w:val="002F4F2C"/>
    <w:rsid w:val="00356104"/>
    <w:rsid w:val="003657A1"/>
    <w:rsid w:val="0039668B"/>
    <w:rsid w:val="003D377B"/>
    <w:rsid w:val="003D7ADE"/>
    <w:rsid w:val="00402375"/>
    <w:rsid w:val="00406CCC"/>
    <w:rsid w:val="004074A2"/>
    <w:rsid w:val="00414C4A"/>
    <w:rsid w:val="0043645E"/>
    <w:rsid w:val="00470C7A"/>
    <w:rsid w:val="00473C34"/>
    <w:rsid w:val="00474EC6"/>
    <w:rsid w:val="00477435"/>
    <w:rsid w:val="004C3CBC"/>
    <w:rsid w:val="004D6DDE"/>
    <w:rsid w:val="004F1058"/>
    <w:rsid w:val="00503723"/>
    <w:rsid w:val="00557594"/>
    <w:rsid w:val="00584678"/>
    <w:rsid w:val="005B62EC"/>
    <w:rsid w:val="005D40DD"/>
    <w:rsid w:val="005F3AFA"/>
    <w:rsid w:val="00623A9F"/>
    <w:rsid w:val="00640DE0"/>
    <w:rsid w:val="00684052"/>
    <w:rsid w:val="0068562A"/>
    <w:rsid w:val="00744284"/>
    <w:rsid w:val="00794557"/>
    <w:rsid w:val="0079749F"/>
    <w:rsid w:val="007B5DFA"/>
    <w:rsid w:val="007D265C"/>
    <w:rsid w:val="0084578A"/>
    <w:rsid w:val="00853068"/>
    <w:rsid w:val="00863CD9"/>
    <w:rsid w:val="00871536"/>
    <w:rsid w:val="008C3689"/>
    <w:rsid w:val="008F1ECF"/>
    <w:rsid w:val="009017AF"/>
    <w:rsid w:val="009073D3"/>
    <w:rsid w:val="0092506E"/>
    <w:rsid w:val="00970677"/>
    <w:rsid w:val="009724D8"/>
    <w:rsid w:val="009D0E3A"/>
    <w:rsid w:val="00A252F2"/>
    <w:rsid w:val="00A326F8"/>
    <w:rsid w:val="00A44128"/>
    <w:rsid w:val="00AA7280"/>
    <w:rsid w:val="00AD3075"/>
    <w:rsid w:val="00AD4C05"/>
    <w:rsid w:val="00B32F26"/>
    <w:rsid w:val="00B96D36"/>
    <w:rsid w:val="00BB08B7"/>
    <w:rsid w:val="00D104D2"/>
    <w:rsid w:val="00D21195"/>
    <w:rsid w:val="00D42522"/>
    <w:rsid w:val="00D47D8F"/>
    <w:rsid w:val="00D53334"/>
    <w:rsid w:val="00E1775F"/>
    <w:rsid w:val="00E33FE9"/>
    <w:rsid w:val="00E35FEC"/>
    <w:rsid w:val="00E5673B"/>
    <w:rsid w:val="00E91AC1"/>
    <w:rsid w:val="00EB7E00"/>
    <w:rsid w:val="00EF6F20"/>
    <w:rsid w:val="00F80A2C"/>
    <w:rsid w:val="0133D12D"/>
    <w:rsid w:val="061CDF3C"/>
    <w:rsid w:val="06A698EA"/>
    <w:rsid w:val="0CA4E9BF"/>
    <w:rsid w:val="0D381DC3"/>
    <w:rsid w:val="0D406E22"/>
    <w:rsid w:val="0D44E1B9"/>
    <w:rsid w:val="10224393"/>
    <w:rsid w:val="116F3741"/>
    <w:rsid w:val="121852DC"/>
    <w:rsid w:val="24714743"/>
    <w:rsid w:val="34B20AAF"/>
    <w:rsid w:val="3E1C1D88"/>
    <w:rsid w:val="4EDB43B4"/>
    <w:rsid w:val="55C9D517"/>
    <w:rsid w:val="69AE6C3A"/>
    <w:rsid w:val="709220D2"/>
    <w:rsid w:val="7BB06515"/>
    <w:rsid w:val="7E11A7CC"/>
    <w:rsid w:val="7EC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C65A"/>
  <w15:chartTrackingRefBased/>
  <w15:docId w15:val="{961C045A-FA12-47AD-9127-986C9FE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C3CBC"/>
    <w:pPr>
      <w:ind w:left="720"/>
      <w:contextualSpacing/>
    </w:pPr>
  </w:style>
  <w:style w:type="table" w:styleId="TableGrid">
    <w:name w:val="Table Grid"/>
    <w:basedOn w:val="TableNormal"/>
    <w:uiPriority w:val="39"/>
    <w:rsid w:val="0090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A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AC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A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6F20"/>
  </w:style>
  <w:style w:type="character" w:customStyle="1" w:styleId="eop">
    <w:name w:val="eop"/>
    <w:basedOn w:val="DefaultParagraphFont"/>
    <w:rsid w:val="00EF6F20"/>
  </w:style>
  <w:style w:type="paragraph" w:styleId="CommentText">
    <w:name w:val="annotation text"/>
    <w:basedOn w:val="Normal"/>
    <w:link w:val="CommentTextChar"/>
    <w:uiPriority w:val="99"/>
    <w:unhideWhenUsed/>
    <w:rsid w:val="00EF6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F2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6F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33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9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24" TargetMode="External"/><Relationship Id="rId13" Type="http://schemas.openxmlformats.org/officeDocument/2006/relationships/hyperlink" Target="https://ectacenter.org/topics/transition/reglaw.asp" TargetMode="External"/><Relationship Id="rId18" Type="http://schemas.openxmlformats.org/officeDocument/2006/relationships/hyperlink" Target="https://ectacenter.org/~pdfs/topics/transition/Timeline_for_late_referral_accessible_version_2018-09-17.pdf" TargetMode="External"/><Relationship Id="rId26" Type="http://schemas.openxmlformats.org/officeDocument/2006/relationships/hyperlink" Target="https://profiles.doe.mass.edu/statereport/special_education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ctacenter.org/~pdfs/decrp/TR-2_EI_to_Preschool_201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2/indicator12-slides-chinese.pptx" TargetMode="External"/><Relationship Id="rId17" Type="http://schemas.openxmlformats.org/officeDocument/2006/relationships/hyperlink" Target="https://ectacenter.org/~pdfs/topics/transition/Timeline_for_late_referral.pdf" TargetMode="External"/><Relationship Id="rId25" Type="http://schemas.openxmlformats.org/officeDocument/2006/relationships/hyperlink" Target="https://view.officeapps.live.com/op/view.aspx?src=https%3A%2F%2Fectacenter.org%2F~docs%2Ftopics%2Ftransition%2Ftransition-review-documentation.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advisories/2019-1ta.html" TargetMode="External"/><Relationship Id="rId20" Type="http://schemas.openxmlformats.org/officeDocument/2006/relationships/hyperlink" Target="https://ectacenter.org/~pdfs/topics/transition/TransitionSelf_Assessment_09_15_0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.gov/idea/regs/b/b/300.101" TargetMode="External"/><Relationship Id="rId24" Type="http://schemas.openxmlformats.org/officeDocument/2006/relationships/hyperlink" Target="https://ectacenter.org/topics/disaster/coronavirus-transition.a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ta/docs/child-find-resources/" TargetMode="External"/><Relationship Id="rId23" Type="http://schemas.openxmlformats.org/officeDocument/2006/relationships/hyperlink" Target="https://ectacenter.org/~pdfs/decrp/PGP_TRN2_eitopreschool_201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oe.mass.edu/lawsregs/603cmr28.html?section=all" TargetMode="External"/><Relationship Id="rId19" Type="http://schemas.openxmlformats.org/officeDocument/2006/relationships/hyperlink" Target="https://ectacenter.org/~pdfs/topics/transition/timeline_flowchart_APR_indicators_09-12_OSEP_approved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tes.ed.gov/idea/regs/b/d/300.323" TargetMode="External"/><Relationship Id="rId14" Type="http://schemas.openxmlformats.org/officeDocument/2006/relationships/hyperlink" Target="https://sites.ed.gov/idea/idea-files/rts-qa-child-find-part-b-08-24-2021/" TargetMode="External"/><Relationship Id="rId22" Type="http://schemas.openxmlformats.org/officeDocument/2006/relationships/hyperlink" Target="https://ectacenter.org/~pdfs/decrp/PGF_TR2_eitopreschool_201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B19D-4BAD-483B-99D3-421A825AECB1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1BF94AB2-B792-4CA2-83F7-D6F91B06E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10C4F-F8A3-47FD-BED8-6347F971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12: Early Childhood Transition (Part C to B Transition) — Chinese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12: Early Childhood Transition (Part C to B Transition) — Chinese</dc:title>
  <dc:subject/>
  <dc:creator>DESE</dc:creator>
  <cp:keywords/>
  <cp:lastModifiedBy>Zou, Dong (EOE)</cp:lastModifiedBy>
  <cp:revision>10</cp:revision>
  <dcterms:created xsi:type="dcterms:W3CDTF">2022-11-01T13:04:00Z</dcterms:created>
  <dcterms:modified xsi:type="dcterms:W3CDTF">2023-01-26T19:11:00Z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