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9E6A" w14:textId="3A2E59F6" w:rsidR="00E25EF5" w:rsidRPr="006670A1" w:rsidRDefault="0072349A" w:rsidP="00E25EF5">
      <w:pPr>
        <w:shd w:val="clear" w:color="auto" w:fill="FFFFFF"/>
        <w:spacing w:before="100" w:beforeAutospacing="1" w:after="100" w:afterAutospacing="1" w:line="240" w:lineRule="auto"/>
        <w:outlineLvl w:val="1"/>
        <w:rPr>
          <w:rFonts w:eastAsia="Times New Roman"/>
          <w:b/>
          <w:bCs/>
          <w:shd w:val="clear" w:color="auto" w:fill="FFFFFF"/>
        </w:rPr>
      </w:pPr>
      <w:r>
        <w:fldChar w:fldCharType="begin"/>
      </w:r>
      <w:r>
        <w:instrText xml:space="preserve"> HYPERLINK "https://www.doe.mass.edu/sped/spp/indicators/indicator12/" </w:instrText>
      </w:r>
      <w:r>
        <w:fldChar w:fldCharType="separate"/>
      </w:r>
      <w:r w:rsidR="00E25EF5" w:rsidRPr="00B96D36">
        <w:rPr>
          <w:rStyle w:val="Hyperlink"/>
          <w:rFonts w:ascii="SimSun" w:eastAsia="SimSun" w:hAnsi="SimSun" w:cs="SimSun"/>
          <w:b/>
          <w:bCs/>
          <w:shd w:val="clear" w:color="auto" w:fill="FFFFFF"/>
        </w:rPr>
        <w:t>English</w:t>
      </w:r>
      <w:r>
        <w:rPr>
          <w:rStyle w:val="Hyperlink"/>
          <w:rFonts w:ascii="SimSun" w:eastAsia="SimSun" w:hAnsi="SimSun" w:cs="SimSun"/>
          <w:b/>
          <w:bCs/>
          <w:shd w:val="clear" w:color="auto" w:fill="FFFFFF"/>
        </w:rPr>
        <w:fldChar w:fldCharType="end"/>
      </w:r>
      <w:r w:rsidR="00E25EF5" w:rsidRPr="006670A1">
        <w:rPr>
          <w:rFonts w:ascii="SimSun" w:eastAsia="SimSun" w:hAnsi="SimSun" w:cs="SimSun"/>
          <w:b/>
          <w:bCs/>
          <w:shd w:val="clear" w:color="auto" w:fill="FFFFFF"/>
        </w:rPr>
        <w:t> | </w:t>
      </w:r>
      <w:hyperlink r:id="rId10" w:history="1">
        <w:proofErr w:type="spellStart"/>
        <w:r w:rsidR="00E25EF5" w:rsidRPr="00B96D36">
          <w:rPr>
            <w:rStyle w:val="Hyperlink"/>
            <w:rFonts w:ascii="SimSun" w:eastAsia="SimSun" w:hAnsi="SimSun" w:cs="SimSun" w:hint="eastAsia"/>
            <w:b/>
            <w:bCs/>
          </w:rPr>
          <w:t>繁體中文</w:t>
        </w:r>
        <w:proofErr w:type="spellEnd"/>
      </w:hyperlink>
      <w:r w:rsidR="00E25EF5" w:rsidRPr="006670A1">
        <w:rPr>
          <w:rFonts w:ascii="SimSun" w:eastAsia="SimSun" w:hAnsi="SimSun" w:cs="SimSun"/>
          <w:b/>
          <w:bCs/>
          <w:shd w:val="clear" w:color="auto" w:fill="FFFFFF"/>
        </w:rPr>
        <w:t> | </w:t>
      </w:r>
      <w:r w:rsidR="00E25EF5" w:rsidRPr="00E25EF5">
        <w:rPr>
          <w:rFonts w:ascii="SimSun" w:eastAsia="SimSun" w:hAnsi="SimSun" w:cs="SimSun"/>
          <w:b/>
          <w:bCs/>
          <w:shd w:val="clear" w:color="auto" w:fill="FFFFFF"/>
        </w:rPr>
        <w:t>Kreyòl Ayisyen</w:t>
      </w:r>
      <w:r w:rsidR="00E25EF5" w:rsidRPr="006670A1">
        <w:rPr>
          <w:rFonts w:ascii="SimSun" w:eastAsia="SimSun" w:hAnsi="SimSun" w:cs="SimSun"/>
          <w:b/>
          <w:bCs/>
          <w:shd w:val="clear" w:color="auto" w:fill="FFFFFF"/>
        </w:rPr>
        <w:t> | </w:t>
      </w:r>
      <w:hyperlink r:id="rId11" w:history="1">
        <w:r w:rsidR="00E25EF5" w:rsidRPr="00B96D36">
          <w:rPr>
            <w:rStyle w:val="Hyperlink"/>
            <w:rFonts w:ascii="SimSun" w:eastAsia="SimSun" w:hAnsi="SimSun" w:cs="SimSun"/>
            <w:b/>
            <w:bCs/>
            <w:shd w:val="clear" w:color="auto" w:fill="FFFFFF"/>
          </w:rPr>
          <w:t>português</w:t>
        </w:r>
        <w:r w:rsidR="00E25EF5" w:rsidRPr="00B96D36">
          <w:rPr>
            <w:rStyle w:val="Hyperlink"/>
            <w:rFonts w:ascii="Times New Roman" w:eastAsia="SimSun" w:hAnsi="Times New Roman" w:cs="Times New Roman"/>
            <w:b/>
            <w:bCs/>
            <w:shd w:val="clear" w:color="auto" w:fill="FFFFFF"/>
          </w:rPr>
          <w:t>​</w:t>
        </w:r>
      </w:hyperlink>
      <w:r w:rsidR="00E25EF5" w:rsidRPr="006670A1">
        <w:rPr>
          <w:rFonts w:ascii="SimSun" w:eastAsia="SimSun" w:hAnsi="SimSun" w:cs="SimSun"/>
          <w:b/>
          <w:bCs/>
          <w:shd w:val="clear" w:color="auto" w:fill="FFFFFF"/>
        </w:rPr>
        <w:t> | </w:t>
      </w:r>
      <w:hyperlink r:id="rId12" w:history="1">
        <w:r w:rsidR="00E25EF5" w:rsidRPr="00B96D36">
          <w:rPr>
            <w:rStyle w:val="Hyperlink"/>
            <w:rFonts w:ascii="SimSun" w:eastAsia="SimSun" w:hAnsi="SimSun" w:cs="SimSun"/>
            <w:b/>
            <w:bCs/>
            <w:shd w:val="clear" w:color="auto" w:fill="FFFFFF"/>
          </w:rPr>
          <w:t>español</w:t>
        </w:r>
      </w:hyperlink>
      <w:r w:rsidR="00E25EF5" w:rsidRPr="006670A1">
        <w:rPr>
          <w:rFonts w:ascii="SimSun" w:eastAsia="SimSun" w:hAnsi="SimSun" w:cs="SimSun"/>
          <w:b/>
          <w:bCs/>
          <w:shd w:val="clear" w:color="auto" w:fill="FFFFFF"/>
        </w:rPr>
        <w:t> | </w:t>
      </w:r>
      <w:hyperlink r:id="rId13" w:history="1">
        <w:r w:rsidR="00E25EF5" w:rsidRPr="00B96D36">
          <w:rPr>
            <w:rStyle w:val="Hyperlink"/>
            <w:rFonts w:ascii="SimSun" w:eastAsia="SimSun" w:hAnsi="SimSun" w:cs="SimSun"/>
            <w:b/>
            <w:bCs/>
            <w:shd w:val="clear" w:color="auto" w:fill="FFFFFF"/>
          </w:rPr>
          <w:t>Vi</w:t>
        </w:r>
        <w:r w:rsidR="00E25EF5" w:rsidRPr="00B96D36">
          <w:rPr>
            <w:rStyle w:val="Hyperlink"/>
            <w:rFonts w:ascii="Cambria" w:eastAsia="SimSun" w:hAnsi="Cambria" w:cs="Cambria"/>
            <w:b/>
            <w:bCs/>
            <w:shd w:val="clear" w:color="auto" w:fill="FFFFFF"/>
          </w:rPr>
          <w:t>ệ</w:t>
        </w:r>
        <w:r w:rsidR="00E25EF5" w:rsidRPr="00B96D36">
          <w:rPr>
            <w:rStyle w:val="Hyperlink"/>
            <w:rFonts w:ascii="SimSun" w:eastAsia="SimSun" w:hAnsi="SimSun" w:cs="SimSun"/>
            <w:b/>
            <w:bCs/>
            <w:shd w:val="clear" w:color="auto" w:fill="FFFFFF"/>
          </w:rPr>
          <w:t>t</w:t>
        </w:r>
      </w:hyperlink>
    </w:p>
    <w:p w14:paraId="3B9BDEB7" w14:textId="77777777" w:rsidR="005E5DF1" w:rsidRDefault="00793A95">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Pr>
          <w:rFonts w:ascii="Segoe UI" w:hAnsi="Segoe UI"/>
          <w:color w:val="0C7580"/>
          <w:sz w:val="36"/>
        </w:rPr>
        <w:t>Kisa Endikatè 12 ye?</w:t>
      </w:r>
    </w:p>
    <w:p w14:paraId="65BBDA43" w14:textId="77777777" w:rsidR="005E5DF1" w:rsidRDefault="00793A95">
      <w:pPr>
        <w:pStyle w:val="Heading2"/>
        <w:shd w:val="clear" w:color="auto" w:fill="FFFFFF" w:themeFill="background1"/>
        <w:rPr>
          <w:rFonts w:ascii="Segoe UI" w:eastAsiaTheme="minorEastAsia" w:hAnsi="Segoe UI" w:cs="Segoe UI"/>
          <w:b w:val="0"/>
          <w:bCs w:val="0"/>
          <w:sz w:val="22"/>
          <w:szCs w:val="22"/>
        </w:rPr>
      </w:pPr>
      <w:r>
        <w:rPr>
          <w:rFonts w:ascii="Segoe UI" w:hAnsi="Segoe UI"/>
          <w:b w:val="0"/>
          <w:sz w:val="22"/>
        </w:rPr>
        <w:t>Endikatè 12 mezire pousantaj timoun Sèvis Entèvansyon pou Timoun Piti an refere yo dekouvri ki kalifye pou sèvis edikasyon espesyal epi yo te aplike yon Pwogram Edikasyon Endividyèl (Individualized Education Program, IEP) pou yo nan 3yèm anivèsè yo.</w:t>
      </w:r>
    </w:p>
    <w:p w14:paraId="72B116A0" w14:textId="77777777" w:rsidR="005E5DF1" w:rsidRDefault="00793A95">
      <w:pPr>
        <w:pStyle w:val="Heading2"/>
        <w:shd w:val="clear" w:color="auto" w:fill="FFFFFF"/>
        <w:rPr>
          <w:rFonts w:ascii="Segoe UI" w:hAnsi="Segoe UI" w:cs="Segoe UI"/>
          <w:b w:val="0"/>
          <w:bCs w:val="0"/>
          <w:color w:val="0C7580"/>
          <w:spacing w:val="12"/>
        </w:rPr>
      </w:pPr>
      <w:r>
        <w:rPr>
          <w:rFonts w:ascii="Segoe UI" w:hAnsi="Segoe UI"/>
          <w:b w:val="0"/>
          <w:color w:val="0C7580"/>
        </w:rPr>
        <w:t>Poukisa Endikatè 12 enpòtan?</w:t>
      </w:r>
    </w:p>
    <w:p w14:paraId="0EBDF39C" w14:textId="77777777" w:rsidR="005E5DF1" w:rsidRDefault="00793A95">
      <w:pPr>
        <w:pStyle w:val="Heading2"/>
        <w:numPr>
          <w:ilvl w:val="0"/>
          <w:numId w:val="1"/>
        </w:numPr>
        <w:shd w:val="clear" w:color="auto" w:fill="FFFFFF"/>
        <w:spacing w:before="0" w:beforeAutospacing="0" w:after="120" w:afterAutospacing="0"/>
        <w:rPr>
          <w:rFonts w:ascii="Segoe UI" w:hAnsi="Segoe UI" w:cs="Segoe UI"/>
          <w:b w:val="0"/>
          <w:bCs w:val="0"/>
          <w:sz w:val="22"/>
          <w:szCs w:val="22"/>
        </w:rPr>
      </w:pPr>
      <w:r>
        <w:rPr>
          <w:rFonts w:ascii="Segoe UI" w:hAnsi="Segoe UI"/>
          <w:b w:val="0"/>
          <w:sz w:val="22"/>
        </w:rPr>
        <w:t>Endikatè 12 se youn nan fason Massachusetts asire l lekòl ak distri yo konfòme yo ak règleman Lwa sou Edikasyon pou Moun ki Andikape yo (Individuals with Disabilities Education Act, IDEA), (</w:t>
      </w:r>
      <w:r w:rsidR="0072349A">
        <w:fldChar w:fldCharType="begin"/>
      </w:r>
      <w:r w:rsidR="0072349A">
        <w:instrText xml:space="preserve"> HYPERLINK "https://sites.ed.gov/idea/regs/b/b/300.124" </w:instrText>
      </w:r>
      <w:r w:rsidR="0072349A">
        <w:fldChar w:fldCharType="separate"/>
      </w:r>
      <w:r>
        <w:rPr>
          <w:rStyle w:val="Hyperlink"/>
          <w:rFonts w:ascii="Segoe UI" w:hAnsi="Segoe UI"/>
          <w:b w:val="0"/>
          <w:sz w:val="22"/>
        </w:rPr>
        <w:t>34 CFR 300.124</w:t>
      </w:r>
      <w:r w:rsidR="0072349A">
        <w:rPr>
          <w:rStyle w:val="Hyperlink"/>
          <w:rFonts w:ascii="Segoe UI" w:hAnsi="Segoe UI"/>
          <w:b w:val="0"/>
          <w:sz w:val="22"/>
        </w:rPr>
        <w:fldChar w:fldCharType="end"/>
      </w:r>
      <w:r>
        <w:rPr>
          <w:rFonts w:ascii="Segoe UI" w:hAnsi="Segoe UI"/>
          <w:b w:val="0"/>
          <w:sz w:val="22"/>
        </w:rPr>
        <w:t xml:space="preserve"> ak </w:t>
      </w:r>
      <w:hyperlink r:id="rId14" w:history="1">
        <w:r>
          <w:rPr>
            <w:rStyle w:val="Hyperlink"/>
            <w:rFonts w:ascii="Segoe UI" w:hAnsi="Segoe UI"/>
            <w:b w:val="0"/>
            <w:sz w:val="22"/>
          </w:rPr>
          <w:t>34 CFR 300.323</w:t>
        </w:r>
      </w:hyperlink>
      <w:r>
        <w:rPr>
          <w:rFonts w:ascii="Segoe UI" w:hAnsi="Segoe UI"/>
          <w:b w:val="0"/>
          <w:sz w:val="22"/>
        </w:rPr>
        <w:t>) epi ak règleman espesyal Massachusetts yo (</w:t>
      </w:r>
      <w:r w:rsidR="0072349A">
        <w:fldChar w:fldCharType="begin"/>
      </w:r>
      <w:r w:rsidR="0072349A">
        <w:instrText xml:space="preserve"> HYPERLINK "https://www.doe.mass.edu/lawsregs/603cmr28.html?section=all" </w:instrText>
      </w:r>
      <w:r w:rsidR="0072349A">
        <w:fldChar w:fldCharType="separate"/>
      </w:r>
      <w:r>
        <w:rPr>
          <w:rStyle w:val="Hyperlink"/>
          <w:rFonts w:ascii="Segoe UI" w:hAnsi="Segoe UI"/>
          <w:b w:val="0"/>
          <w:sz w:val="22"/>
        </w:rPr>
        <w:t>603 CMR 28:04 - 28:06</w:t>
      </w:r>
      <w:r w:rsidR="0072349A">
        <w:rPr>
          <w:rStyle w:val="Hyperlink"/>
          <w:rFonts w:ascii="Segoe UI" w:hAnsi="Segoe UI"/>
          <w:b w:val="0"/>
          <w:sz w:val="22"/>
        </w:rPr>
        <w:fldChar w:fldCharType="end"/>
      </w:r>
      <w:r>
        <w:rPr>
          <w:rFonts w:ascii="Segoe UI" w:hAnsi="Segoe UI"/>
          <w:b w:val="0"/>
          <w:sz w:val="22"/>
        </w:rPr>
        <w:t xml:space="preserve">) pou tranzisyon timoun lan sòti nan Entèvansyon pou Timoun Piti (sòti ann nesans rive nan laj 3 lane) rive nan edikasyon espesyal (laj 3 lane rive laj 22 lane). </w:t>
      </w:r>
    </w:p>
    <w:p w14:paraId="28376856" w14:textId="77777777" w:rsidR="005E5DF1" w:rsidRDefault="00793A95">
      <w:pPr>
        <w:pStyle w:val="Heading2"/>
        <w:numPr>
          <w:ilvl w:val="0"/>
          <w:numId w:val="1"/>
        </w:numPr>
        <w:shd w:val="clear" w:color="auto" w:fill="FFFFFF"/>
        <w:spacing w:before="0" w:beforeAutospacing="0" w:after="120" w:afterAutospacing="0"/>
        <w:rPr>
          <w:rFonts w:ascii="Segoe UI" w:hAnsi="Segoe UI" w:cs="Segoe UI"/>
          <w:b w:val="0"/>
          <w:bCs w:val="0"/>
          <w:sz w:val="22"/>
          <w:szCs w:val="22"/>
        </w:rPr>
      </w:pPr>
      <w:r>
        <w:rPr>
          <w:rFonts w:ascii="Segoe UI" w:hAnsi="Segoe UI"/>
          <w:b w:val="0"/>
          <w:sz w:val="22"/>
        </w:rPr>
        <w:t xml:space="preserve">Endikatè sa a asire gen evalyasyon ki fèt sou timoun yo nan bon moman an pou timoun yo detèmine ki kalifye yo kapab resevwa sèvis nesesè yo ak sipò san pèdi tan. </w:t>
      </w:r>
    </w:p>
    <w:p w14:paraId="70AA7BB6" w14:textId="77777777" w:rsidR="005E5DF1" w:rsidRDefault="00793A95">
      <w:pPr>
        <w:pStyle w:val="Heading2"/>
        <w:numPr>
          <w:ilvl w:val="0"/>
          <w:numId w:val="1"/>
        </w:numPr>
        <w:shd w:val="clear" w:color="auto" w:fill="FFFFFF"/>
        <w:spacing w:before="0" w:beforeAutospacing="0" w:after="120" w:afterAutospacing="0"/>
        <w:rPr>
          <w:rFonts w:ascii="Segoe UI" w:hAnsi="Segoe UI" w:cs="Segoe UI"/>
          <w:b w:val="0"/>
          <w:bCs w:val="0"/>
          <w:sz w:val="22"/>
          <w:szCs w:val="22"/>
          <w:lang w:eastAsia="zh-CN"/>
        </w:rPr>
      </w:pPr>
      <w:r>
        <w:rPr>
          <w:rFonts w:ascii="Segoe UI" w:hAnsi="Segoe UI"/>
          <w:b w:val="0"/>
          <w:sz w:val="22"/>
          <w:lang w:eastAsia="zh-CN"/>
        </w:rPr>
        <w:t>Si pa gen evaly</w:t>
      </w:r>
      <w:proofErr w:type="spellStart"/>
      <w:r>
        <w:rPr>
          <w:rFonts w:ascii="Segoe UI" w:hAnsi="Segoe UI"/>
          <w:b w:val="0"/>
          <w:sz w:val="22"/>
          <w:lang w:val="en-US" w:eastAsia="zh-CN"/>
        </w:rPr>
        <w:t>asyon</w:t>
      </w:r>
      <w:proofErr w:type="spellEnd"/>
      <w:r>
        <w:rPr>
          <w:rFonts w:ascii="Segoe UI" w:hAnsi="Segoe UI"/>
          <w:b w:val="0"/>
          <w:sz w:val="22"/>
          <w:lang w:eastAsia="zh-CN"/>
        </w:rPr>
        <w:t xml:space="preserve"> ki fèt pou timoun yo epi pa gen sèvis IEP ki disponib pou yo nan respè peryòd tan legal yo, sa a kapab lakòz gen reta oswa yon refi pou yon </w:t>
      </w:r>
      <w:hyperlink r:id="rId15" w:history="1">
        <w:r>
          <w:rPr>
            <w:rStyle w:val="Hyperlink"/>
            <w:rFonts w:ascii="Segoe UI" w:hAnsi="Segoe UI"/>
            <w:b w:val="0"/>
            <w:sz w:val="22"/>
            <w:lang w:eastAsia="zh-CN"/>
          </w:rPr>
          <w:t>edikasyon gratis epi apwopriye</w:t>
        </w:r>
      </w:hyperlink>
      <w:r>
        <w:rPr>
          <w:rFonts w:ascii="Segoe UI" w:hAnsi="Segoe UI"/>
          <w:b w:val="0"/>
          <w:sz w:val="22"/>
          <w:lang w:eastAsia="zh-CN"/>
        </w:rPr>
        <w:t>.</w:t>
      </w:r>
    </w:p>
    <w:p w14:paraId="5758F877" w14:textId="77777777" w:rsidR="005E5DF1" w:rsidRDefault="00793A95">
      <w:pPr>
        <w:pStyle w:val="Heading2"/>
        <w:shd w:val="clear" w:color="auto" w:fill="FFFFFF"/>
        <w:rPr>
          <w:rFonts w:ascii="Segoe UI" w:hAnsi="Segoe UI" w:cs="Segoe UI"/>
          <w:b w:val="0"/>
          <w:bCs w:val="0"/>
          <w:color w:val="0C7580"/>
          <w:spacing w:val="12"/>
        </w:rPr>
      </w:pPr>
      <w:r>
        <w:rPr>
          <w:rFonts w:ascii="Segoe UI" w:hAnsi="Segoe UI"/>
          <w:b w:val="0"/>
          <w:color w:val="0C7580"/>
        </w:rPr>
        <w:t>Kijan yo kolekte done Endikatè 12 yo?</w:t>
      </w:r>
    </w:p>
    <w:p w14:paraId="0B40D71C"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 xml:space="preserve">Done Endikatè 12 yo sòti nan enfòmasyon distri eskolè yo soumèt bay Depatman Edikasyon Elemantè ak Segondè a (Department of Elementary and Secondary Education, DESE). </w:t>
      </w:r>
    </w:p>
    <w:p w14:paraId="5188F389"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Enfòmasyon sa yo se:</w:t>
      </w:r>
    </w:p>
    <w:p w14:paraId="0DF3A89D" w14:textId="77777777" w:rsidR="005E5DF1" w:rsidRDefault="00793A95">
      <w:pPr>
        <w:pStyle w:val="Heading2"/>
        <w:numPr>
          <w:ilvl w:val="1"/>
          <w:numId w:val="2"/>
        </w:numPr>
        <w:shd w:val="clear" w:color="auto" w:fill="FFFFFF"/>
        <w:spacing w:before="0" w:beforeAutospacing="0" w:after="120" w:afterAutospacing="0"/>
        <w:contextualSpacing/>
        <w:rPr>
          <w:rFonts w:ascii="Segoe UI" w:eastAsiaTheme="minorEastAsia" w:hAnsi="Segoe UI" w:cs="Segoe UI"/>
          <w:b w:val="0"/>
          <w:bCs w:val="0"/>
          <w:sz w:val="22"/>
          <w:szCs w:val="22"/>
        </w:rPr>
      </w:pPr>
      <w:r>
        <w:rPr>
          <w:rFonts w:ascii="Segoe UI" w:hAnsi="Segoe UI"/>
          <w:b w:val="0"/>
          <w:sz w:val="22"/>
        </w:rPr>
        <w:t>Dat distri eskolè a resevwa rekòmandasyon Sèvis Entèvansyon pou Timoun Piti a.</w:t>
      </w:r>
    </w:p>
    <w:p w14:paraId="57983A58" w14:textId="77777777" w:rsidR="005E5DF1" w:rsidRDefault="00793A95">
      <w:pPr>
        <w:pStyle w:val="Heading2"/>
        <w:numPr>
          <w:ilvl w:val="1"/>
          <w:numId w:val="2"/>
        </w:numPr>
        <w:shd w:val="clear" w:color="auto" w:fill="FFFFFF"/>
        <w:spacing w:before="0" w:beforeAutospacing="0" w:after="120" w:afterAutospacing="0"/>
        <w:contextualSpacing/>
        <w:rPr>
          <w:rFonts w:ascii="Segoe UI" w:eastAsiaTheme="minorEastAsia" w:hAnsi="Segoe UI" w:cs="Segoe UI"/>
          <w:b w:val="0"/>
          <w:bCs w:val="0"/>
          <w:sz w:val="22"/>
          <w:szCs w:val="22"/>
        </w:rPr>
      </w:pPr>
      <w:r>
        <w:rPr>
          <w:rFonts w:ascii="Segoe UI" w:hAnsi="Segoe UI"/>
          <w:b w:val="0"/>
          <w:sz w:val="22"/>
        </w:rPr>
        <w:t>Dat konsantman paran yo pou premye evalyasyon an.</w:t>
      </w:r>
    </w:p>
    <w:p w14:paraId="06031B5D" w14:textId="77777777" w:rsidR="005E5DF1" w:rsidRDefault="00793A95">
      <w:pPr>
        <w:pStyle w:val="Heading2"/>
        <w:numPr>
          <w:ilvl w:val="1"/>
          <w:numId w:val="2"/>
        </w:numPr>
        <w:shd w:val="clear" w:color="auto" w:fill="FFFFFF"/>
        <w:spacing w:before="0" w:beforeAutospacing="0" w:after="120" w:afterAutospacing="0"/>
        <w:contextualSpacing/>
        <w:rPr>
          <w:rFonts w:ascii="Segoe UI" w:eastAsiaTheme="minorEastAsia" w:hAnsi="Segoe UI" w:cs="Segoe UI"/>
          <w:b w:val="0"/>
          <w:bCs w:val="0"/>
          <w:sz w:val="22"/>
          <w:szCs w:val="22"/>
        </w:rPr>
      </w:pPr>
      <w:r>
        <w:rPr>
          <w:rFonts w:ascii="Segoe UI" w:hAnsi="Segoe UI"/>
          <w:b w:val="0"/>
          <w:sz w:val="22"/>
        </w:rPr>
        <w:t>Dat reyinyon pou ekip la.</w:t>
      </w:r>
    </w:p>
    <w:p w14:paraId="403D66A6" w14:textId="77777777" w:rsidR="005E5DF1" w:rsidRDefault="00793A95">
      <w:pPr>
        <w:pStyle w:val="Heading2"/>
        <w:numPr>
          <w:ilvl w:val="1"/>
          <w:numId w:val="2"/>
        </w:numPr>
        <w:shd w:val="clear" w:color="auto" w:fill="FFFFFF"/>
        <w:spacing w:before="0" w:beforeAutospacing="0" w:after="120" w:afterAutospacing="0"/>
        <w:contextualSpacing/>
        <w:rPr>
          <w:rFonts w:ascii="Segoe UI" w:eastAsiaTheme="minorEastAsia" w:hAnsi="Segoe UI" w:cs="Segoe UI"/>
          <w:b w:val="0"/>
          <w:bCs w:val="0"/>
          <w:sz w:val="22"/>
          <w:szCs w:val="22"/>
        </w:rPr>
      </w:pPr>
      <w:r>
        <w:rPr>
          <w:rFonts w:ascii="Segoe UI" w:hAnsi="Segoe UI"/>
          <w:b w:val="0"/>
          <w:sz w:val="22"/>
        </w:rPr>
        <w:t>Si elèv la kalifye oswa pa kalifye pou sèvis yo.</w:t>
      </w:r>
    </w:p>
    <w:p w14:paraId="0E97BA0F" w14:textId="77777777" w:rsidR="005E5DF1" w:rsidRDefault="00793A95">
      <w:pPr>
        <w:pStyle w:val="Heading2"/>
        <w:numPr>
          <w:ilvl w:val="1"/>
          <w:numId w:val="2"/>
        </w:numPr>
        <w:shd w:val="clear" w:color="auto" w:fill="FFFFFF"/>
        <w:spacing w:before="0" w:beforeAutospacing="0" w:after="120" w:afterAutospacing="0"/>
        <w:contextualSpacing/>
        <w:rPr>
          <w:rFonts w:ascii="Segoe UI" w:eastAsiaTheme="minorEastAsia" w:hAnsi="Segoe UI" w:cs="Segoe UI"/>
          <w:b w:val="0"/>
          <w:bCs w:val="0"/>
          <w:sz w:val="22"/>
          <w:szCs w:val="22"/>
        </w:rPr>
      </w:pPr>
      <w:r>
        <w:rPr>
          <w:rFonts w:ascii="Segoe UI" w:hAnsi="Segoe UI"/>
          <w:b w:val="0"/>
          <w:sz w:val="22"/>
        </w:rPr>
        <w:t>Rezon pou reta yo.</w:t>
      </w:r>
    </w:p>
    <w:p w14:paraId="6DC99D6D"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 xml:space="preserve">DESE revize enfòmasyon ki soumèt yo pou detèmine se Endikatè 12 la respekte. </w:t>
      </w:r>
    </w:p>
    <w:p w14:paraId="6AA93F7A" w14:textId="77777777" w:rsidR="005E5DF1" w:rsidRDefault="00793A95">
      <w:pPr>
        <w:pStyle w:val="Heading2"/>
        <w:shd w:val="clear" w:color="auto" w:fill="FFFFFF" w:themeFill="background1"/>
        <w:spacing w:before="0" w:beforeAutospacing="0" w:after="120" w:afterAutospacing="0"/>
        <w:rPr>
          <w:rFonts w:ascii="Segoe UI" w:hAnsi="Segoe UI" w:cs="Segoe UI"/>
          <w:color w:val="0C7580"/>
          <w:spacing w:val="12"/>
        </w:rPr>
      </w:pPr>
      <w:r>
        <w:rPr>
          <w:rFonts w:ascii="Segoe UI" w:hAnsi="Segoe UI"/>
          <w:b w:val="0"/>
          <w:color w:val="0C7580"/>
        </w:rPr>
        <w:t>Kijan yo kalkile Endikatè 12?</w:t>
      </w:r>
    </w:p>
    <w:p w14:paraId="79F52646" w14:textId="77777777" w:rsidR="005E5DF1" w:rsidRDefault="00793A95">
      <w:pPr>
        <w:pStyle w:val="Heading2"/>
        <w:shd w:val="clear" w:color="auto" w:fill="FFFFFF"/>
        <w:rPr>
          <w:rFonts w:ascii="Segoe UI" w:hAnsi="Segoe UI" w:cs="Segoe UI"/>
          <w:b w:val="0"/>
          <w:bCs w:val="0"/>
          <w:sz w:val="22"/>
          <w:szCs w:val="22"/>
        </w:rPr>
      </w:pPr>
      <w:r>
        <w:rPr>
          <w:rFonts w:ascii="Segoe UI" w:hAnsi="Segoe UI"/>
          <w:b w:val="0"/>
          <w:sz w:val="22"/>
        </w:rPr>
        <w:t>Yo Mezi Endikatè 12 la gras ak:</w:t>
      </w:r>
    </w:p>
    <w:p w14:paraId="4CCA4E67"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Kantite timoun ki benefisye Sèvis Entèvansyon pou Timoun Piti a epi yo refere nan edikasyon espesyal.</w:t>
      </w:r>
    </w:p>
    <w:p w14:paraId="082EB2BE"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lastRenderedPageBreak/>
        <w:t>Kantite timoun yo refere epi yo detèmine ki pa kalifye.</w:t>
      </w:r>
    </w:p>
    <w:p w14:paraId="028BD707" w14:textId="77777777" w:rsidR="005E5DF1" w:rsidRDefault="00793A95">
      <w:pPr>
        <w:pStyle w:val="Heading2"/>
        <w:numPr>
          <w:ilvl w:val="0"/>
          <w:numId w:val="2"/>
        </w:numPr>
        <w:shd w:val="clear" w:color="auto" w:fill="FFFFFF" w:themeFill="background1"/>
        <w:spacing w:before="0" w:beforeAutospacing="0" w:after="120" w:afterAutospacing="0"/>
        <w:rPr>
          <w:rFonts w:ascii="Segoe UI" w:eastAsiaTheme="minorEastAsia" w:hAnsi="Segoe UI" w:cs="Segoe UI"/>
          <w:b w:val="0"/>
          <w:bCs w:val="0"/>
          <w:sz w:val="22"/>
          <w:szCs w:val="22"/>
        </w:rPr>
      </w:pPr>
      <w:r>
        <w:rPr>
          <w:rFonts w:ascii="Segoe UI" w:hAnsi="Segoe UI"/>
          <w:b w:val="0"/>
          <w:sz w:val="22"/>
        </w:rPr>
        <w:t>Kantite timoun yo dekouvri ki kalifye ak yon IEP ki tabli nan 3yèm anivèsè yo.</w:t>
      </w:r>
    </w:p>
    <w:p w14:paraId="49C4DD44"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Kantite timoun ki gen paran yo ki pa deside bay konsantman yo epi ki vin lakòz gen reta nan evalyasyon oswa sèvis OSWA kantite timoun te gen eksepsyon ki aplike pou yo dapre 34 CFR §300.301(d).</w:t>
      </w:r>
    </w:p>
    <w:p w14:paraId="20695C9D" w14:textId="77777777" w:rsidR="005E5DF1" w:rsidRDefault="00793A95">
      <w:pPr>
        <w:pStyle w:val="Heading2"/>
        <w:numPr>
          <w:ilvl w:val="0"/>
          <w:numId w:val="2"/>
        </w:numPr>
        <w:shd w:val="clear" w:color="auto" w:fill="FFFFFF"/>
        <w:spacing w:before="0" w:beforeAutospacing="0" w:after="120" w:afterAutospacing="0"/>
        <w:rPr>
          <w:rFonts w:ascii="Segoe UI" w:eastAsiaTheme="minorEastAsia" w:hAnsi="Segoe UI" w:cs="Segoe UI"/>
          <w:b w:val="0"/>
          <w:bCs w:val="0"/>
          <w:sz w:val="22"/>
          <w:szCs w:val="22"/>
        </w:rPr>
      </w:pPr>
      <w:r>
        <w:rPr>
          <w:rFonts w:ascii="Segoe UI" w:hAnsi="Segoe UI"/>
          <w:b w:val="0"/>
          <w:sz w:val="22"/>
        </w:rPr>
        <w:t>Kantite timoun yo detèmine ki kalifye pou Sèvis Entèvansyon pou Timoun Piti a mwen pase 90 jou anvan dat 3yèm anivèsè yo a.</w:t>
      </w:r>
    </w:p>
    <w:p w14:paraId="0512B487" w14:textId="77777777" w:rsidR="005E5DF1" w:rsidRDefault="00793A95">
      <w:pPr>
        <w:pStyle w:val="Heading2"/>
        <w:shd w:val="clear" w:color="auto" w:fill="FFFFFF" w:themeFill="background1"/>
        <w:rPr>
          <w:rFonts w:ascii="Segoe UI" w:hAnsi="Segoe UI" w:cs="Segoe UI"/>
          <w:b w:val="0"/>
          <w:bCs w:val="0"/>
          <w:color w:val="0C7580"/>
          <w:spacing w:val="12"/>
        </w:rPr>
      </w:pPr>
      <w:r>
        <w:rPr>
          <w:rFonts w:ascii="Segoe UI" w:hAnsi="Segoe UI"/>
          <w:b w:val="0"/>
          <w:color w:val="0C7580"/>
        </w:rPr>
        <w:t>Done Endikatè 12 yo</w:t>
      </w:r>
    </w:p>
    <w:p w14:paraId="39A44914" w14:textId="77777777" w:rsidR="005E5DF1" w:rsidRDefault="00793A95">
      <w:pPr>
        <w:spacing w:beforeAutospacing="1" w:afterAutospacing="1" w:line="240" w:lineRule="auto"/>
        <w:rPr>
          <w:rFonts w:ascii="Segoe UI" w:eastAsia="Segoe UI" w:hAnsi="Segoe UI" w:cs="Segoe UI"/>
          <w:b/>
          <w:bCs/>
          <w:color w:val="000000" w:themeColor="text1"/>
        </w:rPr>
      </w:pPr>
      <w:r>
        <w:rPr>
          <w:rStyle w:val="normaltextrun"/>
          <w:rFonts w:ascii="Segoe UI" w:hAnsi="Segoe UI"/>
          <w:color w:val="000000" w:themeColor="text1"/>
        </w:rPr>
        <w:t>Poutèt se yon mezi konfòmite, gouvènman federal la egzije yon objektif pou konfòme a 100%.  </w:t>
      </w:r>
    </w:p>
    <w:tbl>
      <w:tblPr>
        <w:tblStyle w:val="TableGrid"/>
        <w:tblW w:w="0" w:type="auto"/>
        <w:tblLook w:val="04A0" w:firstRow="1" w:lastRow="0" w:firstColumn="1" w:lastColumn="0" w:noHBand="0" w:noVBand="1"/>
      </w:tblPr>
      <w:tblGrid>
        <w:gridCol w:w="1427"/>
        <w:gridCol w:w="1584"/>
        <w:gridCol w:w="1584"/>
        <w:gridCol w:w="1585"/>
        <w:gridCol w:w="1585"/>
        <w:gridCol w:w="1585"/>
      </w:tblGrid>
      <w:tr w:rsidR="005E5DF1" w14:paraId="4AD88C28" w14:textId="77777777">
        <w:tc>
          <w:tcPr>
            <w:tcW w:w="1427" w:type="dxa"/>
            <w:shd w:val="clear" w:color="auto" w:fill="D9E2F3" w:themeFill="accent1" w:themeFillTint="33"/>
          </w:tcPr>
          <w:p w14:paraId="6E945A48" w14:textId="77777777" w:rsidR="005E5DF1" w:rsidRDefault="00793A95">
            <w:pPr>
              <w:spacing w:after="0" w:line="240" w:lineRule="auto"/>
              <w:jc w:val="center"/>
              <w:rPr>
                <w:rFonts w:ascii="Segoe UI" w:hAnsi="Segoe UI" w:cs="Segoe UI"/>
                <w:b/>
                <w:bCs/>
              </w:rPr>
            </w:pPr>
            <w:r>
              <w:rPr>
                <w:rFonts w:ascii="Segoe UI" w:hAnsi="Segoe UI"/>
              </w:rPr>
              <w:t xml:space="preserve"> </w:t>
            </w:r>
            <w:r>
              <w:rPr>
                <w:rFonts w:ascii="Segoe UI" w:hAnsi="Segoe UI"/>
                <w:b/>
              </w:rPr>
              <w:t>Ane Lekòl</w:t>
            </w:r>
          </w:p>
        </w:tc>
        <w:tc>
          <w:tcPr>
            <w:tcW w:w="1584" w:type="dxa"/>
            <w:vAlign w:val="center"/>
          </w:tcPr>
          <w:p w14:paraId="4C586A13" w14:textId="77777777" w:rsidR="005E5DF1" w:rsidRDefault="00793A95">
            <w:pPr>
              <w:spacing w:after="0" w:line="240" w:lineRule="auto"/>
              <w:jc w:val="center"/>
              <w:rPr>
                <w:rFonts w:ascii="Segoe UI" w:hAnsi="Segoe UI" w:cs="Segoe UI"/>
                <w:b/>
                <w:bCs/>
              </w:rPr>
            </w:pPr>
            <w:r>
              <w:rPr>
                <w:rFonts w:ascii="Segoe UI" w:hAnsi="Segoe UI"/>
                <w:b/>
              </w:rPr>
              <w:t>2016/17</w:t>
            </w:r>
          </w:p>
        </w:tc>
        <w:tc>
          <w:tcPr>
            <w:tcW w:w="1584" w:type="dxa"/>
            <w:vAlign w:val="center"/>
          </w:tcPr>
          <w:p w14:paraId="76EA46B9" w14:textId="77777777" w:rsidR="005E5DF1" w:rsidRDefault="00793A95">
            <w:pPr>
              <w:spacing w:after="0" w:line="240" w:lineRule="auto"/>
              <w:jc w:val="center"/>
              <w:rPr>
                <w:rFonts w:ascii="Segoe UI" w:hAnsi="Segoe UI" w:cs="Segoe UI"/>
                <w:b/>
                <w:bCs/>
              </w:rPr>
            </w:pPr>
            <w:r>
              <w:rPr>
                <w:rFonts w:ascii="Segoe UI" w:hAnsi="Segoe UI"/>
                <w:b/>
              </w:rPr>
              <w:t>2017/18</w:t>
            </w:r>
          </w:p>
        </w:tc>
        <w:tc>
          <w:tcPr>
            <w:tcW w:w="1585" w:type="dxa"/>
            <w:vAlign w:val="center"/>
          </w:tcPr>
          <w:p w14:paraId="14A80FA9" w14:textId="77777777" w:rsidR="005E5DF1" w:rsidRDefault="00793A95">
            <w:pPr>
              <w:spacing w:after="0" w:line="240" w:lineRule="auto"/>
              <w:jc w:val="center"/>
              <w:rPr>
                <w:rFonts w:ascii="Segoe UI" w:hAnsi="Segoe UI" w:cs="Segoe UI"/>
                <w:b/>
                <w:bCs/>
              </w:rPr>
            </w:pPr>
            <w:r>
              <w:rPr>
                <w:rFonts w:ascii="Segoe UI" w:hAnsi="Segoe UI"/>
                <w:b/>
              </w:rPr>
              <w:t>2018/19</w:t>
            </w:r>
          </w:p>
        </w:tc>
        <w:tc>
          <w:tcPr>
            <w:tcW w:w="1585" w:type="dxa"/>
            <w:vAlign w:val="center"/>
          </w:tcPr>
          <w:p w14:paraId="0E6D81F7" w14:textId="77777777" w:rsidR="005E5DF1" w:rsidRDefault="00793A95">
            <w:pPr>
              <w:spacing w:after="0" w:line="240" w:lineRule="auto"/>
              <w:jc w:val="center"/>
              <w:rPr>
                <w:rFonts w:ascii="Segoe UI" w:hAnsi="Segoe UI" w:cs="Segoe UI"/>
                <w:b/>
                <w:bCs/>
              </w:rPr>
            </w:pPr>
            <w:r>
              <w:rPr>
                <w:rFonts w:ascii="Segoe UI" w:hAnsi="Segoe UI"/>
                <w:b/>
              </w:rPr>
              <w:t>2019/20</w:t>
            </w:r>
          </w:p>
        </w:tc>
        <w:tc>
          <w:tcPr>
            <w:tcW w:w="1585" w:type="dxa"/>
            <w:vAlign w:val="center"/>
          </w:tcPr>
          <w:p w14:paraId="1A1FA3B8" w14:textId="77777777" w:rsidR="005E5DF1" w:rsidRDefault="00793A95">
            <w:pPr>
              <w:spacing w:after="0" w:line="240" w:lineRule="auto"/>
              <w:jc w:val="center"/>
              <w:rPr>
                <w:rFonts w:ascii="Segoe UI" w:hAnsi="Segoe UI" w:cs="Segoe UI"/>
                <w:b/>
                <w:bCs/>
              </w:rPr>
            </w:pPr>
            <w:r>
              <w:rPr>
                <w:rFonts w:ascii="Segoe UI" w:hAnsi="Segoe UI"/>
                <w:b/>
              </w:rPr>
              <w:t>2020/21</w:t>
            </w:r>
          </w:p>
        </w:tc>
      </w:tr>
      <w:tr w:rsidR="005E5DF1" w14:paraId="2C223926" w14:textId="77777777">
        <w:tc>
          <w:tcPr>
            <w:tcW w:w="1427" w:type="dxa"/>
            <w:shd w:val="clear" w:color="auto" w:fill="D9E2F3" w:themeFill="accent1" w:themeFillTint="33"/>
          </w:tcPr>
          <w:p w14:paraId="7085AADA" w14:textId="77777777" w:rsidR="005E5DF1" w:rsidRDefault="00793A95">
            <w:pPr>
              <w:spacing w:after="0" w:line="240" w:lineRule="auto"/>
              <w:jc w:val="center"/>
              <w:rPr>
                <w:rFonts w:ascii="Segoe UI" w:hAnsi="Segoe UI" w:cs="Segoe UI"/>
                <w:b/>
                <w:bCs/>
              </w:rPr>
            </w:pPr>
            <w:r>
              <w:rPr>
                <w:rFonts w:ascii="Segoe UI" w:hAnsi="Segoe UI"/>
                <w:b/>
              </w:rPr>
              <w:t>Pousantaj Konfòmite nan tout Eta a</w:t>
            </w:r>
          </w:p>
        </w:tc>
        <w:tc>
          <w:tcPr>
            <w:tcW w:w="1584" w:type="dxa"/>
            <w:vAlign w:val="center"/>
          </w:tcPr>
          <w:p w14:paraId="52F8629B" w14:textId="77777777" w:rsidR="005E5DF1" w:rsidRDefault="00793A95">
            <w:pPr>
              <w:spacing w:after="0" w:line="240" w:lineRule="auto"/>
              <w:jc w:val="center"/>
              <w:rPr>
                <w:rFonts w:ascii="Segoe UI" w:hAnsi="Segoe UI" w:cs="Segoe UI"/>
              </w:rPr>
            </w:pPr>
            <w:r>
              <w:rPr>
                <w:rFonts w:ascii="Segoe UI" w:hAnsi="Segoe UI"/>
              </w:rPr>
              <w:t>99.17%</w:t>
            </w:r>
          </w:p>
        </w:tc>
        <w:tc>
          <w:tcPr>
            <w:tcW w:w="1584" w:type="dxa"/>
            <w:vAlign w:val="center"/>
          </w:tcPr>
          <w:p w14:paraId="1DEBC66D" w14:textId="77777777" w:rsidR="005E5DF1" w:rsidRDefault="00793A95">
            <w:pPr>
              <w:spacing w:after="0" w:line="240" w:lineRule="auto"/>
              <w:jc w:val="center"/>
              <w:rPr>
                <w:rFonts w:ascii="Segoe UI" w:hAnsi="Segoe UI" w:cs="Segoe UI"/>
              </w:rPr>
            </w:pPr>
            <w:r>
              <w:rPr>
                <w:rFonts w:ascii="Segoe UI" w:hAnsi="Segoe UI"/>
              </w:rPr>
              <w:t>92.12%</w:t>
            </w:r>
          </w:p>
        </w:tc>
        <w:tc>
          <w:tcPr>
            <w:tcW w:w="1585" w:type="dxa"/>
            <w:vAlign w:val="center"/>
          </w:tcPr>
          <w:p w14:paraId="79280F92" w14:textId="77777777" w:rsidR="005E5DF1" w:rsidRDefault="00793A95">
            <w:pPr>
              <w:spacing w:after="0" w:line="240" w:lineRule="auto"/>
              <w:jc w:val="center"/>
              <w:rPr>
                <w:rFonts w:ascii="Segoe UI" w:hAnsi="Segoe UI" w:cs="Segoe UI"/>
              </w:rPr>
            </w:pPr>
            <w:r>
              <w:rPr>
                <w:rFonts w:ascii="Segoe UI" w:hAnsi="Segoe UI"/>
              </w:rPr>
              <w:t>82.93%</w:t>
            </w:r>
          </w:p>
        </w:tc>
        <w:tc>
          <w:tcPr>
            <w:tcW w:w="1585" w:type="dxa"/>
            <w:vAlign w:val="center"/>
          </w:tcPr>
          <w:p w14:paraId="10EA5B4A" w14:textId="77777777" w:rsidR="005E5DF1" w:rsidRDefault="00793A95">
            <w:pPr>
              <w:spacing w:after="0" w:line="240" w:lineRule="auto"/>
              <w:jc w:val="center"/>
              <w:rPr>
                <w:rFonts w:ascii="Segoe UI" w:hAnsi="Segoe UI" w:cs="Segoe UI"/>
              </w:rPr>
            </w:pPr>
            <w:r>
              <w:rPr>
                <w:rFonts w:ascii="Segoe UI" w:hAnsi="Segoe UI"/>
              </w:rPr>
              <w:t>72.45%</w:t>
            </w:r>
          </w:p>
        </w:tc>
        <w:tc>
          <w:tcPr>
            <w:tcW w:w="1585" w:type="dxa"/>
            <w:vAlign w:val="center"/>
          </w:tcPr>
          <w:p w14:paraId="09BCD41E" w14:textId="77777777" w:rsidR="005E5DF1" w:rsidRDefault="00793A95">
            <w:pPr>
              <w:spacing w:after="0" w:line="240" w:lineRule="auto"/>
              <w:jc w:val="center"/>
              <w:rPr>
                <w:rFonts w:ascii="Segoe UI" w:hAnsi="Segoe UI" w:cs="Segoe UI"/>
              </w:rPr>
            </w:pPr>
            <w:r>
              <w:rPr>
                <w:rFonts w:ascii="Segoe UI" w:hAnsi="Segoe UI"/>
              </w:rPr>
              <w:t>57.58%</w:t>
            </w:r>
          </w:p>
        </w:tc>
      </w:tr>
    </w:tbl>
    <w:p w14:paraId="37F72DC3" w14:textId="77777777" w:rsidR="005E5DF1" w:rsidRDefault="005E5DF1"/>
    <w:p w14:paraId="20A36C35" w14:textId="77777777" w:rsidR="005E5DF1" w:rsidRDefault="00793A95">
      <w:pPr>
        <w:pStyle w:val="Heading2"/>
        <w:shd w:val="clear" w:color="auto" w:fill="FFFFFF"/>
        <w:rPr>
          <w:rFonts w:ascii="Segoe UI" w:hAnsi="Segoe UI" w:cs="Segoe UI"/>
          <w:b w:val="0"/>
          <w:bCs w:val="0"/>
          <w:color w:val="0C7580"/>
          <w:spacing w:val="12"/>
        </w:rPr>
      </w:pPr>
      <w:r>
        <w:rPr>
          <w:rFonts w:ascii="Segoe UI" w:hAnsi="Segoe UI"/>
          <w:b w:val="0"/>
          <w:color w:val="0C7580"/>
        </w:rPr>
        <w:t>Aprann plis konsènan Endikatè 12 la:</w:t>
      </w:r>
    </w:p>
    <w:p w14:paraId="387AE2FA" w14:textId="26CECA1D" w:rsidR="005E5DF1" w:rsidRDefault="006441C6">
      <w:pPr>
        <w:rPr>
          <w:rFonts w:ascii="Segoe UI" w:hAnsi="Segoe UI" w:cs="Segoe UI"/>
          <w:i/>
          <w:iCs/>
        </w:rPr>
      </w:pPr>
      <w:hyperlink r:id="rId16" w:history="1">
        <w:r w:rsidR="00793A95" w:rsidRPr="006441C6">
          <w:rPr>
            <w:rStyle w:val="Hyperlink"/>
            <w:rFonts w:ascii="Segoe UI" w:hAnsi="Segoe UI"/>
            <w:i/>
          </w:rPr>
          <w:t>Indicator 12 PowerPoint</w:t>
        </w:r>
      </w:hyperlink>
    </w:p>
    <w:p w14:paraId="5D6273B9" w14:textId="77777777" w:rsidR="005E5DF1" w:rsidRDefault="00793A95">
      <w:pPr>
        <w:rPr>
          <w:rFonts w:ascii="Segoe UI" w:hAnsi="Segoe UI" w:cs="Segoe UI"/>
        </w:rPr>
      </w:pPr>
      <w:r>
        <w:rPr>
          <w:rFonts w:ascii="Segoe UI" w:hAnsi="Segoe UI"/>
        </w:rPr>
        <w:t>Lòt Resous :</w:t>
      </w:r>
    </w:p>
    <w:p w14:paraId="24FE776B" w14:textId="77777777" w:rsidR="005E5DF1" w:rsidRDefault="00793A95">
      <w:pPr>
        <w:pStyle w:val="ListParagraph"/>
        <w:numPr>
          <w:ilvl w:val="0"/>
          <w:numId w:val="3"/>
        </w:numPr>
        <w:tabs>
          <w:tab w:val="left" w:pos="0"/>
          <w:tab w:val="left" w:pos="720"/>
        </w:tabs>
      </w:pPr>
      <w:r>
        <w:t>Apèsi Jeneral Règleman ak Lwa yo</w:t>
      </w:r>
    </w:p>
    <w:p w14:paraId="51381D56"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17" w:history="1">
        <w:r w:rsidR="00793A95">
          <w:rPr>
            <w:rStyle w:val="Hyperlink"/>
            <w:sz w:val="24"/>
          </w:rPr>
          <w:t>Sant ECTA:</w:t>
        </w:r>
      </w:hyperlink>
      <w:hyperlink r:id="rId18" w:history="1">
        <w:r w:rsidR="00793A95">
          <w:rPr>
            <w:rStyle w:val="Hyperlink"/>
            <w:sz w:val="24"/>
          </w:rPr>
          <w:t xml:space="preserve"> Egzijans Federal pou Tranzisyon sòti nan Pati C rive nan Preskolè</w:t>
        </w:r>
      </w:hyperlink>
    </w:p>
    <w:p w14:paraId="70CA416F" w14:textId="77777777" w:rsidR="005E5DF1" w:rsidRDefault="00793A95">
      <w:pPr>
        <w:pStyle w:val="ListParagraph"/>
        <w:numPr>
          <w:ilvl w:val="0"/>
          <w:numId w:val="3"/>
        </w:numPr>
        <w:tabs>
          <w:tab w:val="left" w:pos="0"/>
          <w:tab w:val="left" w:pos="720"/>
        </w:tabs>
      </w:pPr>
      <w:r>
        <w:t>Peryòd pou asire kòmansman sèvis yo ann 3yèm anivèsè</w:t>
      </w:r>
    </w:p>
    <w:p w14:paraId="1A3D2D52" w14:textId="77777777" w:rsidR="005E5DF1" w:rsidRDefault="0072349A">
      <w:pPr>
        <w:pStyle w:val="ListParagraph"/>
        <w:numPr>
          <w:ilvl w:val="1"/>
          <w:numId w:val="3"/>
        </w:numPr>
        <w:tabs>
          <w:tab w:val="left" w:pos="0"/>
          <w:tab w:val="left" w:pos="720"/>
        </w:tabs>
      </w:pPr>
      <w:hyperlink r:id="rId19" w:anchor="citem_f301-6c4a" w:history="1">
        <w:r w:rsidR="00793A95">
          <w:rPr>
            <w:rStyle w:val="Hyperlink"/>
          </w:rPr>
          <w:t>Fèy Wout Rantre Klas OSERS la:</w:t>
        </w:r>
      </w:hyperlink>
      <w:hyperlink r:id="rId20" w:anchor="citem_f301-6c4a" w:history="1">
        <w:r w:rsidR="00793A95">
          <w:rPr>
            <w:rStyle w:val="Hyperlink"/>
          </w:rPr>
          <w:t xml:space="preserve"> Rechèch Timoun Nan Kad Pati B Lwa sou Edikasyon Moun Andikape yo</w:t>
        </w:r>
      </w:hyperlink>
    </w:p>
    <w:p w14:paraId="38006F24" w14:textId="77777777" w:rsidR="005E5DF1" w:rsidRDefault="00793A95">
      <w:pPr>
        <w:pStyle w:val="ListParagraph"/>
        <w:numPr>
          <w:ilvl w:val="1"/>
          <w:numId w:val="3"/>
        </w:numPr>
        <w:tabs>
          <w:tab w:val="left" w:pos="0"/>
          <w:tab w:val="left" w:pos="720"/>
        </w:tabs>
        <w:rPr>
          <w:rStyle w:val="Hyperlink"/>
          <w:color w:val="auto"/>
          <w:u w:val="none"/>
        </w:rPr>
      </w:pPr>
      <w:r>
        <w:rPr>
          <w:rFonts w:ascii="Segoe UI" w:hAnsi="Segoe UI"/>
        </w:rPr>
        <w:t xml:space="preserve">Depatman Edikasyon Elemantè ak Segondè Massachusetts la - </w:t>
      </w:r>
      <w:hyperlink r:id="rId21" w:history="1">
        <w:r>
          <w:rPr>
            <w:rStyle w:val="Hyperlink"/>
            <w:rFonts w:ascii="Segoe UI" w:hAnsi="Segoe UI"/>
          </w:rPr>
          <w:t>Resous pou Rechèch Timoun yo</w:t>
        </w:r>
      </w:hyperlink>
    </w:p>
    <w:p w14:paraId="03B49571" w14:textId="77777777" w:rsidR="005E5DF1" w:rsidRDefault="0072349A">
      <w:pPr>
        <w:pStyle w:val="ListParagraph"/>
        <w:numPr>
          <w:ilvl w:val="1"/>
          <w:numId w:val="3"/>
        </w:numPr>
        <w:tabs>
          <w:tab w:val="left" w:pos="0"/>
          <w:tab w:val="left" w:pos="720"/>
        </w:tabs>
        <w:rPr>
          <w:rStyle w:val="Hyperlink"/>
          <w:color w:val="auto"/>
          <w:u w:val="none"/>
        </w:rPr>
      </w:pPr>
      <w:hyperlink r:id="rId22" w:history="1">
        <w:r w:rsidR="00793A95">
          <w:rPr>
            <w:rStyle w:val="Hyperlink"/>
            <w:sz w:val="24"/>
          </w:rPr>
          <w:t>Asistans Teknik Konsiltasyon SPED 2019-1:</w:t>
        </w:r>
      </w:hyperlink>
      <w:hyperlink r:id="rId23" w:history="1">
        <w:r w:rsidR="00793A95">
          <w:rPr>
            <w:rStyle w:val="Hyperlink"/>
            <w:sz w:val="24"/>
          </w:rPr>
          <w:t xml:space="preserve"> Pwogram Tranzisyon sòti nan Entèvansyon pou Timoun Piti a ale nan Ediksyon Espesyal pou Timoun Piti a - Edikasyon Espesyal (mass.edu)</w:t>
        </w:r>
      </w:hyperlink>
    </w:p>
    <w:p w14:paraId="41D5CFF7" w14:textId="77777777" w:rsidR="005E5DF1" w:rsidRDefault="0072349A">
      <w:pPr>
        <w:pStyle w:val="ListParagraph"/>
        <w:numPr>
          <w:ilvl w:val="1"/>
          <w:numId w:val="3"/>
        </w:numPr>
        <w:tabs>
          <w:tab w:val="left" w:pos="0"/>
          <w:tab w:val="left" w:pos="720"/>
        </w:tabs>
        <w:rPr>
          <w:rStyle w:val="Hyperlink"/>
          <w:color w:val="auto"/>
          <w:u w:val="none"/>
        </w:rPr>
      </w:pPr>
      <w:hyperlink r:id="rId24" w:history="1">
        <w:r w:rsidR="00793A95">
          <w:rPr>
            <w:rStyle w:val="Hyperlink"/>
            <w:sz w:val="24"/>
          </w:rPr>
          <w:t>Egzijans Tranzisyon Pati C ak Pati B pou Transfè an Reta nan Pati C yo(ectacenter.org)</w:t>
        </w:r>
      </w:hyperlink>
    </w:p>
    <w:p w14:paraId="42980E3F" w14:textId="77777777" w:rsidR="005E5DF1" w:rsidRDefault="0072349A">
      <w:pPr>
        <w:pStyle w:val="ListParagraph"/>
        <w:numPr>
          <w:ilvl w:val="1"/>
          <w:numId w:val="3"/>
        </w:numPr>
        <w:tabs>
          <w:tab w:val="left" w:pos="0"/>
          <w:tab w:val="left" w:pos="720"/>
        </w:tabs>
        <w:rPr>
          <w:rStyle w:val="Hyperlink"/>
          <w:color w:val="auto"/>
          <w:u w:val="none"/>
        </w:rPr>
      </w:pPr>
      <w:hyperlink r:id="rId25" w:history="1">
        <w:r w:rsidR="00793A95">
          <w:rPr>
            <w:rStyle w:val="Hyperlink"/>
            <w:sz w:val="24"/>
          </w:rPr>
          <w:t>Timeline_for_late_referral_accessible_version_2018-09-17.pdf (ectacenter.org)</w:t>
        </w:r>
      </w:hyperlink>
    </w:p>
    <w:p w14:paraId="5E6766B8" w14:textId="77777777" w:rsidR="005E5DF1" w:rsidRDefault="0072349A">
      <w:pPr>
        <w:pStyle w:val="ListParagraph"/>
        <w:numPr>
          <w:ilvl w:val="1"/>
          <w:numId w:val="3"/>
        </w:numPr>
        <w:tabs>
          <w:tab w:val="left" w:pos="0"/>
          <w:tab w:val="left" w:pos="720"/>
        </w:tabs>
      </w:pPr>
      <w:hyperlink r:id="rId26" w:history="1">
        <w:r w:rsidR="00793A95">
          <w:rPr>
            <w:rStyle w:val="Hyperlink"/>
            <w:sz w:val="24"/>
          </w:rPr>
          <w:t>Transition_Timeline_Flow_Chart_Final OSEP approved 10_8_12 (ectacenter.org)</w:t>
        </w:r>
      </w:hyperlink>
    </w:p>
    <w:p w14:paraId="6AEA7F74" w14:textId="77777777" w:rsidR="005E5DF1" w:rsidRDefault="00793A95">
      <w:pPr>
        <w:numPr>
          <w:ilvl w:val="0"/>
          <w:numId w:val="3"/>
        </w:numPr>
        <w:spacing w:before="100" w:beforeAutospacing="1" w:after="100" w:afterAutospacing="1" w:line="240" w:lineRule="auto"/>
        <w:rPr>
          <w:rFonts w:eastAsia="Times New Roman"/>
          <w:color w:val="000000"/>
          <w:sz w:val="24"/>
          <w:szCs w:val="24"/>
        </w:rPr>
      </w:pPr>
      <w:r>
        <w:rPr>
          <w:color w:val="000000"/>
          <w:sz w:val="24"/>
        </w:rPr>
        <w:t>Estrateji ak Resous pou LEA yo ak Pwofesyonèl EI yo</w:t>
      </w:r>
    </w:p>
    <w:p w14:paraId="41286A12"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27" w:history="1">
        <w:r w:rsidR="00793A95">
          <w:rPr>
            <w:rStyle w:val="Hyperlink"/>
            <w:sz w:val="24"/>
          </w:rPr>
          <w:t>Eleman (ectacenter.org)</w:t>
        </w:r>
      </w:hyperlink>
    </w:p>
    <w:p w14:paraId="467A01CA"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28" w:history="1">
        <w:r w:rsidR="00793A95">
          <w:rPr>
            <w:rStyle w:val="Hyperlink"/>
            <w:sz w:val="24"/>
          </w:rPr>
          <w:t>Tranzisyon sòti nan Sèvis Entèvansyon pou Timoun Piti a ale nan Lis Verifikasyon Edikasyon Espesyal pou Preskolè Pati B  (ectacenter.org)</w:t>
        </w:r>
      </w:hyperlink>
    </w:p>
    <w:p w14:paraId="0970F668"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29" w:history="1">
        <w:r w:rsidR="00793A95">
          <w:rPr>
            <w:rStyle w:val="Hyperlink"/>
            <w:sz w:val="24"/>
          </w:rPr>
          <w:t>Pwogresyon Timoun ou an Sòti nan Pwogram Entèvansyon pou Timoun Piti a ale nan Sèvis Edikasyon Espesyal pou Preskolè yo (ectacenter.org)</w:t>
        </w:r>
      </w:hyperlink>
    </w:p>
    <w:p w14:paraId="4DA9A96E" w14:textId="77777777" w:rsidR="005E5DF1" w:rsidRDefault="00793A95">
      <w:pPr>
        <w:numPr>
          <w:ilvl w:val="1"/>
          <w:numId w:val="3"/>
        </w:numPr>
        <w:spacing w:before="100" w:beforeAutospacing="1" w:after="100" w:afterAutospacing="1" w:line="240" w:lineRule="auto"/>
        <w:rPr>
          <w:rStyle w:val="Hyperlink"/>
          <w:rFonts w:eastAsia="Times New Roman"/>
          <w:sz w:val="24"/>
          <w:szCs w:val="24"/>
        </w:rPr>
      </w:pPr>
      <w:r>
        <w:rPr>
          <w:sz w:val="24"/>
        </w:rPr>
        <w:fldChar w:fldCharType="begin"/>
      </w:r>
      <w:r>
        <w:rPr>
          <w:sz w:val="24"/>
        </w:rPr>
        <w:instrText xml:space="preserve"> HYPERLINK "https://connectmodules.dec-sped.org/connect-modules/resources/videos/foundations-of-transition/" </w:instrText>
      </w:r>
      <w:r>
        <w:rPr>
          <w:sz w:val="24"/>
        </w:rPr>
        <w:fldChar w:fldCharType="separate"/>
      </w:r>
      <w:r>
        <w:rPr>
          <w:rStyle w:val="Hyperlink"/>
          <w:sz w:val="24"/>
        </w:rPr>
        <w:t>Fondasyon Tranzisyon pou Timoun Piti yo - Modil Koneksyon yo (dec-sped.org)</w:t>
      </w:r>
    </w:p>
    <w:p w14:paraId="00D5BCE7" w14:textId="77777777" w:rsidR="005E5DF1" w:rsidRDefault="00793A95">
      <w:pPr>
        <w:numPr>
          <w:ilvl w:val="1"/>
          <w:numId w:val="3"/>
        </w:numPr>
        <w:rPr>
          <w:rFonts w:eastAsia="Times New Roman"/>
          <w:color w:val="000000"/>
          <w:sz w:val="24"/>
        </w:rPr>
      </w:pPr>
      <w:r>
        <w:rPr>
          <w:sz w:val="24"/>
        </w:rPr>
        <w:fldChar w:fldCharType="end"/>
      </w:r>
      <w:hyperlink r:id="rId30" w:history="1">
        <w:r>
          <w:rPr>
            <w:rStyle w:val="Hyperlink"/>
            <w:sz w:val="24"/>
          </w:rPr>
          <w:t>Tranzisyon sòti nan Pwogram Entèvansyon pou Timoun Piti a ale nan Sèvis Edikasyon Espesyal pou Preskolè yo (ectacenter.org)</w:t>
        </w:r>
      </w:hyperlink>
    </w:p>
    <w:p w14:paraId="22BC9887"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31" w:history="1">
        <w:r w:rsidR="00793A95">
          <w:rPr>
            <w:rStyle w:val="Hyperlink"/>
            <w:sz w:val="24"/>
          </w:rPr>
          <w:t>Sant ECTA:</w:t>
        </w:r>
      </w:hyperlink>
      <w:hyperlink r:id="rId32" w:history="1">
        <w:r w:rsidR="00793A95">
          <w:rPr>
            <w:rStyle w:val="Hyperlink"/>
            <w:sz w:val="24"/>
          </w:rPr>
          <w:t xml:space="preserve"> Tranzisyon sòti nan Pati C ale nan Pati B, seksyon 619 IDEA Pandan COVID-19</w:t>
        </w:r>
      </w:hyperlink>
    </w:p>
    <w:p w14:paraId="383425C5" w14:textId="77777777" w:rsidR="005E5DF1" w:rsidRDefault="0072349A">
      <w:pPr>
        <w:numPr>
          <w:ilvl w:val="1"/>
          <w:numId w:val="3"/>
        </w:numPr>
        <w:spacing w:before="100" w:beforeAutospacing="1" w:after="100" w:afterAutospacing="1" w:line="240" w:lineRule="auto"/>
        <w:rPr>
          <w:rFonts w:eastAsia="Times New Roman"/>
          <w:color w:val="000000"/>
          <w:sz w:val="24"/>
          <w:szCs w:val="24"/>
        </w:rPr>
      </w:pPr>
      <w:hyperlink r:id="rId33" w:history="1">
        <w:r w:rsidR="00793A95">
          <w:rPr>
            <w:rStyle w:val="Hyperlink"/>
            <w:sz w:val="24"/>
          </w:rPr>
          <w:t>transition-review-documentation.docx (live.com)</w:t>
        </w:r>
      </w:hyperlink>
    </w:p>
    <w:p w14:paraId="4399DAC8" w14:textId="77777777" w:rsidR="005E5DF1" w:rsidRDefault="00793A95">
      <w:pPr>
        <w:numPr>
          <w:ilvl w:val="1"/>
          <w:numId w:val="3"/>
        </w:numPr>
        <w:spacing w:before="100" w:beforeAutospacing="1" w:after="100" w:afterAutospacing="1" w:line="240" w:lineRule="auto"/>
        <w:rPr>
          <w:rStyle w:val="Hyperlink"/>
          <w:rFonts w:eastAsia="Times New Roman"/>
          <w:sz w:val="24"/>
          <w:szCs w:val="24"/>
        </w:rPr>
      </w:pPr>
      <w:r>
        <w:rPr>
          <w:sz w:val="24"/>
        </w:rPr>
        <w:fldChar w:fldCharType="begin"/>
      </w:r>
      <w:r>
        <w:rPr>
          <w:sz w:val="24"/>
        </w:rPr>
        <w:instrText xml:space="preserve"> HYPERLINK "https://ectacenter.org/topics/transition/stateex.asp" </w:instrText>
      </w:r>
      <w:r>
        <w:rPr>
          <w:sz w:val="24"/>
        </w:rPr>
        <w:fldChar w:fldCharType="separate"/>
      </w:r>
      <w:r>
        <w:rPr>
          <w:rStyle w:val="Hyperlink"/>
          <w:sz w:val="24"/>
        </w:rPr>
        <w:t>Sant ECTA: Egzanp Tranzisyon nan Eta a</w:t>
      </w:r>
    </w:p>
    <w:p w14:paraId="006B1582" w14:textId="04304A78" w:rsidR="005E5DF1" w:rsidRDefault="00793A95">
      <w:pPr>
        <w:pStyle w:val="ListParagraph"/>
        <w:numPr>
          <w:ilvl w:val="0"/>
          <w:numId w:val="3"/>
        </w:numPr>
        <w:rPr>
          <w:rFonts w:ascii="Segoe UI" w:hAnsi="Segoe UI" w:cs="Segoe UI"/>
        </w:rPr>
      </w:pPr>
      <w:r>
        <w:rPr>
          <w:sz w:val="24"/>
        </w:rPr>
        <w:fldChar w:fldCharType="end"/>
      </w:r>
      <w:hyperlink r:id="rId34" w:history="1">
        <w:r>
          <w:rPr>
            <w:rStyle w:val="Hyperlink"/>
            <w:rFonts w:ascii="Segoe UI" w:hAnsi="Segoe UI"/>
          </w:rPr>
          <w:t>Done Endikatè pou Distri Espesifik ak Tout Eta Massachusetts la</w:t>
        </w:r>
      </w:hyperlink>
    </w:p>
    <w:p w14:paraId="2724D074" w14:textId="77777777" w:rsidR="005E5DF1" w:rsidRDefault="005E5DF1">
      <w:pPr>
        <w:spacing w:after="0" w:line="240" w:lineRule="auto"/>
        <w:rPr>
          <w:rFonts w:ascii="Segoe UI" w:hAnsi="Segoe UI" w:cs="Segoe UI"/>
        </w:rPr>
      </w:pPr>
    </w:p>
    <w:p w14:paraId="4A5DBCC5" w14:textId="77777777" w:rsidR="005E5DF1" w:rsidRDefault="005E5DF1"/>
    <w:sectPr w:rsidR="005E5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5C64" w14:textId="77777777" w:rsidR="0072349A" w:rsidRDefault="0072349A">
      <w:pPr>
        <w:spacing w:line="240" w:lineRule="auto"/>
      </w:pPr>
      <w:r>
        <w:separator/>
      </w:r>
    </w:p>
  </w:endnote>
  <w:endnote w:type="continuationSeparator" w:id="0">
    <w:p w14:paraId="380A6AFC" w14:textId="77777777" w:rsidR="0072349A" w:rsidRDefault="00723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D57E7" w14:textId="77777777" w:rsidR="0072349A" w:rsidRDefault="0072349A">
      <w:pPr>
        <w:spacing w:after="0"/>
      </w:pPr>
      <w:r>
        <w:separator/>
      </w:r>
    </w:p>
  </w:footnote>
  <w:footnote w:type="continuationSeparator" w:id="0">
    <w:p w14:paraId="573B60A4" w14:textId="77777777" w:rsidR="0072349A" w:rsidRDefault="007234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7602"/>
    <w:multiLevelType w:val="multilevel"/>
    <w:tmpl w:val="061B760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43BF2AD8"/>
    <w:multiLevelType w:val="multilevel"/>
    <w:tmpl w:val="43BF2AD8"/>
    <w:lvl w:ilvl="0">
      <w:start w:val="1"/>
      <w:numFmt w:val="bullet"/>
      <w:lvlText w:val="•"/>
      <w:lvlJc w:val="left"/>
      <w:pPr>
        <w:tabs>
          <w:tab w:val="left" w:pos="720"/>
        </w:tabs>
        <w:ind w:left="720" w:hanging="360"/>
      </w:pPr>
      <w:rPr>
        <w:rFonts w:ascii="Arial" w:hAnsi="Aria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4ACA78E6"/>
    <w:multiLevelType w:val="multilevel"/>
    <w:tmpl w:val="4ACA7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58"/>
    <w:rsid w:val="00026836"/>
    <w:rsid w:val="000274F4"/>
    <w:rsid w:val="000B2371"/>
    <w:rsid w:val="000E04B8"/>
    <w:rsid w:val="00115AC6"/>
    <w:rsid w:val="001607D6"/>
    <w:rsid w:val="001661D8"/>
    <w:rsid w:val="00236858"/>
    <w:rsid w:val="00290D4C"/>
    <w:rsid w:val="002921FD"/>
    <w:rsid w:val="002D0FBE"/>
    <w:rsid w:val="002F0183"/>
    <w:rsid w:val="002F4F2C"/>
    <w:rsid w:val="00356104"/>
    <w:rsid w:val="003657A1"/>
    <w:rsid w:val="0039668B"/>
    <w:rsid w:val="003D7ADE"/>
    <w:rsid w:val="00402375"/>
    <w:rsid w:val="00406CCC"/>
    <w:rsid w:val="004074A2"/>
    <w:rsid w:val="004138AB"/>
    <w:rsid w:val="00434979"/>
    <w:rsid w:val="0043645E"/>
    <w:rsid w:val="00470C7A"/>
    <w:rsid w:val="00473C34"/>
    <w:rsid w:val="00474EC6"/>
    <w:rsid w:val="00477435"/>
    <w:rsid w:val="004C3CBC"/>
    <w:rsid w:val="004D6DDE"/>
    <w:rsid w:val="004F1058"/>
    <w:rsid w:val="00503723"/>
    <w:rsid w:val="00557594"/>
    <w:rsid w:val="00584678"/>
    <w:rsid w:val="005B62EC"/>
    <w:rsid w:val="005D40DD"/>
    <w:rsid w:val="005E5DF1"/>
    <w:rsid w:val="005F3AFA"/>
    <w:rsid w:val="00623A9F"/>
    <w:rsid w:val="00640DE0"/>
    <w:rsid w:val="006441C6"/>
    <w:rsid w:val="00684052"/>
    <w:rsid w:val="0070424B"/>
    <w:rsid w:val="00714B01"/>
    <w:rsid w:val="0072349A"/>
    <w:rsid w:val="00744284"/>
    <w:rsid w:val="00793A95"/>
    <w:rsid w:val="00794557"/>
    <w:rsid w:val="0079749F"/>
    <w:rsid w:val="007A36FE"/>
    <w:rsid w:val="007B5DFA"/>
    <w:rsid w:val="007C51DE"/>
    <w:rsid w:val="0084578A"/>
    <w:rsid w:val="00863CD9"/>
    <w:rsid w:val="00871536"/>
    <w:rsid w:val="008C3689"/>
    <w:rsid w:val="008F1ECF"/>
    <w:rsid w:val="009073D3"/>
    <w:rsid w:val="0092506E"/>
    <w:rsid w:val="00970677"/>
    <w:rsid w:val="009724D8"/>
    <w:rsid w:val="009D0E3A"/>
    <w:rsid w:val="00A252F2"/>
    <w:rsid w:val="00A326F8"/>
    <w:rsid w:val="00A44128"/>
    <w:rsid w:val="00AA7280"/>
    <w:rsid w:val="00AD3075"/>
    <w:rsid w:val="00AD4C05"/>
    <w:rsid w:val="00B32F26"/>
    <w:rsid w:val="00BB08B7"/>
    <w:rsid w:val="00D104D2"/>
    <w:rsid w:val="00D21195"/>
    <w:rsid w:val="00D42522"/>
    <w:rsid w:val="00D47D8F"/>
    <w:rsid w:val="00D53334"/>
    <w:rsid w:val="00E25EF5"/>
    <w:rsid w:val="00E33FE9"/>
    <w:rsid w:val="00E35FEC"/>
    <w:rsid w:val="00E5673B"/>
    <w:rsid w:val="00E91AC1"/>
    <w:rsid w:val="00EB7E00"/>
    <w:rsid w:val="00EF6F20"/>
    <w:rsid w:val="00F80A2C"/>
    <w:rsid w:val="00FD6576"/>
    <w:rsid w:val="0133D12D"/>
    <w:rsid w:val="061CDF3C"/>
    <w:rsid w:val="06A698EA"/>
    <w:rsid w:val="0CA4E9BF"/>
    <w:rsid w:val="0D381DC3"/>
    <w:rsid w:val="0D406E22"/>
    <w:rsid w:val="0D44E1B9"/>
    <w:rsid w:val="10224393"/>
    <w:rsid w:val="116F3741"/>
    <w:rsid w:val="121852DC"/>
    <w:rsid w:val="24714743"/>
    <w:rsid w:val="34B20AAF"/>
    <w:rsid w:val="3E1C1D88"/>
    <w:rsid w:val="4EDB43B4"/>
    <w:rsid w:val="55C9D517"/>
    <w:rsid w:val="6617368F"/>
    <w:rsid w:val="69AE6C3A"/>
    <w:rsid w:val="709220D2"/>
    <w:rsid w:val="7BB06515"/>
    <w:rsid w:val="7E11A7CC"/>
    <w:rsid w:val="7ECB79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F9EE"/>
  <w15:docId w15:val="{B5C10406-EC76-4113-9A92-D9BC8ACB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UnresolvedMention">
    <w:name w:val="Unresolved Mention"/>
    <w:basedOn w:val="DefaultParagraphFont"/>
    <w:uiPriority w:val="99"/>
    <w:semiHidden/>
    <w:unhideWhenUsed/>
    <w:rsid w:val="00644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ped/spp/indicators/indicator12/indicator12-vietnamese.docx" TargetMode="External"/><Relationship Id="rId18" Type="http://schemas.openxmlformats.org/officeDocument/2006/relationships/hyperlink" Target="https://ectacenter.org/topics/transition/reglaw.asp" TargetMode="External"/><Relationship Id="rId26" Type="http://schemas.openxmlformats.org/officeDocument/2006/relationships/hyperlink" Target="https://ectacenter.org/~pdfs/topics/transition/timeline_flowchart_APR_indicators_09-12_OSEP_approved.pdf" TargetMode="External"/><Relationship Id="rId3" Type="http://schemas.openxmlformats.org/officeDocument/2006/relationships/customXml" Target="../customXml/item3.xml"/><Relationship Id="rId21" Type="http://schemas.openxmlformats.org/officeDocument/2006/relationships/hyperlink" Target="https://www.doe.mass.edu/sped/ta/docs/child-find-resources/" TargetMode="External"/><Relationship Id="rId34" Type="http://schemas.openxmlformats.org/officeDocument/2006/relationships/hyperlink" Target="https://profiles.doe.mass.edu/statereport/special_education.aspx" TargetMode="External"/><Relationship Id="rId7" Type="http://schemas.openxmlformats.org/officeDocument/2006/relationships/webSettings" Target="webSettings.xml"/><Relationship Id="rId12" Type="http://schemas.openxmlformats.org/officeDocument/2006/relationships/hyperlink" Target="https://www.doe.mass.edu/sped/spp/indicators/indicator12/indicator12-spanish.docx" TargetMode="External"/><Relationship Id="rId17" Type="http://schemas.openxmlformats.org/officeDocument/2006/relationships/hyperlink" Target="https://ectacenter.org/topics/transition/reglaw.asp" TargetMode="External"/><Relationship Id="rId25" Type="http://schemas.openxmlformats.org/officeDocument/2006/relationships/hyperlink" Target="https://ectacenter.org/~pdfs/topics/transition/Timeline_for_late_referral_accessible_version_2018-09-17.pdf" TargetMode="External"/><Relationship Id="rId33" Type="http://schemas.openxmlformats.org/officeDocument/2006/relationships/hyperlink" Target="https://view.officeapps.live.com/op/view.aspx?src=https://ectacenter.org/~docs/topics/transition/transition-review-documentation.docx&amp;wdOrigin=BROWSELINK" TargetMode="External"/><Relationship Id="rId2" Type="http://schemas.openxmlformats.org/officeDocument/2006/relationships/customXml" Target="../customXml/item2.xml"/><Relationship Id="rId16" Type="http://schemas.openxmlformats.org/officeDocument/2006/relationships/hyperlink" Target="https://www.doe.mass.edu/sped/spp/indicators/indicator12/indicator12-slides-haitiancreole.pptx" TargetMode="External"/><Relationship Id="rId20" Type="http://schemas.openxmlformats.org/officeDocument/2006/relationships/hyperlink" Target="https://sites.ed.gov/idea/idea-files/rts-qa-child-find-part-b-08-24-2021/" TargetMode="External"/><Relationship Id="rId29" Type="http://schemas.openxmlformats.org/officeDocument/2006/relationships/hyperlink" Target="https://ectacenter.org/~pdfs/decrp/PGF_TR2_eitopreschool_20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ped/spp/indicators/indicator12/indicator12-portuguese.docx" TargetMode="External"/><Relationship Id="rId24" Type="http://schemas.openxmlformats.org/officeDocument/2006/relationships/hyperlink" Target="https://ectacenter.org/~pdfs/topics/transition/Timeline_for_late_referral.pdf" TargetMode="External"/><Relationship Id="rId32" Type="http://schemas.openxmlformats.org/officeDocument/2006/relationships/hyperlink" Target="https://ectacenter.org/topics/disaster/coronavirus-transition.asp" TargetMode="External"/><Relationship Id="rId5" Type="http://schemas.openxmlformats.org/officeDocument/2006/relationships/styles" Target="styles.xml"/><Relationship Id="rId15" Type="http://schemas.openxmlformats.org/officeDocument/2006/relationships/hyperlink" Target="https://sites.ed.gov/idea/regs/b/b/300.101" TargetMode="External"/><Relationship Id="rId23" Type="http://schemas.openxmlformats.org/officeDocument/2006/relationships/hyperlink" Target="https://www.doe.mass.edu/sped/advisories/2019-1ta.html" TargetMode="External"/><Relationship Id="rId28" Type="http://schemas.openxmlformats.org/officeDocument/2006/relationships/hyperlink" Target="https://ectacenter.org/~pdfs/decrp/TR-2_EI_to_Preschool_2018.pdf" TargetMode="External"/><Relationship Id="rId36" Type="http://schemas.openxmlformats.org/officeDocument/2006/relationships/theme" Target="theme/theme1.xml"/><Relationship Id="rId10" Type="http://schemas.openxmlformats.org/officeDocument/2006/relationships/hyperlink" Target="https://www.doe.mass.edu/sped/spp/indicators/indicator12/indicator12-chinese.docx" TargetMode="External"/><Relationship Id="rId19" Type="http://schemas.openxmlformats.org/officeDocument/2006/relationships/hyperlink" Target="https://sites.ed.gov/idea/idea-files/rts-qa-child-find-part-b-08-24-2021/" TargetMode="External"/><Relationship Id="rId31" Type="http://schemas.openxmlformats.org/officeDocument/2006/relationships/hyperlink" Target="https://ectacenter.org/topics/disaster/coronavirus-transition.a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tes.ed.gov/idea/regs/b/d/300.323" TargetMode="External"/><Relationship Id="rId22" Type="http://schemas.openxmlformats.org/officeDocument/2006/relationships/hyperlink" Target="https://www.doe.mass.edu/sped/advisories/2019-1ta.html" TargetMode="External"/><Relationship Id="rId27" Type="http://schemas.openxmlformats.org/officeDocument/2006/relationships/hyperlink" Target="https://ectacenter.org/~pdfs/topics/transition/TransitionSelf_Assessment_09_15_08.pdf" TargetMode="External"/><Relationship Id="rId30" Type="http://schemas.openxmlformats.org/officeDocument/2006/relationships/hyperlink" Target="https://ectacenter.org/~pdfs/decrp/PGP_TRN2_eitopreschool_2018.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810C4F-F8A3-47FD-BED8-6347F971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5B19D-4BAD-483B-99D3-421A825AECB1}">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1BF94AB2-B792-4CA2-83F7-D6F91B06E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12: Early Childhood Transition (Part C to B Transition) — Haitian Creole</dc:title>
  <dc:subject/>
  <dc:creator>DESE</dc:creator>
  <cp:keywords/>
  <cp:lastModifiedBy>Zou, Dong (EOE)</cp:lastModifiedBy>
  <cp:revision>10</cp:revision>
  <dcterms:created xsi:type="dcterms:W3CDTF">2022-11-01T13:04:00Z</dcterms:created>
  <dcterms:modified xsi:type="dcterms:W3CDTF">2023-01-26T19:21:00Z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