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19504840"/>
    <w:p w14:paraId="20E0D35F" w14:textId="0661A8C2" w:rsidR="009F75B1" w:rsidRPr="006670A1" w:rsidRDefault="006A1063" w:rsidP="009F7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rPr>
          <w:rFonts w:ascii="SimSun" w:eastAsia="SimSun" w:hAnsi="SimSun" w:cs="SimSun"/>
          <w:b/>
          <w:bCs/>
          <w:shd w:val="clear" w:color="auto" w:fill="FFFFFF"/>
        </w:rPr>
        <w:fldChar w:fldCharType="begin"/>
      </w:r>
      <w:r>
        <w:rPr>
          <w:rFonts w:ascii="SimSun" w:eastAsia="SimSun" w:hAnsi="SimSun" w:cs="SimSun"/>
          <w:b/>
          <w:bCs/>
          <w:shd w:val="clear" w:color="auto" w:fill="FFFFFF"/>
        </w:rPr>
        <w:instrText xml:space="preserve"> HYPERLINK "https://www.doe.mass.edu/sped/spp/indicators/indicator13/" </w:instrTex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separate"/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F75B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9F75B1" w:rsidRPr="006A1063">
        <w:rPr>
          <w:rFonts w:ascii="SimSun" w:eastAsia="SimSun" w:hAnsi="SimSun" w:cs="SimSun" w:hint="eastAsia"/>
          <w:b/>
          <w:bCs/>
        </w:rPr>
        <w:t>繁體中文</w:t>
      </w:r>
      <w:proofErr w:type="spellEnd"/>
      <w:r w:rsidR="009F75B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8405D7">
        <w:fldChar w:fldCharType="begin"/>
      </w:r>
      <w:r w:rsidR="008405D7">
        <w:instrText xml:space="preserve"> HYPERLINK "https://www.doe.mass.edu/sped/spp/indicators/indicator13/indicator13-haitiancreole.docx" </w:instrText>
      </w:r>
      <w:r w:rsidR="008405D7">
        <w:fldChar w:fldCharType="separate"/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 w:rsidR="008405D7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F75B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8405D7">
        <w:fldChar w:fldCharType="begin"/>
      </w:r>
      <w:r w:rsidR="008405D7">
        <w:instrText xml:space="preserve"> HYPERLINK "https://www.doe.mass.edu/sped/spp/indicators/indicator13/indicator13-portuguese.docx" </w:instrText>
      </w:r>
      <w:r w:rsidR="008405D7">
        <w:fldChar w:fldCharType="separate"/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8405D7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F75B1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 w:rsidR="008405D7">
        <w:fldChar w:fldCharType="begin"/>
      </w:r>
      <w:r w:rsidR="008405D7">
        <w:instrText xml:space="preserve"> HYPERLINK "https://w</w:instrText>
      </w:r>
      <w:r w:rsidR="008405D7">
        <w:instrText xml:space="preserve">ww.doe.mass.edu/sped/spp/indicators/indicator13/indicator13-spanish.docx" </w:instrText>
      </w:r>
      <w:r w:rsidR="008405D7">
        <w:fldChar w:fldCharType="separate"/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 w:rsidR="008405D7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9F75B1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8405D7">
        <w:fldChar w:fldCharType="begin"/>
      </w:r>
      <w:r w:rsidR="008405D7">
        <w:instrText xml:space="preserve"> HYPERLINK "https://www.doe.mass.edu/sped/spp/indicators/indicator13/indicator13-vietnamese.docx" </w:instrText>
      </w:r>
      <w:r w:rsidR="008405D7">
        <w:fldChar w:fldCharType="separate"/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9F75B1" w:rsidRPr="006A1063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9F75B1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 w:rsidR="008405D7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bookmarkEnd w:id="0"/>
    <w:p w14:paraId="3256F3E2" w14:textId="486AB40E" w:rsidR="00997147" w:rsidRDefault="00A642F2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 w:rsidRPr="00997147">
        <w:rPr>
          <w:rFonts w:ascii="SimSun" w:eastAsia="SimSun" w:hAnsi="SimSun" w:cs="SimSun"/>
          <w:color w:val="0C7580"/>
          <w:spacing w:val="12"/>
          <w:sz w:val="36"/>
          <w:szCs w:val="36"/>
        </w:rPr>
        <w:t>什么是指标13（中学阶段过渡）？</w:t>
      </w:r>
    </w:p>
    <w:p w14:paraId="769356D8" w14:textId="77777777" w:rsidR="004A26BB" w:rsidRPr="004A26BB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4A26BB">
        <w:rPr>
          <w:rFonts w:ascii="SimSun" w:eastAsia="SimSun" w:hAnsi="SimSun" w:cs="SimSun"/>
        </w:rPr>
        <w:t>指标13验证参与个体化教育计划（IEPs）的14岁或14岁以上麻萨诸塞州学生是否按照《联邦残疾人教育法案》接受中学阶段过渡规划和服务。</w:t>
      </w:r>
    </w:p>
    <w:p w14:paraId="0D77A691" w14:textId="77777777" w:rsidR="004A26BB" w:rsidRPr="004A26BB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4A26BB">
        <w:rPr>
          <w:rFonts w:ascii="SimSun" w:eastAsia="SimSun" w:hAnsi="SimSun" w:cs="SimSun"/>
        </w:rPr>
        <w:t>IDEA过渡规划和服务在联邦法规的以下部分中获得授权：§300.43、§300.305、§300.320、§300.321、§300.322、§300.324、§300.520、§300.622。</w:t>
      </w:r>
    </w:p>
    <w:p w14:paraId="423DB329" w14:textId="77777777" w:rsidR="004A26BB" w:rsidRPr="004A26BB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4A26BB">
        <w:rPr>
          <w:rFonts w:ascii="SimSun" w:eastAsia="SimSun" w:hAnsi="SimSun" w:cs="SimSun"/>
        </w:rPr>
        <w:t>麻萨诸塞州法律规定，过渡计划和服务应不晚于学生14岁生日开始，这比联邦规定的16岁早两年。因此，麻萨诸塞州将14岁作为指标13的审查标准。</w:t>
      </w:r>
    </w:p>
    <w:p w14:paraId="31A8083B" w14:textId="40B8C41B" w:rsidR="00702EEA" w:rsidRDefault="00A642F2" w:rsidP="00702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 w:rsidRPr="00236858">
        <w:rPr>
          <w:rFonts w:ascii="SimSun" w:eastAsia="SimSun" w:hAnsi="SimSun" w:cs="SimSun"/>
          <w:color w:val="0C7580"/>
          <w:spacing w:val="12"/>
          <w:sz w:val="36"/>
          <w:szCs w:val="36"/>
        </w:rPr>
        <w:t>指标13为何重要？</w:t>
      </w:r>
    </w:p>
    <w:p w14:paraId="343150C4" w14:textId="77777777" w:rsidR="001B1C64" w:rsidRPr="001B1C64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1B1C64">
        <w:rPr>
          <w:rFonts w:ascii="SimSun" w:eastAsia="SimSun" w:hAnsi="SimSun" w:cs="SimSun"/>
        </w:rPr>
        <w:t>指标13是麻萨诸塞州确保学校和学区遵守联邦和州特殊教育法的一种方式。</w:t>
      </w:r>
    </w:p>
    <w:p w14:paraId="62F43DBA" w14:textId="7792F4E2" w:rsidR="001B1C64" w:rsidRPr="001B1C64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1B1C64">
        <w:rPr>
          <w:rFonts w:ascii="SimSun" w:eastAsia="SimSun" w:hAnsi="SimSun" w:cs="SimSun"/>
        </w:rPr>
        <w:t>如果接受IEPs学生有符合规定的中学阶段过渡规划和服务，他们更有可能在高中后的教育/培训、就业、独立生活和社区参与方面取得积极的成果。</w:t>
      </w:r>
    </w:p>
    <w:p w14:paraId="4EF0F032" w14:textId="09B39B90" w:rsidR="001B1C64" w:rsidRPr="001B1C64" w:rsidRDefault="00A642F2" w:rsidP="001B1C64">
      <w:pPr>
        <w:numPr>
          <w:ilvl w:val="0"/>
          <w:numId w:val="12"/>
        </w:numPr>
        <w:rPr>
          <w:rFonts w:ascii="Segoe UI" w:hAnsi="Segoe UI" w:cs="Segoe UI"/>
        </w:rPr>
      </w:pPr>
      <w:r w:rsidRPr="001B1C64">
        <w:rPr>
          <w:rFonts w:ascii="SimSun" w:eastAsia="SimSun" w:hAnsi="SimSun" w:cs="SimSun"/>
        </w:rPr>
        <w:t>指标13还帮助麻萨诸塞州中小学教育部（DESE）了解哪些学校和学区可能需要其他的职业发展和其他资源，来支持学生的中学阶段过渡需求。</w:t>
      </w:r>
    </w:p>
    <w:p w14:paraId="18A28786" w14:textId="77777777" w:rsidR="002C2973" w:rsidRDefault="00A642F2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 w:rsidRPr="00CA64D0">
        <w:rPr>
          <w:rFonts w:ascii="SimSun" w:eastAsia="SimSun" w:hAnsi="SimSun" w:cs="SimSun"/>
          <w:color w:val="0C7580"/>
          <w:spacing w:val="12"/>
          <w:sz w:val="36"/>
          <w:szCs w:val="36"/>
        </w:rPr>
        <w:t>麻萨诸塞州如何收集指标13的数据？</w:t>
      </w:r>
    </w:p>
    <w:p w14:paraId="6A798EA4" w14:textId="717DBC04" w:rsidR="0068562A" w:rsidRDefault="00A642F2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  <w:r w:rsidRPr="00C66F86">
        <w:rPr>
          <w:rFonts w:ascii="SimSun" w:eastAsia="SimSun" w:hAnsi="SimSun" w:cs="SimSun"/>
          <w:color w:val="101D35"/>
          <w:kern w:val="24"/>
        </w:rPr>
        <w:t>每年，中小学教育部要求，麻萨诸塞州各学区使用有指标13要求的检查表对14岁及14岁以上的接受 IEPs的学生的档案样本进行审查。利用这些文件审查的结果进行联邦要求的计算，来确定全州范围内的指标13的符合率。</w:t>
      </w:r>
    </w:p>
    <w:p w14:paraId="1FBA7045" w14:textId="77777777" w:rsidR="005F006C" w:rsidRPr="0068562A" w:rsidRDefault="005F006C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</w:p>
    <w:p w14:paraId="12CA865C" w14:textId="77777777" w:rsidR="00406DEB" w:rsidRDefault="00A642F2" w:rsidP="00790638">
      <w:pPr>
        <w:autoSpaceDE w:val="0"/>
        <w:autoSpaceDN w:val="0"/>
        <w:adjustRightInd w:val="0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bookmarkStart w:id="1" w:name="_Hlk98328556"/>
      <w:bookmarkStart w:id="2" w:name="_Hlk98332978"/>
      <w:r w:rsidRPr="00406DEB">
        <w:rPr>
          <w:rFonts w:ascii="SimSun" w:eastAsia="SimSun" w:hAnsi="SimSun" w:cs="SimSun"/>
          <w:color w:val="0C7580"/>
          <w:spacing w:val="12"/>
          <w:sz w:val="36"/>
          <w:szCs w:val="36"/>
        </w:rPr>
        <w:t>如何衡量1指标13在全州范围内的符合率？</w:t>
      </w:r>
    </w:p>
    <w:bookmarkEnd w:id="1"/>
    <w:p w14:paraId="154CB912" w14:textId="77777777" w:rsidR="00197F6E" w:rsidRPr="00197F6E" w:rsidRDefault="00A642F2" w:rsidP="00197F6E">
      <w:pPr>
        <w:rPr>
          <w:rFonts w:ascii="Segoe UI" w:hAnsi="Segoe UI" w:cs="Segoe UI"/>
          <w:color w:val="101D35"/>
          <w:kern w:val="24"/>
        </w:rPr>
      </w:pPr>
      <w:r w:rsidRPr="00197F6E">
        <w:rPr>
          <w:rFonts w:ascii="SimSun" w:eastAsia="SimSun" w:hAnsi="SimSun" w:cs="SimSun"/>
          <w:color w:val="101D35"/>
          <w:kern w:val="24"/>
        </w:rPr>
        <w:t>接受包括以下各项计划的14岁和14岁以上青少年的比例：</w:t>
      </w:r>
    </w:p>
    <w:p w14:paraId="3B64B132" w14:textId="6B198826" w:rsidR="00197F6E" w:rsidRPr="00197F6E" w:rsidRDefault="00A642F2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 w:rsidRPr="00197F6E">
        <w:rPr>
          <w:rFonts w:ascii="SimSun" w:eastAsia="SimSun" w:hAnsi="SimSun" w:cs="SimSun"/>
        </w:rPr>
        <w:t>每年更新的适当的可衡量的中学后目标，并基于与适龄的过渡评估</w:t>
      </w:r>
      <w:proofErr w:type="spellEnd"/>
      <w:r w:rsidRPr="00197F6E">
        <w:rPr>
          <w:rFonts w:ascii="SimSun" w:eastAsia="SimSun" w:hAnsi="SimSun" w:cs="SimSun"/>
        </w:rPr>
        <w:t>；</w:t>
      </w:r>
    </w:p>
    <w:p w14:paraId="20EE93D9" w14:textId="2F6D7632" w:rsidR="00197F6E" w:rsidRPr="00197F6E" w:rsidRDefault="00A642F2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 w:rsidRPr="00197F6E">
        <w:rPr>
          <w:rFonts w:ascii="SimSun" w:eastAsia="SimSun" w:hAnsi="SimSun" w:cs="SimSun"/>
        </w:rPr>
        <w:t>过渡服务项目，包括学习课程，使学生能够合理地实现这些中学后目标</w:t>
      </w:r>
      <w:proofErr w:type="spellEnd"/>
      <w:r w:rsidRPr="00197F6E">
        <w:rPr>
          <w:rFonts w:ascii="SimSun" w:eastAsia="SimSun" w:hAnsi="SimSun" w:cs="SimSun"/>
        </w:rPr>
        <w:t>；</w:t>
      </w:r>
    </w:p>
    <w:p w14:paraId="7BAAA6A6" w14:textId="09F2FFAF" w:rsidR="00197F6E" w:rsidRPr="00197F6E" w:rsidRDefault="00A642F2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 w:rsidRPr="00197F6E">
        <w:rPr>
          <w:rFonts w:ascii="SimSun" w:eastAsia="SimSun" w:hAnsi="SimSun" w:cs="SimSun"/>
        </w:rPr>
        <w:t>与学生过渡服务需求相关的年度IEP目标</w:t>
      </w:r>
      <w:proofErr w:type="spellEnd"/>
      <w:r w:rsidRPr="00197F6E">
        <w:rPr>
          <w:rFonts w:ascii="SimSun" w:eastAsia="SimSun" w:hAnsi="SimSun" w:cs="SimSun"/>
        </w:rPr>
        <w:t>；</w:t>
      </w:r>
    </w:p>
    <w:p w14:paraId="5CC81EB2" w14:textId="38206C9C" w:rsidR="00197F6E" w:rsidRPr="00197F6E" w:rsidRDefault="00A642F2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 w:rsidRPr="00197F6E">
        <w:rPr>
          <w:rFonts w:ascii="SimSun" w:eastAsia="SimSun" w:hAnsi="SimSun" w:cs="SimSun"/>
        </w:rPr>
        <w:t>学生应邀参加IEP小组会议的证据，将在会议中讨论过渡服务；以及</w:t>
      </w:r>
      <w:proofErr w:type="spellEnd"/>
    </w:p>
    <w:p w14:paraId="044E7E31" w14:textId="77777777" w:rsidR="00197F6E" w:rsidRPr="00197F6E" w:rsidRDefault="00A642F2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r w:rsidRPr="00197F6E">
        <w:rPr>
          <w:rFonts w:ascii="SimSun" w:eastAsia="SimSun" w:hAnsi="SimSun" w:cs="SimSun"/>
        </w:rPr>
        <w:t>在适当情况下，任何可能负责提供过渡服务或支付过渡服务（在适当情况下，包括就业前过渡服务）费用的参与机构的代表应邀参加IEP小组的会议的证据，该代表事先得到家长许可或已达到成年年龄的学生的同意。</w:t>
      </w:r>
    </w:p>
    <w:bookmarkEnd w:id="2"/>
    <w:p w14:paraId="7753A125" w14:textId="77777777" w:rsidR="00DB2559" w:rsidRDefault="00A642F2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lastRenderedPageBreak/>
        <w:t>指标13数据</w:t>
      </w:r>
    </w:p>
    <w:p w14:paraId="7D48E97E" w14:textId="58418043" w:rsidR="00DB2559" w:rsidRDefault="00A642F2" w:rsidP="00236858">
      <w:pPr>
        <w:pStyle w:val="Heading2"/>
        <w:shd w:val="clear" w:color="auto" w:fill="FFFFFF"/>
        <w:rPr>
          <w:rStyle w:val="eop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</w:rPr>
      </w:pPr>
      <w:r w:rsidRPr="00BF72C6">
        <w:rPr>
          <w:rStyle w:val="normaltextrun"/>
          <w:rFonts w:ascii="SimSun" w:eastAsia="SimSun" w:hAnsi="SimSun" w:cs="SimSun"/>
          <w:b w:val="0"/>
          <w:bCs w:val="0"/>
          <w:color w:val="000000"/>
          <w:sz w:val="22"/>
          <w:szCs w:val="22"/>
          <w:shd w:val="clear" w:color="auto" w:fill="FFFFFF"/>
        </w:rPr>
        <w:t>由于这是衡量符合性，因此，联邦政府要求符合性目标达到100%。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534"/>
        <w:gridCol w:w="1619"/>
        <w:gridCol w:w="1619"/>
        <w:gridCol w:w="1620"/>
        <w:gridCol w:w="1620"/>
      </w:tblGrid>
      <w:tr w:rsidR="00E87D72" w14:paraId="2FEE329B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49333DB3" w14:textId="4EB74B09" w:rsidR="00C710D3" w:rsidRPr="00A94411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 w:rsidRPr="00A94411">
              <w:rPr>
                <w:rFonts w:ascii="SimSun" w:eastAsia="SimSun" w:hAnsi="SimSun" w:cs="SimSun"/>
                <w:b/>
                <w:bCs/>
              </w:rPr>
              <w:t>学年</w:t>
            </w:r>
            <w:proofErr w:type="spellEnd"/>
          </w:p>
        </w:tc>
        <w:tc>
          <w:tcPr>
            <w:tcW w:w="1534" w:type="dxa"/>
            <w:vAlign w:val="center"/>
          </w:tcPr>
          <w:p w14:paraId="0EDDE920" w14:textId="2BE9F39B" w:rsidR="00C710D3" w:rsidRPr="0068562A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562A">
              <w:rPr>
                <w:rFonts w:ascii="SimSun" w:eastAsia="SimSun" w:hAnsi="SimSun" w:cs="SimSun"/>
                <w:b/>
                <w:bCs/>
              </w:rPr>
              <w:t>2016-17</w:t>
            </w:r>
          </w:p>
        </w:tc>
        <w:tc>
          <w:tcPr>
            <w:tcW w:w="1619" w:type="dxa"/>
            <w:vAlign w:val="center"/>
          </w:tcPr>
          <w:p w14:paraId="72452B97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562A">
              <w:rPr>
                <w:rFonts w:ascii="SimSun" w:eastAsia="SimSun" w:hAnsi="SimSun" w:cs="SimSun"/>
                <w:b/>
                <w:bCs/>
              </w:rPr>
              <w:t>2017-18</w:t>
            </w:r>
          </w:p>
        </w:tc>
        <w:tc>
          <w:tcPr>
            <w:tcW w:w="1619" w:type="dxa"/>
            <w:vAlign w:val="center"/>
          </w:tcPr>
          <w:p w14:paraId="62A63E2F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562A">
              <w:rPr>
                <w:rFonts w:ascii="SimSun" w:eastAsia="SimSun" w:hAnsi="SimSun" w:cs="SimSun"/>
                <w:b/>
                <w:bCs/>
              </w:rPr>
              <w:t>2018-19</w:t>
            </w:r>
          </w:p>
        </w:tc>
        <w:tc>
          <w:tcPr>
            <w:tcW w:w="1620" w:type="dxa"/>
            <w:vAlign w:val="center"/>
          </w:tcPr>
          <w:p w14:paraId="1EAC7482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562A">
              <w:rPr>
                <w:rFonts w:ascii="SimSun" w:eastAsia="SimSun" w:hAnsi="SimSun" w:cs="SimSun"/>
                <w:b/>
                <w:bCs/>
              </w:rPr>
              <w:t>2019-20</w:t>
            </w:r>
          </w:p>
        </w:tc>
        <w:tc>
          <w:tcPr>
            <w:tcW w:w="1620" w:type="dxa"/>
            <w:vAlign w:val="center"/>
          </w:tcPr>
          <w:p w14:paraId="58FE5420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562A">
              <w:rPr>
                <w:rFonts w:ascii="SimSun" w:eastAsia="SimSun" w:hAnsi="SimSun" w:cs="SimSun"/>
                <w:b/>
                <w:bCs/>
              </w:rPr>
              <w:t xml:space="preserve">2020—2021 </w:t>
            </w:r>
          </w:p>
        </w:tc>
      </w:tr>
      <w:tr w:rsidR="00E87D72" w14:paraId="627C57B5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67C362B4" w14:textId="17A3ECB5" w:rsidR="00C710D3" w:rsidRPr="00A94411" w:rsidRDefault="00A642F2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imSun" w:eastAsia="SimSun" w:hAnsi="SimSun" w:cs="SimSun"/>
                <w:b/>
                <w:bCs/>
              </w:rPr>
              <w:t>全州范围的符合性百分比</w:t>
            </w:r>
            <w:proofErr w:type="spellEnd"/>
          </w:p>
        </w:tc>
        <w:tc>
          <w:tcPr>
            <w:tcW w:w="1534" w:type="dxa"/>
            <w:vAlign w:val="center"/>
          </w:tcPr>
          <w:p w14:paraId="60183C1F" w14:textId="3B8E93A8" w:rsidR="00C710D3" w:rsidRPr="0068562A" w:rsidRDefault="00A642F2" w:rsidP="006B6E5F">
            <w:pPr>
              <w:jc w:val="center"/>
              <w:rPr>
                <w:rFonts w:ascii="Segoe UI" w:hAnsi="Segoe UI" w:cs="Segoe UI"/>
              </w:rPr>
            </w:pPr>
            <w:r w:rsidRPr="0068562A">
              <w:rPr>
                <w:rFonts w:ascii="SimSun" w:eastAsia="SimSun" w:hAnsi="SimSun" w:cs="SimSun"/>
              </w:rPr>
              <w:t>99.80%</w:t>
            </w:r>
          </w:p>
        </w:tc>
        <w:tc>
          <w:tcPr>
            <w:tcW w:w="1619" w:type="dxa"/>
            <w:vAlign w:val="center"/>
          </w:tcPr>
          <w:p w14:paraId="1CC76CF9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</w:rPr>
            </w:pPr>
            <w:r w:rsidRPr="0068562A">
              <w:rPr>
                <w:rFonts w:ascii="SimSun" w:eastAsia="SimSun" w:hAnsi="SimSun" w:cs="SimSun"/>
              </w:rPr>
              <w:t>97.09%</w:t>
            </w:r>
          </w:p>
        </w:tc>
        <w:tc>
          <w:tcPr>
            <w:tcW w:w="1619" w:type="dxa"/>
            <w:vAlign w:val="center"/>
          </w:tcPr>
          <w:p w14:paraId="29AC3BAA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</w:rPr>
            </w:pPr>
            <w:r w:rsidRPr="0068562A">
              <w:rPr>
                <w:rFonts w:ascii="SimSun" w:eastAsia="SimSun" w:hAnsi="SimSun" w:cs="SimSun"/>
              </w:rPr>
              <w:t>96.99%</w:t>
            </w:r>
          </w:p>
        </w:tc>
        <w:tc>
          <w:tcPr>
            <w:tcW w:w="1620" w:type="dxa"/>
            <w:vAlign w:val="center"/>
          </w:tcPr>
          <w:p w14:paraId="4F79ACDE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</w:rPr>
            </w:pPr>
            <w:r w:rsidRPr="0068562A">
              <w:rPr>
                <w:rFonts w:ascii="SimSun" w:eastAsia="SimSun" w:hAnsi="SimSun" w:cs="SimSun"/>
              </w:rPr>
              <w:t>97.45%</w:t>
            </w:r>
          </w:p>
        </w:tc>
        <w:tc>
          <w:tcPr>
            <w:tcW w:w="1620" w:type="dxa"/>
            <w:vAlign w:val="center"/>
          </w:tcPr>
          <w:p w14:paraId="09E99EC3" w14:textId="77777777" w:rsidR="00C710D3" w:rsidRPr="0068562A" w:rsidRDefault="00A642F2" w:rsidP="006B6E5F">
            <w:pPr>
              <w:jc w:val="center"/>
              <w:rPr>
                <w:rFonts w:ascii="Segoe UI" w:hAnsi="Segoe UI" w:cs="Segoe UI"/>
              </w:rPr>
            </w:pPr>
            <w:r w:rsidRPr="0068562A">
              <w:rPr>
                <w:rFonts w:ascii="SimSun" w:eastAsia="SimSun" w:hAnsi="SimSun" w:cs="SimSun"/>
              </w:rPr>
              <w:t>97.46%</w:t>
            </w:r>
          </w:p>
        </w:tc>
      </w:tr>
    </w:tbl>
    <w:p w14:paraId="25D6FED1" w14:textId="46A431A4" w:rsidR="00236858" w:rsidRDefault="00A642F2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了解中学阶段过渡和指标13相关更多信息：</w:t>
      </w:r>
    </w:p>
    <w:p w14:paraId="3F6D1833" w14:textId="26472051" w:rsidR="00446394" w:rsidRPr="00446394" w:rsidRDefault="008405D7" w:rsidP="006152BE">
      <w:pPr>
        <w:rPr>
          <w:rFonts w:ascii="Segoe UI" w:hAnsi="Segoe UI" w:cs="Segoe UI"/>
        </w:rPr>
      </w:pPr>
      <w:hyperlink r:id="rId8" w:history="1">
        <w:r w:rsidR="00A642F2" w:rsidRPr="008405D7">
          <w:rPr>
            <w:rStyle w:val="Hyperlink"/>
            <w:rFonts w:ascii="SimSun" w:eastAsia="SimSun" w:hAnsi="SimSun" w:cs="SimSun"/>
            <w:i/>
            <w:iCs/>
          </w:rPr>
          <w:t>指标13 PowerPoint</w:t>
        </w:r>
      </w:hyperlink>
      <w:r w:rsidR="000E039F">
        <w:rPr>
          <w:rFonts w:ascii="SimSun" w:eastAsia="SimSun" w:hAnsi="SimSun" w:cs="SimSun"/>
        </w:rPr>
        <w:br/>
      </w:r>
      <w:r w:rsidR="000E039F">
        <w:rPr>
          <w:rFonts w:ascii="SimSun" w:eastAsia="SimSun" w:hAnsi="SimSun" w:cs="SimSun"/>
        </w:rPr>
        <w:br/>
      </w:r>
      <w:proofErr w:type="spellStart"/>
      <w:r w:rsidR="000E039F">
        <w:rPr>
          <w:rFonts w:ascii="SimSun" w:eastAsia="SimSun" w:hAnsi="SimSun" w:cs="SimSun"/>
        </w:rPr>
        <w:t>中学阶段过渡</w:t>
      </w:r>
      <w:proofErr w:type="spellEnd"/>
      <w:r w:rsidR="000E039F">
        <w:rPr>
          <w:rFonts w:ascii="SimSun" w:eastAsia="SimSun" w:hAnsi="SimSun" w:cs="SimSun"/>
        </w:rPr>
        <w:t xml:space="preserve">： </w:t>
      </w:r>
    </w:p>
    <w:p w14:paraId="57464547" w14:textId="20402488" w:rsidR="00446394" w:rsidRPr="00446394" w:rsidRDefault="008405D7" w:rsidP="006152BE">
      <w:pPr>
        <w:numPr>
          <w:ilvl w:val="0"/>
          <w:numId w:val="12"/>
        </w:numPr>
        <w:tabs>
          <w:tab w:val="num" w:pos="1440"/>
        </w:tabs>
        <w:rPr>
          <w:rStyle w:val="Hyperlink"/>
        </w:rPr>
      </w:pPr>
      <w:hyperlink r:id="rId9" w:history="1">
        <w:proofErr w:type="spellStart"/>
        <w:r w:rsidR="00A642F2" w:rsidRPr="001806B8">
          <w:rPr>
            <w:rStyle w:val="Hyperlink"/>
            <w:rFonts w:ascii="SimSun" w:eastAsia="SimSun" w:hAnsi="SimSun" w:cs="SimSun"/>
          </w:rPr>
          <w:t>中学阶段过渡DESE网站</w:t>
        </w:r>
        <w:proofErr w:type="spellEnd"/>
      </w:hyperlink>
    </w:p>
    <w:p w14:paraId="3DDC8C16" w14:textId="0478D305" w:rsidR="00446394" w:rsidRPr="00446394" w:rsidRDefault="008405D7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0" w:history="1">
        <w:r w:rsidR="00A642F2" w:rsidRPr="001806B8">
          <w:rPr>
            <w:rStyle w:val="Hyperlink"/>
            <w:rFonts w:ascii="SimSun" w:eastAsia="SimSun" w:hAnsi="SimSun" w:cs="SimSun"/>
          </w:rPr>
          <w:t>用6种语言编写的11本麻萨诸塞州家长/</w:t>
        </w:r>
        <w:proofErr w:type="spellStart"/>
        <w:r w:rsidR="00A642F2" w:rsidRPr="001806B8">
          <w:rPr>
            <w:rStyle w:val="Hyperlink"/>
            <w:rFonts w:ascii="SimSun" w:eastAsia="SimSun" w:hAnsi="SimSun" w:cs="SimSun"/>
          </w:rPr>
          <w:t>学生手册</w:t>
        </w:r>
        <w:proofErr w:type="spellEnd"/>
      </w:hyperlink>
    </w:p>
    <w:p w14:paraId="50F6F2EB" w14:textId="5D2E9CD3" w:rsidR="00446394" w:rsidRPr="00446394" w:rsidRDefault="008405D7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1" w:history="1">
        <w:proofErr w:type="spellStart"/>
        <w:r w:rsidR="00A642F2" w:rsidRPr="00D53AD2">
          <w:rPr>
            <w:rStyle w:val="Hyperlink"/>
            <w:rFonts w:ascii="SimSun" w:eastAsia="SimSun" w:hAnsi="SimSun" w:cs="SimSun"/>
          </w:rPr>
          <w:t>国家家长信息和资源中心</w:t>
        </w:r>
        <w:proofErr w:type="spellEnd"/>
      </w:hyperlink>
    </w:p>
    <w:p w14:paraId="2CD213CA" w14:textId="77777777" w:rsidR="00446394" w:rsidRPr="00446394" w:rsidRDefault="00A642F2" w:rsidP="004342E3">
      <w:pPr>
        <w:rPr>
          <w:rFonts w:ascii="Segoe UI" w:hAnsi="Segoe UI" w:cs="Segoe UI"/>
        </w:rPr>
      </w:pPr>
      <w:r w:rsidRPr="00446394">
        <w:rPr>
          <w:rFonts w:ascii="SimSun" w:eastAsia="SimSun" w:hAnsi="SimSun" w:cs="SimSun"/>
        </w:rPr>
        <w:t>指标13：</w:t>
      </w:r>
    </w:p>
    <w:p w14:paraId="72F2D909" w14:textId="1F67B10B" w:rsidR="00E00606" w:rsidRPr="00E00606" w:rsidRDefault="008405D7" w:rsidP="006152BE">
      <w:pPr>
        <w:numPr>
          <w:ilvl w:val="0"/>
          <w:numId w:val="12"/>
        </w:numPr>
        <w:tabs>
          <w:tab w:val="num" w:pos="1440"/>
        </w:tabs>
        <w:rPr>
          <w:rStyle w:val="Hyperlink"/>
          <w:rFonts w:ascii="Segoe UI" w:hAnsi="Segoe UI" w:cs="Segoe UI"/>
          <w:color w:val="auto"/>
          <w:u w:val="none"/>
        </w:rPr>
      </w:pPr>
      <w:hyperlink r:id="rId12" w:history="1">
        <w:proofErr w:type="spellStart"/>
        <w:r w:rsidR="00FA6265" w:rsidRPr="00D53AD2">
          <w:rPr>
            <w:rStyle w:val="Hyperlink"/>
            <w:rFonts w:ascii="SimSun" w:eastAsia="SimSun" w:hAnsi="SimSun" w:cs="SimSun"/>
          </w:rPr>
          <w:t>麻萨诸塞州全州和学区特定指标数据</w:t>
        </w:r>
        <w:proofErr w:type="spellEnd"/>
      </w:hyperlink>
    </w:p>
    <w:p w14:paraId="124DEDE0" w14:textId="62E281B3" w:rsidR="00446394" w:rsidRPr="00446394" w:rsidRDefault="008405D7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3" w:history="1">
        <w:proofErr w:type="spellStart"/>
        <w:r w:rsidR="00A642F2" w:rsidRPr="005F006C">
          <w:rPr>
            <w:rStyle w:val="Hyperlink"/>
            <w:rFonts w:ascii="SimSun" w:eastAsia="SimSun" w:hAnsi="SimSun" w:cs="SimSun"/>
          </w:rPr>
          <w:t>衡量SPP</w:t>
        </w:r>
        <w:proofErr w:type="spellEnd"/>
        <w:r w:rsidR="00A642F2" w:rsidRPr="005F006C">
          <w:rPr>
            <w:rStyle w:val="Hyperlink"/>
            <w:rFonts w:ascii="SimSun" w:eastAsia="SimSun" w:hAnsi="SimSun" w:cs="SimSun"/>
          </w:rPr>
          <w:t>/APR指标13使用的术语和短语</w:t>
        </w:r>
      </w:hyperlink>
    </w:p>
    <w:p w14:paraId="52AB5469" w14:textId="558CF038" w:rsidR="00446394" w:rsidRPr="00446394" w:rsidRDefault="008405D7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4" w:history="1">
        <w:proofErr w:type="spellStart"/>
        <w:r w:rsidR="00A642F2" w:rsidRPr="005F006C">
          <w:rPr>
            <w:rStyle w:val="Hyperlink"/>
            <w:rFonts w:ascii="SimSun" w:eastAsia="SimSun" w:hAnsi="SimSun" w:cs="SimSun"/>
          </w:rPr>
          <w:t>麻萨诸塞州中学阶段过渡计划：目标示例表</w:t>
        </w:r>
        <w:proofErr w:type="spellEnd"/>
      </w:hyperlink>
    </w:p>
    <w:p w14:paraId="001FA284" w14:textId="3E075B15" w:rsidR="000D788C" w:rsidRPr="001806B8" w:rsidRDefault="008405D7" w:rsidP="001806B8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5" w:history="1">
        <w:proofErr w:type="spellStart"/>
        <w:r w:rsidR="00446394" w:rsidRPr="005F006C">
          <w:rPr>
            <w:rStyle w:val="Hyperlink"/>
            <w:rFonts w:ascii="SimSun" w:eastAsia="SimSun" w:hAnsi="SimSun" w:cs="SimSun"/>
          </w:rPr>
          <w:t>过渡评估示例表</w:t>
        </w:r>
        <w:proofErr w:type="spellEnd"/>
      </w:hyperlink>
    </w:p>
    <w:sectPr w:rsidR="000D788C" w:rsidRPr="0018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8176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5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63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A2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C8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8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A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AD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D52"/>
    <w:multiLevelType w:val="hybridMultilevel"/>
    <w:tmpl w:val="BA0CF5DE"/>
    <w:lvl w:ilvl="0" w:tplc="E3364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65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C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26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A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E3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2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8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A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8D0B1B"/>
    <w:multiLevelType w:val="hybridMultilevel"/>
    <w:tmpl w:val="7ECA9384"/>
    <w:lvl w:ilvl="0" w:tplc="9484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AE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CB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3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D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A4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27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28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B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EA2"/>
    <w:multiLevelType w:val="hybridMultilevel"/>
    <w:tmpl w:val="244AACDC"/>
    <w:lvl w:ilvl="0" w:tplc="3EE2F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A6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88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AF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4E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C4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CB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0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E5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0296"/>
    <w:multiLevelType w:val="hybridMultilevel"/>
    <w:tmpl w:val="C8CAA4F0"/>
    <w:lvl w:ilvl="0" w:tplc="6EB0C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2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41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C1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9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C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6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C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0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391ADA"/>
    <w:multiLevelType w:val="hybridMultilevel"/>
    <w:tmpl w:val="8390B704"/>
    <w:lvl w:ilvl="0" w:tplc="1A825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47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E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6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21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4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04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E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CA78E6"/>
    <w:multiLevelType w:val="hybridMultilevel"/>
    <w:tmpl w:val="C5D4F5FC"/>
    <w:lvl w:ilvl="0" w:tplc="9684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0B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8F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4F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E2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E1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C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A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4A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72F"/>
    <w:multiLevelType w:val="hybridMultilevel"/>
    <w:tmpl w:val="DF9031A4"/>
    <w:lvl w:ilvl="0" w:tplc="C964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0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60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06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9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4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1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6575"/>
    <w:multiLevelType w:val="hybridMultilevel"/>
    <w:tmpl w:val="0DC6EA74"/>
    <w:lvl w:ilvl="0" w:tplc="D93E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CA5D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AC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45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A2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4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2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A2317"/>
    <w:multiLevelType w:val="hybridMultilevel"/>
    <w:tmpl w:val="9E6E6BEC"/>
    <w:lvl w:ilvl="0" w:tplc="0D525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2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43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A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88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65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27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F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2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B5083"/>
    <w:multiLevelType w:val="hybridMultilevel"/>
    <w:tmpl w:val="E51631D2"/>
    <w:lvl w:ilvl="0" w:tplc="114E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E9A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C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AB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8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A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22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17819"/>
    <w:rsid w:val="00053CF4"/>
    <w:rsid w:val="000C7BE5"/>
    <w:rsid w:val="000D788C"/>
    <w:rsid w:val="000E039F"/>
    <w:rsid w:val="000E2E04"/>
    <w:rsid w:val="0010026A"/>
    <w:rsid w:val="001546E2"/>
    <w:rsid w:val="001806B8"/>
    <w:rsid w:val="00197F6E"/>
    <w:rsid w:val="001B1C64"/>
    <w:rsid w:val="002274CD"/>
    <w:rsid w:val="0022752D"/>
    <w:rsid w:val="00236858"/>
    <w:rsid w:val="002953E5"/>
    <w:rsid w:val="002C2973"/>
    <w:rsid w:val="002D5156"/>
    <w:rsid w:val="00344FF1"/>
    <w:rsid w:val="00362981"/>
    <w:rsid w:val="00406DEB"/>
    <w:rsid w:val="00424F0E"/>
    <w:rsid w:val="004342E3"/>
    <w:rsid w:val="0043645E"/>
    <w:rsid w:val="00446394"/>
    <w:rsid w:val="00470C7A"/>
    <w:rsid w:val="00474EC6"/>
    <w:rsid w:val="004A26BB"/>
    <w:rsid w:val="004C1A7C"/>
    <w:rsid w:val="004C2A5F"/>
    <w:rsid w:val="005F006C"/>
    <w:rsid w:val="006152BE"/>
    <w:rsid w:val="006377CD"/>
    <w:rsid w:val="0064443C"/>
    <w:rsid w:val="00684052"/>
    <w:rsid w:val="0068562A"/>
    <w:rsid w:val="00695827"/>
    <w:rsid w:val="006A1063"/>
    <w:rsid w:val="006B6E5F"/>
    <w:rsid w:val="00702EEA"/>
    <w:rsid w:val="0071219A"/>
    <w:rsid w:val="00724E03"/>
    <w:rsid w:val="00725BDF"/>
    <w:rsid w:val="00790638"/>
    <w:rsid w:val="008076CD"/>
    <w:rsid w:val="008405D7"/>
    <w:rsid w:val="0084578A"/>
    <w:rsid w:val="00863CD9"/>
    <w:rsid w:val="00940D48"/>
    <w:rsid w:val="00997147"/>
    <w:rsid w:val="009F75B1"/>
    <w:rsid w:val="00A20A26"/>
    <w:rsid w:val="00A642F2"/>
    <w:rsid w:val="00A94411"/>
    <w:rsid w:val="00AD7D42"/>
    <w:rsid w:val="00B01DB2"/>
    <w:rsid w:val="00B90F28"/>
    <w:rsid w:val="00BC2992"/>
    <w:rsid w:val="00BC2FFB"/>
    <w:rsid w:val="00BF72C6"/>
    <w:rsid w:val="00C14BCC"/>
    <w:rsid w:val="00C16065"/>
    <w:rsid w:val="00C30A25"/>
    <w:rsid w:val="00C66F86"/>
    <w:rsid w:val="00C710D3"/>
    <w:rsid w:val="00C742FA"/>
    <w:rsid w:val="00CA64D0"/>
    <w:rsid w:val="00D020F0"/>
    <w:rsid w:val="00D2144E"/>
    <w:rsid w:val="00D53AD2"/>
    <w:rsid w:val="00D54FD4"/>
    <w:rsid w:val="00DB2559"/>
    <w:rsid w:val="00E00606"/>
    <w:rsid w:val="00E87D72"/>
    <w:rsid w:val="00F9190F"/>
    <w:rsid w:val="00FA626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16EC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04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0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6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F72C6"/>
  </w:style>
  <w:style w:type="character" w:customStyle="1" w:styleId="eop">
    <w:name w:val="eop"/>
    <w:basedOn w:val="DefaultParagraphFont"/>
    <w:rsid w:val="00BF72C6"/>
  </w:style>
  <w:style w:type="character" w:styleId="UnresolvedMention">
    <w:name w:val="Unresolved Mention"/>
    <w:basedOn w:val="DefaultParagraphFont"/>
    <w:uiPriority w:val="99"/>
    <w:rsid w:val="006A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3/indicator13-slides-chinese.pptx" TargetMode="External"/><Relationship Id="rId13" Type="http://schemas.openxmlformats.org/officeDocument/2006/relationships/hyperlink" Target="https://www.doe.mass.edu/sped/secondary-transition/indicator13-measuremen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files.doe.mass.edu/statereport/special_educatio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entcenterhub.org/transitionadul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econdary-transition/indicator13-transition-assessment.docx" TargetMode="External"/><Relationship Id="rId10" Type="http://schemas.openxmlformats.org/officeDocument/2006/relationships/hyperlink" Target="https://fcsn.org/linkcenter/transition-resources/brochur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econdary-transition/default.html" TargetMode="External"/><Relationship Id="rId14" Type="http://schemas.openxmlformats.org/officeDocument/2006/relationships/hyperlink" Target="https://www.doe.mass.edu/sped/secondary-transition/indicator13-goals-example-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31EA-0EFE-4DB4-AB53-CAC096DBC16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A4774416-8FEA-48B2-8F35-C5B24ABB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3ACEC-D92B-417E-A95C-4A7910F7D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13: Secondary Transition — Chinese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13: Secondary Transition — Chinese</dc:title>
  <dc:subject/>
  <dc:creator>DESE</dc:creator>
  <cp:keywords/>
  <cp:lastModifiedBy>Zou, Dong (EOE)</cp:lastModifiedBy>
  <cp:revision>9</cp:revision>
  <dcterms:created xsi:type="dcterms:W3CDTF">2022-11-01T13:06:00Z</dcterms:created>
  <dcterms:modified xsi:type="dcterms:W3CDTF">2023-01-26T20:07:00Z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