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27774" w14:textId="494985C2" w:rsidR="00C62503" w:rsidRPr="006670A1" w:rsidRDefault="00730AE0" w:rsidP="00C625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fldChar w:fldCharType="begin"/>
      </w:r>
      <w:r>
        <w:instrText xml:space="preserve"> HYPERLINK "https://www.doe.mass.edu/sped/spp/indicators/indicator13/" </w:instrText>
      </w:r>
      <w:r>
        <w:fldChar w:fldCharType="separate"/>
      </w:r>
      <w:r w:rsidR="00C62503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C62503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"https://www.doe.mass.edu/sped/spp/indicators/indicator13/indicator13-chinese.docx" </w:instrText>
      </w:r>
      <w:r>
        <w:fldChar w:fldCharType="separate"/>
      </w:r>
      <w:r w:rsidR="00C62503" w:rsidRPr="006A1063">
        <w:rPr>
          <w:rStyle w:val="Hyperlink"/>
          <w:rFonts w:ascii="SimSun" w:eastAsia="SimSun" w:hAnsi="SimSun" w:cs="SimSun" w:hint="eastAsia"/>
          <w:b/>
          <w:bCs/>
        </w:rPr>
        <w:t>繁體中文</w:t>
      </w:r>
      <w:proofErr w:type="spellEnd"/>
      <w:r>
        <w:rPr>
          <w:rStyle w:val="Hyperlink"/>
          <w:rFonts w:ascii="SimSun" w:eastAsia="SimSun" w:hAnsi="SimSun" w:cs="SimSun"/>
          <w:b/>
          <w:bCs/>
        </w:rPr>
        <w:fldChar w:fldCharType="end"/>
      </w:r>
      <w:r w:rsidR="00C62503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"https://www.doe.mass.edu/sped/spp/indicators/indicator13/indicator13-haitiancreole.docx" </w:instrText>
      </w:r>
      <w:r>
        <w:fldChar w:fldCharType="separate"/>
      </w:r>
      <w:r w:rsidR="00C62503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C62503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C62503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C62503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C62503" w:rsidRPr="00C62503">
        <w:rPr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C62503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proofErr w:type="spellStart"/>
      <w:r>
        <w:fldChar w:fldCharType="begin"/>
      </w:r>
      <w:r>
        <w:instrText xml:space="preserve"> HYPERLINK "https</w:instrText>
      </w:r>
      <w:r>
        <w:instrText xml:space="preserve">://www.doe.mass.edu/sped/spp/indicators/indicator13/indicator13-spanish.docx" </w:instrText>
      </w:r>
      <w:r>
        <w:fldChar w:fldCharType="separate"/>
      </w:r>
      <w:r w:rsidR="00C62503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C62503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"https://www.doe.mass.edu/sped/spp/indicators/indicator13/indicator13-vietnamese.docx" </w:instrText>
      </w:r>
      <w:r>
        <w:fldChar w:fldCharType="separate"/>
      </w:r>
      <w:r w:rsidR="00C62503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C62503" w:rsidRPr="006A1063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C62503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p w14:paraId="3256F3E2" w14:textId="5983C841" w:rsidR="00997147" w:rsidRPr="00367024" w:rsidRDefault="00F42456" w:rsidP="002C29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</w:pPr>
      <w:r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 xml:space="preserve">O que é o </w:t>
      </w:r>
      <w:r w:rsidR="00997147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Indica</w:t>
      </w:r>
      <w:r w:rsidR="003A3814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d</w:t>
      </w:r>
      <w:r w:rsidR="00997147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or 13 (</w:t>
      </w:r>
      <w:r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Transição Secundária</w:t>
      </w:r>
      <w:r w:rsidR="00997147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)?</w:t>
      </w:r>
    </w:p>
    <w:p w14:paraId="769356D8" w14:textId="7720B00C" w:rsidR="004A26BB" w:rsidRPr="00367024" w:rsidRDefault="0039786F" w:rsidP="001B1C64">
      <w:pPr>
        <w:numPr>
          <w:ilvl w:val="0"/>
          <w:numId w:val="12"/>
        </w:numPr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O Indicador 13 verifica se os estudantes de Massachusetts com Programas de Educação Individualizada (IEPs)</w:t>
      </w:r>
      <w:r w:rsidR="00367024" w:rsidRPr="00367024">
        <w:rPr>
          <w:rFonts w:ascii="Segoe UI" w:hAnsi="Segoe UI" w:cs="Segoe UI"/>
          <w:lang w:val="pt-PT"/>
        </w:rPr>
        <w:t>,</w:t>
      </w:r>
      <w:r w:rsidRPr="00367024">
        <w:rPr>
          <w:rFonts w:ascii="Segoe UI" w:hAnsi="Segoe UI" w:cs="Segoe UI"/>
          <w:lang w:val="pt-PT"/>
        </w:rPr>
        <w:t xml:space="preserve"> com idade igual ou superior a 14 anos</w:t>
      </w:r>
      <w:r w:rsidR="00367024" w:rsidRPr="00367024">
        <w:rPr>
          <w:rFonts w:ascii="Segoe UI" w:hAnsi="Segoe UI" w:cs="Segoe UI"/>
          <w:lang w:val="pt-PT"/>
        </w:rPr>
        <w:t>,</w:t>
      </w:r>
      <w:r w:rsidRPr="00367024">
        <w:rPr>
          <w:rFonts w:ascii="Segoe UI" w:hAnsi="Segoe UI" w:cs="Segoe UI"/>
          <w:lang w:val="pt-PT"/>
        </w:rPr>
        <w:t xml:space="preserve"> recebem planeamento e serviços de transição secundári</w:t>
      </w:r>
      <w:r w:rsidR="00367024" w:rsidRPr="00367024">
        <w:rPr>
          <w:rFonts w:ascii="Segoe UI" w:hAnsi="Segoe UI" w:cs="Segoe UI"/>
          <w:lang w:val="pt-PT"/>
        </w:rPr>
        <w:t>a</w:t>
      </w:r>
      <w:r w:rsidRPr="00367024">
        <w:rPr>
          <w:rFonts w:ascii="Segoe UI" w:hAnsi="Segoe UI" w:cs="Segoe UI"/>
          <w:lang w:val="pt-PT"/>
        </w:rPr>
        <w:t xml:space="preserve"> que cumprem a Lei Federal de Educação de Indivíduos com Deficiência</w:t>
      </w:r>
      <w:r w:rsidR="004A26BB" w:rsidRPr="00367024">
        <w:rPr>
          <w:rFonts w:ascii="Segoe UI" w:hAnsi="Segoe UI" w:cs="Segoe UI"/>
          <w:lang w:val="pt-PT"/>
        </w:rPr>
        <w:t xml:space="preserve"> (IDEA).</w:t>
      </w:r>
    </w:p>
    <w:p w14:paraId="0D77A691" w14:textId="4E3689CA" w:rsidR="004A26BB" w:rsidRPr="00367024" w:rsidRDefault="00AB7D69" w:rsidP="001B1C64">
      <w:pPr>
        <w:numPr>
          <w:ilvl w:val="0"/>
          <w:numId w:val="12"/>
        </w:numPr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O planeamento e os serviços de transição IDEA são mandatados por regulamentos federais nestas e noutras secções</w:t>
      </w:r>
      <w:r w:rsidR="004A26BB" w:rsidRPr="00367024">
        <w:rPr>
          <w:rFonts w:ascii="Segoe UI" w:hAnsi="Segoe UI" w:cs="Segoe UI"/>
          <w:lang w:val="pt-PT"/>
        </w:rPr>
        <w:t>: § 300.43, § 300.305, § 300.320, § 300.321, § 300.322, § 300.324, § 300.520, § 300.622.</w:t>
      </w:r>
    </w:p>
    <w:p w14:paraId="423DB329" w14:textId="36CED576" w:rsidR="004A26BB" w:rsidRPr="00367024" w:rsidRDefault="00AB7D69" w:rsidP="001B1C64">
      <w:pPr>
        <w:numPr>
          <w:ilvl w:val="0"/>
          <w:numId w:val="12"/>
        </w:numPr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A lei estatal de Massachusetts exige que o planeamento e os serviços de transição comecem o mais tardar no 14º aniversário do estudante, dois anos antes do requisito federal dos 16 anos de idade. Por conseguinte, Massachusetts aplica a idade d</w:t>
      </w:r>
      <w:r w:rsidR="00367024" w:rsidRPr="00367024">
        <w:rPr>
          <w:rFonts w:ascii="Segoe UI" w:hAnsi="Segoe UI" w:cs="Segoe UI"/>
          <w:lang w:val="pt-PT"/>
        </w:rPr>
        <w:t>os</w:t>
      </w:r>
      <w:r w:rsidRPr="00367024">
        <w:rPr>
          <w:rFonts w:ascii="Segoe UI" w:hAnsi="Segoe UI" w:cs="Segoe UI"/>
          <w:lang w:val="pt-PT"/>
        </w:rPr>
        <w:t xml:space="preserve"> 14 anos para a revisão do Indicador 13</w:t>
      </w:r>
      <w:r w:rsidR="004A26BB" w:rsidRPr="00367024">
        <w:rPr>
          <w:rFonts w:ascii="Segoe UI" w:hAnsi="Segoe UI" w:cs="Segoe UI"/>
          <w:lang w:val="pt-PT"/>
        </w:rPr>
        <w:t xml:space="preserve">. </w:t>
      </w:r>
    </w:p>
    <w:p w14:paraId="31A8083B" w14:textId="6AE5C65E" w:rsidR="00702EEA" w:rsidRPr="00367024" w:rsidRDefault="00F42456" w:rsidP="00702E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</w:pPr>
      <w:r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 xml:space="preserve">Porque é importante o </w:t>
      </w:r>
      <w:r w:rsidR="00702EEA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Indica</w:t>
      </w:r>
      <w:r w:rsidR="00AB7D69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d</w:t>
      </w:r>
      <w:r w:rsidR="00702EEA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or 13?</w:t>
      </w:r>
    </w:p>
    <w:p w14:paraId="343150C4" w14:textId="420BA46F" w:rsidR="001B1C64" w:rsidRPr="00367024" w:rsidRDefault="000F21EC" w:rsidP="001B1C64">
      <w:pPr>
        <w:numPr>
          <w:ilvl w:val="0"/>
          <w:numId w:val="12"/>
        </w:numPr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O Indicador 13 é uma forma de Massachusetts garantir que as escolas e distritos cumprem a lei federal e estatal de educação especial</w:t>
      </w:r>
      <w:r w:rsidR="001B1C64" w:rsidRPr="00367024">
        <w:rPr>
          <w:rFonts w:ascii="Segoe UI" w:hAnsi="Segoe UI" w:cs="Segoe UI"/>
          <w:lang w:val="pt-PT"/>
        </w:rPr>
        <w:t xml:space="preserve">. </w:t>
      </w:r>
    </w:p>
    <w:p w14:paraId="62F43DBA" w14:textId="41F4A974" w:rsidR="001B1C64" w:rsidRPr="00367024" w:rsidRDefault="00D10089" w:rsidP="001B1C64">
      <w:pPr>
        <w:numPr>
          <w:ilvl w:val="0"/>
          <w:numId w:val="12"/>
        </w:numPr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Se os estudantes com IEP tiverem planos e serviços de transição secundária compatíveis, é mais provável que tenham resultados positivos na educação/formação pós-escolar, emprego, vida independente e participação comunitária</w:t>
      </w:r>
      <w:r w:rsidR="001B1C64" w:rsidRPr="00367024">
        <w:rPr>
          <w:rFonts w:ascii="Segoe UI" w:hAnsi="Segoe UI" w:cs="Segoe UI"/>
          <w:lang w:val="pt-PT"/>
        </w:rPr>
        <w:t xml:space="preserve">. </w:t>
      </w:r>
    </w:p>
    <w:p w14:paraId="4EF0F032" w14:textId="33E5E1A2" w:rsidR="001B1C64" w:rsidRPr="00367024" w:rsidRDefault="00D10089" w:rsidP="001B1C64">
      <w:pPr>
        <w:numPr>
          <w:ilvl w:val="0"/>
          <w:numId w:val="12"/>
        </w:numPr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O Indicador 13 também ajuda o Departamento de Educação Primária e Secundária de Massachusetts (DESE) a compreender quais as escolas e distritos que podem necessitar de desenvolvimento profissional adicional e outros recursos para apoiar as necessidades de transição secundária dos estudantes</w:t>
      </w:r>
      <w:r w:rsidR="001B1C64" w:rsidRPr="00367024">
        <w:rPr>
          <w:rFonts w:ascii="Segoe UI" w:hAnsi="Segoe UI" w:cs="Segoe UI"/>
          <w:lang w:val="pt-PT"/>
        </w:rPr>
        <w:t>.</w:t>
      </w:r>
    </w:p>
    <w:p w14:paraId="18A28786" w14:textId="0B4162DC" w:rsidR="002C2973" w:rsidRPr="00367024" w:rsidRDefault="00D10089" w:rsidP="002C29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</w:pPr>
      <w:r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Como é que Massachusetts recolhe os dados do Indicador 13</w:t>
      </w:r>
      <w:r w:rsidR="00CA64D0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?</w:t>
      </w:r>
    </w:p>
    <w:p w14:paraId="6A798EA4" w14:textId="37DB1E27" w:rsidR="0068562A" w:rsidRPr="00367024" w:rsidRDefault="00D10089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  <w:lang w:val="pt-PT"/>
        </w:rPr>
      </w:pPr>
      <w:r w:rsidRPr="00367024">
        <w:rPr>
          <w:rFonts w:ascii="Segoe UI" w:hAnsi="Segoe UI" w:cs="Segoe UI"/>
          <w:color w:val="101D35"/>
          <w:kern w:val="24"/>
          <w:lang w:val="pt-PT"/>
        </w:rPr>
        <w:t xml:space="preserve">Todos os anos, DESE exige que os distritos de Massachusetts revejam uma amostra de ficheiros </w:t>
      </w:r>
      <w:r w:rsidR="00367024" w:rsidRPr="00367024">
        <w:rPr>
          <w:rFonts w:ascii="Segoe UI" w:hAnsi="Segoe UI" w:cs="Segoe UI"/>
          <w:color w:val="101D35"/>
          <w:kern w:val="24"/>
          <w:lang w:val="pt-PT"/>
        </w:rPr>
        <w:t>de</w:t>
      </w:r>
      <w:r w:rsidRPr="00367024">
        <w:rPr>
          <w:rFonts w:ascii="Segoe UI" w:hAnsi="Segoe UI" w:cs="Segoe UI"/>
          <w:color w:val="101D35"/>
          <w:kern w:val="24"/>
          <w:lang w:val="pt-PT"/>
        </w:rPr>
        <w:t xml:space="preserve"> estudantes </w:t>
      </w:r>
      <w:r w:rsidR="00367024" w:rsidRPr="00367024">
        <w:rPr>
          <w:rFonts w:ascii="Segoe UI" w:hAnsi="Segoe UI" w:cs="Segoe UI"/>
          <w:color w:val="101D35"/>
          <w:kern w:val="24"/>
          <w:lang w:val="pt-PT"/>
        </w:rPr>
        <w:t>com</w:t>
      </w:r>
      <w:r w:rsidRPr="00367024">
        <w:rPr>
          <w:rFonts w:ascii="Segoe UI" w:hAnsi="Segoe UI" w:cs="Segoe UI"/>
          <w:color w:val="101D35"/>
          <w:kern w:val="24"/>
          <w:lang w:val="pt-PT"/>
        </w:rPr>
        <w:t xml:space="preserve"> IEPs</w:t>
      </w:r>
      <w:r w:rsidR="00367024" w:rsidRPr="00367024">
        <w:rPr>
          <w:rFonts w:ascii="Segoe UI" w:hAnsi="Segoe UI" w:cs="Segoe UI"/>
          <w:color w:val="101D35"/>
          <w:kern w:val="24"/>
          <w:lang w:val="pt-PT"/>
        </w:rPr>
        <w:t>,</w:t>
      </w:r>
      <w:r w:rsidRPr="00367024">
        <w:rPr>
          <w:rFonts w:ascii="Segoe UI" w:hAnsi="Segoe UI" w:cs="Segoe UI"/>
          <w:color w:val="101D35"/>
          <w:kern w:val="24"/>
          <w:lang w:val="pt-PT"/>
        </w:rPr>
        <w:t xml:space="preserve"> com 14 </w:t>
      </w:r>
      <w:r w:rsidR="00367024" w:rsidRPr="00367024">
        <w:rPr>
          <w:rFonts w:ascii="Segoe UI" w:hAnsi="Segoe UI" w:cs="Segoe UI"/>
          <w:color w:val="101D35"/>
          <w:kern w:val="24"/>
          <w:lang w:val="pt-PT"/>
        </w:rPr>
        <w:t>ou mais anos</w:t>
      </w:r>
      <w:r w:rsidRPr="00367024">
        <w:rPr>
          <w:rFonts w:ascii="Segoe UI" w:hAnsi="Segoe UI" w:cs="Segoe UI"/>
          <w:color w:val="101D35"/>
          <w:kern w:val="24"/>
          <w:lang w:val="pt-PT"/>
        </w:rPr>
        <w:t>, utilizando uma lista de verificação com os requisitos do Indicador 13. Os resultados d</w:t>
      </w:r>
      <w:r w:rsidR="00367024" w:rsidRPr="00367024">
        <w:rPr>
          <w:rFonts w:ascii="Segoe UI" w:hAnsi="Segoe UI" w:cs="Segoe UI"/>
          <w:color w:val="101D35"/>
          <w:kern w:val="24"/>
          <w:lang w:val="pt-PT"/>
        </w:rPr>
        <w:t>a análise</w:t>
      </w:r>
      <w:r w:rsidRPr="00367024">
        <w:rPr>
          <w:rFonts w:ascii="Segoe UI" w:hAnsi="Segoe UI" w:cs="Segoe UI"/>
          <w:color w:val="101D35"/>
          <w:kern w:val="24"/>
          <w:lang w:val="pt-PT"/>
        </w:rPr>
        <w:t xml:space="preserve"> são utilizados num cálculo exigido a nível federal para determinar a taxa percentual a nível estatal para o cumprimento do Indicador 13</w:t>
      </w:r>
      <w:r w:rsidR="00C66F86" w:rsidRPr="00367024">
        <w:rPr>
          <w:rFonts w:ascii="Segoe UI" w:hAnsi="Segoe UI" w:cs="Segoe UI"/>
          <w:color w:val="101D35"/>
          <w:kern w:val="24"/>
          <w:lang w:val="pt-PT"/>
        </w:rPr>
        <w:t>.</w:t>
      </w:r>
    </w:p>
    <w:p w14:paraId="1FBA7045" w14:textId="77777777" w:rsidR="005F006C" w:rsidRPr="00367024" w:rsidRDefault="005F006C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  <w:lang w:val="pt-PT"/>
        </w:rPr>
      </w:pPr>
    </w:p>
    <w:p w14:paraId="12CA865C" w14:textId="0E7C57A9" w:rsidR="00406DEB" w:rsidRPr="00367024" w:rsidRDefault="00D10089" w:rsidP="00790638">
      <w:pPr>
        <w:autoSpaceDE w:val="0"/>
        <w:autoSpaceDN w:val="0"/>
        <w:adjustRightInd w:val="0"/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</w:pPr>
      <w:bookmarkStart w:id="0" w:name="_Hlk98328556"/>
      <w:bookmarkStart w:id="1" w:name="_Hlk98332978"/>
      <w:r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lastRenderedPageBreak/>
        <w:t>Como é medida a taxa de conformidade do Indicador 13 a nível estatal</w:t>
      </w:r>
      <w:r w:rsidR="00406DEB" w:rsidRPr="00367024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?</w:t>
      </w:r>
    </w:p>
    <w:bookmarkEnd w:id="0"/>
    <w:p w14:paraId="154CB912" w14:textId="2D9D0374" w:rsidR="00197F6E" w:rsidRPr="00367024" w:rsidRDefault="00D10089" w:rsidP="00197F6E">
      <w:pPr>
        <w:rPr>
          <w:rFonts w:ascii="Segoe UI" w:hAnsi="Segoe UI" w:cs="Segoe UI"/>
          <w:color w:val="101D35"/>
          <w:kern w:val="24"/>
          <w:lang w:val="pt-PT"/>
        </w:rPr>
      </w:pPr>
      <w:r w:rsidRPr="00367024">
        <w:rPr>
          <w:rFonts w:ascii="Segoe UI" w:hAnsi="Segoe UI" w:cs="Segoe UI"/>
          <w:color w:val="101D35"/>
          <w:kern w:val="24"/>
          <w:lang w:val="pt-PT"/>
        </w:rPr>
        <w:t>Percentagem de jovens com IEP com 14 ou mais anos</w:t>
      </w:r>
      <w:r w:rsidR="00367024" w:rsidRPr="00367024">
        <w:rPr>
          <w:rFonts w:ascii="Segoe UI" w:hAnsi="Segoe UI" w:cs="Segoe UI"/>
          <w:color w:val="101D35"/>
          <w:kern w:val="24"/>
          <w:lang w:val="pt-PT"/>
        </w:rPr>
        <w:t>, incluindo</w:t>
      </w:r>
      <w:r w:rsidR="00197F6E" w:rsidRPr="00367024">
        <w:rPr>
          <w:rFonts w:ascii="Segoe UI" w:hAnsi="Segoe UI" w:cs="Segoe UI"/>
          <w:color w:val="101D35"/>
          <w:kern w:val="24"/>
          <w:lang w:val="pt-PT"/>
        </w:rPr>
        <w:t>:</w:t>
      </w:r>
    </w:p>
    <w:p w14:paraId="3B64B132" w14:textId="6006BE1B" w:rsidR="00197F6E" w:rsidRPr="00367024" w:rsidRDefault="00F854EC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objetivos pós-secundários quantificáveis e apropriados que são atualizados anualmente e baseados numa avaliação de transição apropriada à idade</w:t>
      </w:r>
      <w:r w:rsidR="005F006C" w:rsidRPr="00367024">
        <w:rPr>
          <w:rFonts w:ascii="Segoe UI" w:hAnsi="Segoe UI" w:cs="Segoe UI"/>
          <w:lang w:val="pt-PT"/>
        </w:rPr>
        <w:t>;</w:t>
      </w:r>
      <w:r w:rsidR="00197F6E" w:rsidRPr="00367024">
        <w:rPr>
          <w:rFonts w:ascii="Segoe UI" w:hAnsi="Segoe UI" w:cs="Segoe UI"/>
          <w:lang w:val="pt-PT"/>
        </w:rPr>
        <w:t xml:space="preserve"> </w:t>
      </w:r>
    </w:p>
    <w:p w14:paraId="20EE93D9" w14:textId="0B24D9FB" w:rsidR="00197F6E" w:rsidRPr="00367024" w:rsidRDefault="00F854EC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 xml:space="preserve">serviços de transição, incluindo cursos de </w:t>
      </w:r>
      <w:r w:rsidR="00367024" w:rsidRPr="00367024">
        <w:rPr>
          <w:rFonts w:ascii="Segoe UI" w:hAnsi="Segoe UI" w:cs="Segoe UI"/>
          <w:lang w:val="pt-PT"/>
        </w:rPr>
        <w:t>formação</w:t>
      </w:r>
      <w:r w:rsidRPr="00367024">
        <w:rPr>
          <w:rFonts w:ascii="Segoe UI" w:hAnsi="Segoe UI" w:cs="Segoe UI"/>
          <w:lang w:val="pt-PT"/>
        </w:rPr>
        <w:t>, que permitam ao estudante atingir esses objetivos pós-secundários</w:t>
      </w:r>
      <w:r w:rsidR="005F006C" w:rsidRPr="00367024">
        <w:rPr>
          <w:rFonts w:ascii="Segoe UI" w:hAnsi="Segoe UI" w:cs="Segoe UI"/>
          <w:lang w:val="pt-PT"/>
        </w:rPr>
        <w:t>;</w:t>
      </w:r>
      <w:r w:rsidR="00197F6E" w:rsidRPr="00367024">
        <w:rPr>
          <w:rFonts w:ascii="Segoe UI" w:hAnsi="Segoe UI" w:cs="Segoe UI"/>
          <w:lang w:val="pt-PT"/>
        </w:rPr>
        <w:t xml:space="preserve"> </w:t>
      </w:r>
    </w:p>
    <w:p w14:paraId="7BAAA6A6" w14:textId="5F07E20E" w:rsidR="00197F6E" w:rsidRPr="00367024" w:rsidRDefault="00F854EC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objetivos anuais do IEP relacionados com as necessidades dos serviços de transição do estudante</w:t>
      </w:r>
      <w:r w:rsidR="005F006C" w:rsidRPr="00367024">
        <w:rPr>
          <w:rFonts w:ascii="Segoe UI" w:hAnsi="Segoe UI" w:cs="Segoe UI"/>
          <w:lang w:val="pt-PT"/>
        </w:rPr>
        <w:t>;</w:t>
      </w:r>
    </w:p>
    <w:p w14:paraId="5CC81EB2" w14:textId="27A81E54" w:rsidR="00197F6E" w:rsidRPr="00367024" w:rsidRDefault="00F854EC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provas de que o estudante foi convidado para a reunião da equipa do IEP, onde serão discutidos os serviços de transição</w:t>
      </w:r>
      <w:r w:rsidR="005F006C" w:rsidRPr="00367024">
        <w:rPr>
          <w:rFonts w:ascii="Segoe UI" w:hAnsi="Segoe UI" w:cs="Segoe UI"/>
          <w:lang w:val="pt-PT"/>
        </w:rPr>
        <w:t xml:space="preserve">; </w:t>
      </w:r>
      <w:r w:rsidRPr="00367024">
        <w:rPr>
          <w:rFonts w:ascii="Segoe UI" w:hAnsi="Segoe UI" w:cs="Segoe UI"/>
          <w:lang w:val="pt-PT"/>
        </w:rPr>
        <w:t>e</w:t>
      </w:r>
      <w:r w:rsidR="00197F6E" w:rsidRPr="00367024">
        <w:rPr>
          <w:rFonts w:ascii="Segoe UI" w:hAnsi="Segoe UI" w:cs="Segoe UI"/>
          <w:lang w:val="pt-PT"/>
        </w:rPr>
        <w:t xml:space="preserve"> </w:t>
      </w:r>
    </w:p>
    <w:p w14:paraId="044E7E31" w14:textId="6BC9FD1A" w:rsidR="00197F6E" w:rsidRPr="00367024" w:rsidRDefault="00F854EC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 xml:space="preserve">provas de que, se apropriado, um representante de qualquer agência participante suscetível de ser responsável pela prestação ou pagamento de serviços de transição, incluindo, se apropriado, serviços de transição pré-emprego, foi convidado para a reunião da equipa do IEP com o consentimento prévio do progenitor ou </w:t>
      </w:r>
      <w:r w:rsidR="00367024" w:rsidRPr="00367024">
        <w:rPr>
          <w:rFonts w:ascii="Segoe UI" w:hAnsi="Segoe UI" w:cs="Segoe UI"/>
          <w:lang w:val="pt-PT"/>
        </w:rPr>
        <w:t xml:space="preserve">do </w:t>
      </w:r>
      <w:r w:rsidRPr="00367024">
        <w:rPr>
          <w:rFonts w:ascii="Segoe UI" w:hAnsi="Segoe UI" w:cs="Segoe UI"/>
          <w:lang w:val="pt-PT"/>
        </w:rPr>
        <w:t>estudante com maioridade</w:t>
      </w:r>
      <w:r w:rsidR="00197F6E" w:rsidRPr="00367024">
        <w:rPr>
          <w:rFonts w:ascii="Segoe UI" w:hAnsi="Segoe UI" w:cs="Segoe UI"/>
          <w:lang w:val="pt-PT"/>
        </w:rPr>
        <w:t>.</w:t>
      </w:r>
    </w:p>
    <w:bookmarkEnd w:id="1"/>
    <w:p w14:paraId="7753A125" w14:textId="1AF284CA" w:rsidR="00DB2559" w:rsidRPr="00367024" w:rsidRDefault="00F42456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Dados do In</w:t>
      </w:r>
      <w:r w:rsidR="00DB2559"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dica</w:t>
      </w:r>
      <w:r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</w:t>
      </w:r>
      <w:r w:rsidR="00DB2559"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or 13</w:t>
      </w:r>
    </w:p>
    <w:p w14:paraId="7D48E97E" w14:textId="25314657" w:rsidR="00DB2559" w:rsidRPr="00367024" w:rsidRDefault="00367024" w:rsidP="00236858">
      <w:pPr>
        <w:pStyle w:val="Heading2"/>
        <w:shd w:val="clear" w:color="auto" w:fill="FFFFFF"/>
        <w:rPr>
          <w:rStyle w:val="eop"/>
          <w:rFonts w:ascii="Segoe UI" w:hAnsi="Segoe UI" w:cs="Segoe UI"/>
          <w:b w:val="0"/>
          <w:bCs w:val="0"/>
          <w:color w:val="000000"/>
          <w:sz w:val="22"/>
          <w:szCs w:val="22"/>
          <w:shd w:val="clear" w:color="auto" w:fill="FFFFFF"/>
          <w:lang w:val="pt-PT"/>
        </w:rPr>
      </w:pPr>
      <w:r w:rsidRPr="00367024">
        <w:rPr>
          <w:rStyle w:val="normaltextrun"/>
          <w:rFonts w:ascii="Segoe UI" w:hAnsi="Segoe UI" w:cs="Segoe UI"/>
          <w:b w:val="0"/>
          <w:bCs w:val="0"/>
          <w:color w:val="000000"/>
          <w:sz w:val="22"/>
          <w:szCs w:val="22"/>
          <w:shd w:val="clear" w:color="auto" w:fill="FFFFFF"/>
          <w:lang w:val="pt-PT"/>
        </w:rPr>
        <w:t xml:space="preserve">Dado que </w:t>
      </w:r>
      <w:r w:rsidR="00F42456" w:rsidRPr="00367024">
        <w:rPr>
          <w:rStyle w:val="normaltextrun"/>
          <w:rFonts w:ascii="Segoe UI" w:hAnsi="Segoe UI" w:cs="Segoe UI"/>
          <w:b w:val="0"/>
          <w:bCs w:val="0"/>
          <w:color w:val="000000"/>
          <w:sz w:val="22"/>
          <w:szCs w:val="22"/>
          <w:shd w:val="clear" w:color="auto" w:fill="FFFFFF"/>
          <w:lang w:val="pt-PT"/>
        </w:rPr>
        <w:t>esta é uma medida de conformidade, o governo federal exige uma taxa de conformidade de 100%</w:t>
      </w:r>
      <w:r w:rsidR="00BF72C6" w:rsidRPr="00367024">
        <w:rPr>
          <w:rStyle w:val="normaltextrun"/>
          <w:rFonts w:ascii="Segoe UI" w:hAnsi="Segoe UI" w:cs="Segoe UI"/>
          <w:b w:val="0"/>
          <w:bCs w:val="0"/>
          <w:color w:val="000000"/>
          <w:sz w:val="22"/>
          <w:szCs w:val="22"/>
          <w:shd w:val="clear" w:color="auto" w:fill="FFFFFF"/>
          <w:lang w:val="pt-P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1474"/>
        <w:gridCol w:w="1551"/>
        <w:gridCol w:w="1551"/>
        <w:gridCol w:w="1552"/>
        <w:gridCol w:w="1552"/>
      </w:tblGrid>
      <w:tr w:rsidR="00C710D3" w:rsidRPr="00367024" w14:paraId="2FEE329B" w14:textId="77777777" w:rsidTr="00A94411">
        <w:tc>
          <w:tcPr>
            <w:tcW w:w="1338" w:type="dxa"/>
            <w:shd w:val="clear" w:color="auto" w:fill="D9E2F3" w:themeFill="accent1" w:themeFillTint="33"/>
          </w:tcPr>
          <w:p w14:paraId="49333DB3" w14:textId="30A78A5C" w:rsidR="00C710D3" w:rsidRPr="00367024" w:rsidRDefault="00F42456" w:rsidP="006B6E5F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367024">
              <w:rPr>
                <w:rFonts w:ascii="Segoe UI" w:hAnsi="Segoe UI" w:cs="Segoe UI"/>
                <w:b/>
                <w:bCs/>
                <w:lang w:val="pt-PT"/>
              </w:rPr>
              <w:t>Ano letivo</w:t>
            </w:r>
          </w:p>
        </w:tc>
        <w:tc>
          <w:tcPr>
            <w:tcW w:w="1534" w:type="dxa"/>
            <w:vAlign w:val="center"/>
          </w:tcPr>
          <w:p w14:paraId="0EDDE920" w14:textId="2BE9F39B" w:rsidR="00C710D3" w:rsidRPr="00367024" w:rsidRDefault="00C710D3" w:rsidP="006B6E5F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367024">
              <w:rPr>
                <w:rFonts w:ascii="Segoe UI" w:hAnsi="Segoe UI" w:cs="Segoe UI"/>
                <w:b/>
                <w:bCs/>
                <w:lang w:val="pt-PT"/>
              </w:rPr>
              <w:t>2016-17</w:t>
            </w:r>
          </w:p>
        </w:tc>
        <w:tc>
          <w:tcPr>
            <w:tcW w:w="1619" w:type="dxa"/>
            <w:vAlign w:val="center"/>
          </w:tcPr>
          <w:p w14:paraId="72452B97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367024">
              <w:rPr>
                <w:rFonts w:ascii="Segoe UI" w:hAnsi="Segoe UI" w:cs="Segoe UI"/>
                <w:b/>
                <w:bCs/>
                <w:lang w:val="pt-PT"/>
              </w:rPr>
              <w:t>2017-18</w:t>
            </w:r>
          </w:p>
        </w:tc>
        <w:tc>
          <w:tcPr>
            <w:tcW w:w="1619" w:type="dxa"/>
            <w:vAlign w:val="center"/>
          </w:tcPr>
          <w:p w14:paraId="62A63E2F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367024">
              <w:rPr>
                <w:rFonts w:ascii="Segoe UI" w:hAnsi="Segoe UI" w:cs="Segoe UI"/>
                <w:b/>
                <w:bCs/>
                <w:lang w:val="pt-PT"/>
              </w:rPr>
              <w:t>2018-19</w:t>
            </w:r>
          </w:p>
        </w:tc>
        <w:tc>
          <w:tcPr>
            <w:tcW w:w="1620" w:type="dxa"/>
            <w:vAlign w:val="center"/>
          </w:tcPr>
          <w:p w14:paraId="1EAC7482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367024">
              <w:rPr>
                <w:rFonts w:ascii="Segoe UI" w:hAnsi="Segoe UI" w:cs="Segoe UI"/>
                <w:b/>
                <w:bCs/>
                <w:lang w:val="pt-PT"/>
              </w:rPr>
              <w:t>2019-20</w:t>
            </w:r>
          </w:p>
        </w:tc>
        <w:tc>
          <w:tcPr>
            <w:tcW w:w="1620" w:type="dxa"/>
            <w:vAlign w:val="center"/>
          </w:tcPr>
          <w:p w14:paraId="58FE5420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367024">
              <w:rPr>
                <w:rFonts w:ascii="Segoe UI" w:hAnsi="Segoe UI" w:cs="Segoe UI"/>
                <w:b/>
                <w:bCs/>
                <w:lang w:val="pt-PT"/>
              </w:rPr>
              <w:t>2020-21</w:t>
            </w:r>
          </w:p>
        </w:tc>
      </w:tr>
      <w:tr w:rsidR="00C710D3" w:rsidRPr="00367024" w14:paraId="627C57B5" w14:textId="77777777" w:rsidTr="00A94411">
        <w:tc>
          <w:tcPr>
            <w:tcW w:w="1338" w:type="dxa"/>
            <w:shd w:val="clear" w:color="auto" w:fill="D9E2F3" w:themeFill="accent1" w:themeFillTint="33"/>
          </w:tcPr>
          <w:p w14:paraId="67C362B4" w14:textId="43A29417" w:rsidR="00C710D3" w:rsidRPr="00367024" w:rsidRDefault="00F42456" w:rsidP="006B6E5F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367024">
              <w:rPr>
                <w:rFonts w:ascii="Segoe UI" w:hAnsi="Segoe UI" w:cs="Segoe UI"/>
                <w:b/>
                <w:bCs/>
                <w:lang w:val="pt-PT"/>
              </w:rPr>
              <w:t>Percentagem de conformidade a nível estatal</w:t>
            </w:r>
          </w:p>
        </w:tc>
        <w:tc>
          <w:tcPr>
            <w:tcW w:w="1534" w:type="dxa"/>
            <w:vAlign w:val="center"/>
          </w:tcPr>
          <w:p w14:paraId="60183C1F" w14:textId="3B8E93A8" w:rsidR="00C710D3" w:rsidRPr="00367024" w:rsidRDefault="00C710D3" w:rsidP="006B6E5F">
            <w:pPr>
              <w:jc w:val="center"/>
              <w:rPr>
                <w:rFonts w:ascii="Segoe UI" w:hAnsi="Segoe UI" w:cs="Segoe UI"/>
                <w:lang w:val="pt-PT"/>
              </w:rPr>
            </w:pPr>
            <w:r w:rsidRPr="00367024">
              <w:rPr>
                <w:rFonts w:ascii="Segoe UI" w:hAnsi="Segoe UI" w:cs="Segoe UI"/>
                <w:lang w:val="pt-PT"/>
              </w:rPr>
              <w:t>99.80%</w:t>
            </w:r>
          </w:p>
        </w:tc>
        <w:tc>
          <w:tcPr>
            <w:tcW w:w="1619" w:type="dxa"/>
            <w:vAlign w:val="center"/>
          </w:tcPr>
          <w:p w14:paraId="1CC76CF9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lang w:val="pt-PT"/>
              </w:rPr>
            </w:pPr>
            <w:r w:rsidRPr="00367024">
              <w:rPr>
                <w:rFonts w:ascii="Segoe UI" w:hAnsi="Segoe UI" w:cs="Segoe UI"/>
                <w:lang w:val="pt-PT"/>
              </w:rPr>
              <w:t>97.09%</w:t>
            </w:r>
          </w:p>
        </w:tc>
        <w:tc>
          <w:tcPr>
            <w:tcW w:w="1619" w:type="dxa"/>
            <w:vAlign w:val="center"/>
          </w:tcPr>
          <w:p w14:paraId="29AC3BAA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lang w:val="pt-PT"/>
              </w:rPr>
            </w:pPr>
            <w:r w:rsidRPr="00367024">
              <w:rPr>
                <w:rFonts w:ascii="Segoe UI" w:hAnsi="Segoe UI" w:cs="Segoe UI"/>
                <w:lang w:val="pt-PT"/>
              </w:rPr>
              <w:t>96.99%</w:t>
            </w:r>
          </w:p>
        </w:tc>
        <w:tc>
          <w:tcPr>
            <w:tcW w:w="1620" w:type="dxa"/>
            <w:vAlign w:val="center"/>
          </w:tcPr>
          <w:p w14:paraId="4F79ACDE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lang w:val="pt-PT"/>
              </w:rPr>
            </w:pPr>
            <w:r w:rsidRPr="00367024">
              <w:rPr>
                <w:rFonts w:ascii="Segoe UI" w:hAnsi="Segoe UI" w:cs="Segoe UI"/>
                <w:lang w:val="pt-PT"/>
              </w:rPr>
              <w:t>97.45%</w:t>
            </w:r>
          </w:p>
        </w:tc>
        <w:tc>
          <w:tcPr>
            <w:tcW w:w="1620" w:type="dxa"/>
            <w:vAlign w:val="center"/>
          </w:tcPr>
          <w:p w14:paraId="09E99EC3" w14:textId="77777777" w:rsidR="00C710D3" w:rsidRPr="00367024" w:rsidRDefault="00C710D3" w:rsidP="006B6E5F">
            <w:pPr>
              <w:jc w:val="center"/>
              <w:rPr>
                <w:rFonts w:ascii="Segoe UI" w:hAnsi="Segoe UI" w:cs="Segoe UI"/>
                <w:lang w:val="pt-PT"/>
              </w:rPr>
            </w:pPr>
            <w:r w:rsidRPr="00367024">
              <w:rPr>
                <w:rFonts w:ascii="Segoe UI" w:hAnsi="Segoe UI" w:cs="Segoe UI"/>
                <w:lang w:val="pt-PT"/>
              </w:rPr>
              <w:t>97.46%</w:t>
            </w:r>
          </w:p>
        </w:tc>
      </w:tr>
    </w:tbl>
    <w:p w14:paraId="25D6FED1" w14:textId="4F688DF1" w:rsidR="00236858" w:rsidRPr="00367024" w:rsidRDefault="00F42456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 xml:space="preserve">Saiba mais sobre a Transição Secundária e o </w:t>
      </w:r>
      <w:r w:rsidR="00236858"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Indica</w:t>
      </w:r>
      <w:r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</w:t>
      </w:r>
      <w:r w:rsidR="00236858"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or 1</w:t>
      </w:r>
      <w:r w:rsidR="00C30A25"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3</w:t>
      </w:r>
      <w:r w:rsidR="00236858" w:rsidRPr="00367024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:</w:t>
      </w:r>
    </w:p>
    <w:p w14:paraId="3F6D1833" w14:textId="613C54A3" w:rsidR="00446394" w:rsidRPr="00367024" w:rsidRDefault="00730AE0" w:rsidP="006152BE">
      <w:pPr>
        <w:rPr>
          <w:rFonts w:ascii="Segoe UI" w:hAnsi="Segoe UI" w:cs="Segoe UI"/>
          <w:lang w:val="pt-PT"/>
        </w:rPr>
      </w:pPr>
      <w:hyperlink r:id="rId8" w:history="1">
        <w:r w:rsidR="000C7BE5" w:rsidRPr="00730AE0">
          <w:rPr>
            <w:rStyle w:val="Hyperlink"/>
            <w:rFonts w:ascii="Segoe UI" w:hAnsi="Segoe UI" w:cs="Segoe UI"/>
            <w:i/>
            <w:iCs/>
            <w:lang w:val="pt-PT"/>
          </w:rPr>
          <w:t>Power</w:t>
        </w:r>
        <w:r w:rsidR="000E039F" w:rsidRPr="00730AE0">
          <w:rPr>
            <w:rStyle w:val="Hyperlink"/>
            <w:rFonts w:ascii="Segoe UI" w:hAnsi="Segoe UI" w:cs="Segoe UI"/>
            <w:i/>
            <w:iCs/>
            <w:lang w:val="pt-PT"/>
          </w:rPr>
          <w:t xml:space="preserve">Point </w:t>
        </w:r>
        <w:r w:rsidR="00F42456" w:rsidRPr="00730AE0">
          <w:rPr>
            <w:rStyle w:val="Hyperlink"/>
            <w:rFonts w:ascii="Segoe UI" w:hAnsi="Segoe UI" w:cs="Segoe UI"/>
            <w:i/>
            <w:iCs/>
            <w:lang w:val="pt-PT"/>
          </w:rPr>
          <w:t>Indicador 13</w:t>
        </w:r>
      </w:hyperlink>
      <w:r w:rsidR="000E039F" w:rsidRPr="00367024">
        <w:rPr>
          <w:rFonts w:ascii="Segoe UI" w:hAnsi="Segoe UI" w:cs="Segoe UI"/>
          <w:lang w:val="pt-PT"/>
        </w:rPr>
        <w:br/>
      </w:r>
      <w:r w:rsidR="000C7BE5" w:rsidRPr="00367024">
        <w:rPr>
          <w:rFonts w:ascii="Segoe UI" w:hAnsi="Segoe UI" w:cs="Segoe UI"/>
          <w:lang w:val="pt-PT"/>
        </w:rPr>
        <w:br/>
      </w:r>
      <w:r w:rsidR="00F42456" w:rsidRPr="00367024">
        <w:rPr>
          <w:rFonts w:ascii="Segoe UI" w:hAnsi="Segoe UI" w:cs="Segoe UI"/>
          <w:lang w:val="pt-PT"/>
        </w:rPr>
        <w:t>Transição Secundária</w:t>
      </w:r>
      <w:r w:rsidR="00446394" w:rsidRPr="00367024">
        <w:rPr>
          <w:rFonts w:ascii="Segoe UI" w:hAnsi="Segoe UI" w:cs="Segoe UI"/>
          <w:lang w:val="pt-PT"/>
        </w:rPr>
        <w:t xml:space="preserve">: </w:t>
      </w:r>
    </w:p>
    <w:p w14:paraId="57464547" w14:textId="20402488" w:rsidR="00446394" w:rsidRPr="00367024" w:rsidRDefault="00730AE0" w:rsidP="006152BE">
      <w:pPr>
        <w:numPr>
          <w:ilvl w:val="0"/>
          <w:numId w:val="12"/>
        </w:numPr>
        <w:tabs>
          <w:tab w:val="num" w:pos="1440"/>
        </w:tabs>
        <w:rPr>
          <w:rStyle w:val="Hyperlink"/>
          <w:lang w:val="pt-PT"/>
        </w:rPr>
      </w:pPr>
      <w:hyperlink r:id="rId9" w:history="1">
        <w:r w:rsidR="001806B8" w:rsidRPr="00367024">
          <w:rPr>
            <w:rStyle w:val="Hyperlink"/>
            <w:rFonts w:ascii="Segoe UI" w:hAnsi="Segoe UI" w:cs="Segoe UI"/>
            <w:lang w:val="pt-PT"/>
          </w:rPr>
          <w:t xml:space="preserve">Secondary Transition </w:t>
        </w:r>
        <w:r w:rsidR="00446394" w:rsidRPr="00367024">
          <w:rPr>
            <w:rStyle w:val="Hyperlink"/>
            <w:rFonts w:ascii="Segoe UI" w:hAnsi="Segoe UI" w:cs="Segoe UI"/>
            <w:lang w:val="pt-PT"/>
          </w:rPr>
          <w:t>DESE website</w:t>
        </w:r>
      </w:hyperlink>
    </w:p>
    <w:p w14:paraId="3DDC8C16" w14:textId="0478D305" w:rsidR="00446394" w:rsidRPr="007A71D5" w:rsidRDefault="00730AE0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0" w:history="1">
        <w:r w:rsidR="00446394" w:rsidRPr="007A71D5">
          <w:rPr>
            <w:rStyle w:val="Hyperlink"/>
            <w:rFonts w:ascii="Segoe UI" w:hAnsi="Segoe UI" w:cs="Segoe UI"/>
          </w:rPr>
          <w:t>Eleven Massachusetts parent/student brochures in 6 languages</w:t>
        </w:r>
      </w:hyperlink>
      <w:r w:rsidR="00446394" w:rsidRPr="007A71D5">
        <w:rPr>
          <w:rFonts w:ascii="Segoe UI" w:hAnsi="Segoe UI" w:cs="Segoe UI"/>
        </w:rPr>
        <w:t xml:space="preserve"> </w:t>
      </w:r>
    </w:p>
    <w:p w14:paraId="50F6F2EB" w14:textId="5D2E9CD3" w:rsidR="00446394" w:rsidRPr="007A71D5" w:rsidRDefault="00730AE0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1" w:history="1">
        <w:r w:rsidR="00446394" w:rsidRPr="007A71D5">
          <w:rPr>
            <w:rStyle w:val="Hyperlink"/>
            <w:rFonts w:ascii="Segoe UI" w:hAnsi="Segoe UI" w:cs="Segoe UI"/>
          </w:rPr>
          <w:t>National Center for Parent Information and Resources</w:t>
        </w:r>
      </w:hyperlink>
      <w:r w:rsidR="00446394" w:rsidRPr="007A71D5">
        <w:rPr>
          <w:rFonts w:ascii="Segoe UI" w:hAnsi="Segoe UI" w:cs="Segoe UI"/>
        </w:rPr>
        <w:t xml:space="preserve"> </w:t>
      </w:r>
    </w:p>
    <w:p w14:paraId="2CD213CA" w14:textId="6CAA9643" w:rsidR="00446394" w:rsidRPr="00367024" w:rsidRDefault="00446394" w:rsidP="004342E3">
      <w:pPr>
        <w:rPr>
          <w:rFonts w:ascii="Segoe UI" w:hAnsi="Segoe UI" w:cs="Segoe UI"/>
          <w:lang w:val="pt-PT"/>
        </w:rPr>
      </w:pPr>
      <w:r w:rsidRPr="00367024">
        <w:rPr>
          <w:rFonts w:ascii="Segoe UI" w:hAnsi="Segoe UI" w:cs="Segoe UI"/>
          <w:lang w:val="pt-PT"/>
        </w:rPr>
        <w:t>Indica</w:t>
      </w:r>
      <w:r w:rsidR="00F42456" w:rsidRPr="00367024">
        <w:rPr>
          <w:rFonts w:ascii="Segoe UI" w:hAnsi="Segoe UI" w:cs="Segoe UI"/>
          <w:lang w:val="pt-PT"/>
        </w:rPr>
        <w:t>d</w:t>
      </w:r>
      <w:r w:rsidRPr="00367024">
        <w:rPr>
          <w:rFonts w:ascii="Segoe UI" w:hAnsi="Segoe UI" w:cs="Segoe UI"/>
          <w:lang w:val="pt-PT"/>
        </w:rPr>
        <w:t>or 13:</w:t>
      </w:r>
    </w:p>
    <w:p w14:paraId="72F2D909" w14:textId="1F67B10B" w:rsidR="00E00606" w:rsidRPr="007A71D5" w:rsidRDefault="00730AE0" w:rsidP="006152BE">
      <w:pPr>
        <w:numPr>
          <w:ilvl w:val="0"/>
          <w:numId w:val="12"/>
        </w:numPr>
        <w:tabs>
          <w:tab w:val="num" w:pos="1440"/>
        </w:tabs>
        <w:rPr>
          <w:rStyle w:val="Hyperlink"/>
          <w:rFonts w:ascii="Segoe UI" w:hAnsi="Segoe UI" w:cs="Segoe UI"/>
          <w:color w:val="auto"/>
          <w:u w:val="none"/>
        </w:rPr>
      </w:pPr>
      <w:hyperlink r:id="rId12" w:history="1">
        <w:r w:rsidR="00FA6265" w:rsidRPr="007A71D5">
          <w:rPr>
            <w:rStyle w:val="Hyperlink"/>
            <w:rFonts w:ascii="Segoe UI" w:hAnsi="Segoe UI" w:cs="Segoe UI"/>
          </w:rPr>
          <w:t>Massachusetts Statewide and District-Specific Indicator Data</w:t>
        </w:r>
      </w:hyperlink>
      <w:r w:rsidR="00C14BCC" w:rsidRPr="007A71D5">
        <w:rPr>
          <w:rFonts w:ascii="Segoe UI" w:hAnsi="Segoe UI" w:cs="Segoe UI"/>
        </w:rPr>
        <w:t xml:space="preserve"> </w:t>
      </w:r>
    </w:p>
    <w:p w14:paraId="124DEDE0" w14:textId="62E281B3" w:rsidR="00446394" w:rsidRPr="007A71D5" w:rsidRDefault="00730AE0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3" w:history="1">
        <w:r w:rsidR="00446394" w:rsidRPr="007A71D5">
          <w:rPr>
            <w:rStyle w:val="Hyperlink"/>
            <w:rFonts w:ascii="Segoe UI" w:hAnsi="Segoe UI" w:cs="Segoe UI"/>
          </w:rPr>
          <w:t>Key to Terms and Phrases Used in the SPP/APR Indicator 13 Measurement</w:t>
        </w:r>
      </w:hyperlink>
    </w:p>
    <w:p w14:paraId="52AB5469" w14:textId="558CF038" w:rsidR="00446394" w:rsidRPr="007A71D5" w:rsidRDefault="00730AE0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4" w:history="1">
        <w:r w:rsidR="00446394" w:rsidRPr="007A71D5">
          <w:rPr>
            <w:rStyle w:val="Hyperlink"/>
            <w:rFonts w:ascii="Segoe UI" w:hAnsi="Segoe UI" w:cs="Segoe UI"/>
          </w:rPr>
          <w:t>Massachusetts Postsecondary Transition Planning: Goals Example Sheet</w:t>
        </w:r>
      </w:hyperlink>
    </w:p>
    <w:p w14:paraId="001FA284" w14:textId="3E075B15" w:rsidR="000D788C" w:rsidRPr="00367024" w:rsidRDefault="00730AE0" w:rsidP="001806B8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  <w:lang w:val="pt-PT"/>
        </w:rPr>
      </w:pPr>
      <w:hyperlink r:id="rId15" w:history="1">
        <w:r w:rsidR="00446394" w:rsidRPr="00367024">
          <w:rPr>
            <w:rStyle w:val="Hyperlink"/>
            <w:rFonts w:ascii="Segoe UI" w:hAnsi="Segoe UI" w:cs="Segoe UI"/>
            <w:lang w:val="pt-PT"/>
          </w:rPr>
          <w:t>Transition Assessments Example Sheet</w:t>
        </w:r>
      </w:hyperlink>
    </w:p>
    <w:sectPr w:rsidR="000D788C" w:rsidRPr="0036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BE6308"/>
    <w:lvl w:ilvl="0">
      <w:numFmt w:val="bullet"/>
      <w:lvlText w:val="*"/>
      <w:lvlJc w:val="left"/>
    </w:lvl>
  </w:abstractNum>
  <w:abstractNum w:abstractNumId="1" w15:restartNumberingAfterBreak="0">
    <w:nsid w:val="0A38349C"/>
    <w:multiLevelType w:val="hybridMultilevel"/>
    <w:tmpl w:val="0C2A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D52"/>
    <w:multiLevelType w:val="hybridMultilevel"/>
    <w:tmpl w:val="BA0CF5DE"/>
    <w:lvl w:ilvl="0" w:tplc="05EA3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4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A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EB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A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A7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2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E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8D0B1B"/>
    <w:multiLevelType w:val="hybridMultilevel"/>
    <w:tmpl w:val="7ECA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0EA2"/>
    <w:multiLevelType w:val="hybridMultilevel"/>
    <w:tmpl w:val="244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0296"/>
    <w:multiLevelType w:val="hybridMultilevel"/>
    <w:tmpl w:val="C8CAA4F0"/>
    <w:lvl w:ilvl="0" w:tplc="31806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A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4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8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6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6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4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0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AC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391ADA"/>
    <w:multiLevelType w:val="hybridMultilevel"/>
    <w:tmpl w:val="8390B704"/>
    <w:lvl w:ilvl="0" w:tplc="A35A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2A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0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F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3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4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8F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CA78E6"/>
    <w:multiLevelType w:val="hybridMultilevel"/>
    <w:tmpl w:val="C5D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72F"/>
    <w:multiLevelType w:val="hybridMultilevel"/>
    <w:tmpl w:val="DF90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B6575"/>
    <w:multiLevelType w:val="hybridMultilevel"/>
    <w:tmpl w:val="0DC6EA74"/>
    <w:lvl w:ilvl="0" w:tplc="17068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94B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E8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2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1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8A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2F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C7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8A2317"/>
    <w:multiLevelType w:val="hybridMultilevel"/>
    <w:tmpl w:val="9E6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B5083"/>
    <w:multiLevelType w:val="hybridMultilevel"/>
    <w:tmpl w:val="E51631D2"/>
    <w:lvl w:ilvl="0" w:tplc="D5DE5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E61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8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5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A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24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D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68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22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53CF4"/>
    <w:rsid w:val="000C7BE5"/>
    <w:rsid w:val="000D788C"/>
    <w:rsid w:val="000E039F"/>
    <w:rsid w:val="000E2E04"/>
    <w:rsid w:val="000F21EC"/>
    <w:rsid w:val="0010026A"/>
    <w:rsid w:val="001546E2"/>
    <w:rsid w:val="001806B8"/>
    <w:rsid w:val="00197F6E"/>
    <w:rsid w:val="001B1C64"/>
    <w:rsid w:val="002274CD"/>
    <w:rsid w:val="0022752D"/>
    <w:rsid w:val="00235631"/>
    <w:rsid w:val="00236858"/>
    <w:rsid w:val="002953E5"/>
    <w:rsid w:val="002C2973"/>
    <w:rsid w:val="002D5156"/>
    <w:rsid w:val="00344FF1"/>
    <w:rsid w:val="00362981"/>
    <w:rsid w:val="00367024"/>
    <w:rsid w:val="0039786F"/>
    <w:rsid w:val="003A3814"/>
    <w:rsid w:val="00406DEB"/>
    <w:rsid w:val="00424F0E"/>
    <w:rsid w:val="004342E3"/>
    <w:rsid w:val="0043645E"/>
    <w:rsid w:val="00446394"/>
    <w:rsid w:val="00470C7A"/>
    <w:rsid w:val="00474EC6"/>
    <w:rsid w:val="004A26BB"/>
    <w:rsid w:val="004C1A7C"/>
    <w:rsid w:val="004C2A5F"/>
    <w:rsid w:val="005F006C"/>
    <w:rsid w:val="006152BE"/>
    <w:rsid w:val="006377CD"/>
    <w:rsid w:val="0064443C"/>
    <w:rsid w:val="00684052"/>
    <w:rsid w:val="0068562A"/>
    <w:rsid w:val="00702EEA"/>
    <w:rsid w:val="0071219A"/>
    <w:rsid w:val="00724E03"/>
    <w:rsid w:val="00730AE0"/>
    <w:rsid w:val="00790638"/>
    <w:rsid w:val="007A71D5"/>
    <w:rsid w:val="007B1A6A"/>
    <w:rsid w:val="008076CD"/>
    <w:rsid w:val="0084578A"/>
    <w:rsid w:val="00863CD9"/>
    <w:rsid w:val="00940D48"/>
    <w:rsid w:val="00997147"/>
    <w:rsid w:val="00A20A26"/>
    <w:rsid w:val="00A765E0"/>
    <w:rsid w:val="00A94411"/>
    <w:rsid w:val="00AB7D69"/>
    <w:rsid w:val="00AD7D42"/>
    <w:rsid w:val="00B01DB2"/>
    <w:rsid w:val="00B90F28"/>
    <w:rsid w:val="00BC2992"/>
    <w:rsid w:val="00BC2FFB"/>
    <w:rsid w:val="00BF72C6"/>
    <w:rsid w:val="00C14BCC"/>
    <w:rsid w:val="00C16065"/>
    <w:rsid w:val="00C30A25"/>
    <w:rsid w:val="00C62503"/>
    <w:rsid w:val="00C66F86"/>
    <w:rsid w:val="00C710D3"/>
    <w:rsid w:val="00C742FA"/>
    <w:rsid w:val="00CA64D0"/>
    <w:rsid w:val="00D020F0"/>
    <w:rsid w:val="00D10089"/>
    <w:rsid w:val="00D2144E"/>
    <w:rsid w:val="00D53AD2"/>
    <w:rsid w:val="00D54FD4"/>
    <w:rsid w:val="00DB2559"/>
    <w:rsid w:val="00E00606"/>
    <w:rsid w:val="00F42456"/>
    <w:rsid w:val="00F854EC"/>
    <w:rsid w:val="00F9190F"/>
    <w:rsid w:val="00FA6265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81A"/>
  <w15:chartTrackingRefBased/>
  <w15:docId w15:val="{5BB95D27-5AC9-4F9C-A315-D07264A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36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07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6CD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C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E04"/>
    <w:pPr>
      <w:spacing w:before="0"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E0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562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F72C6"/>
  </w:style>
  <w:style w:type="character" w:customStyle="1" w:styleId="eop">
    <w:name w:val="eop"/>
    <w:basedOn w:val="DefaultParagraphFont"/>
    <w:rsid w:val="00BF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97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1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9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1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3/indicator13-slides-portuguese.pptx" TargetMode="External"/><Relationship Id="rId13" Type="http://schemas.openxmlformats.org/officeDocument/2006/relationships/hyperlink" Target="https://www.doe.mass.edu/sped/secondary-transition/indicator13-measurement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files.doe.mass.edu/statereport/special_educatio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entcenterhub.org/transitionadul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secondary-transition/indicator13-transition-assessment.docx" TargetMode="External"/><Relationship Id="rId10" Type="http://schemas.openxmlformats.org/officeDocument/2006/relationships/hyperlink" Target="https://fcsn.org/linkcenter/transition-resources/brochur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econdary-transition/default.html" TargetMode="External"/><Relationship Id="rId14" Type="http://schemas.openxmlformats.org/officeDocument/2006/relationships/hyperlink" Target="https://www.doe.mass.edu/sped/secondary-transition/indicator13-goals-example-shee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B31EA-0EFE-4DB4-AB53-CAC096DBC16C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8A83ACEC-D92B-417E-A95C-4A7910F7D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74416-8FEA-48B2-8F35-C5B24ABB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Indicator 13: Secondary Transition — Portuguese</vt:lpstr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13: Secondary Transition — Portuguese</dc:title>
  <dc:subject/>
  <dc:creator>DESE</dc:creator>
  <cp:keywords/>
  <dc:description/>
  <cp:lastModifiedBy>Zou, Dong (EOE)</cp:lastModifiedBy>
  <cp:revision>17</cp:revision>
  <dcterms:created xsi:type="dcterms:W3CDTF">2022-11-01T13:06:00Z</dcterms:created>
  <dcterms:modified xsi:type="dcterms:W3CDTF">2023-01-26T20:08:00Z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