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BDCE9" w14:textId="76192711" w:rsidR="004553F7" w:rsidRPr="006670A1" w:rsidRDefault="00BB4950" w:rsidP="004553F7">
      <w:pPr>
        <w:shd w:val="clear" w:color="auto" w:fill="FFFFFF"/>
        <w:spacing w:before="100" w:beforeAutospacing="1" w:after="100" w:afterAutospacing="1" w:line="240" w:lineRule="auto"/>
        <w:outlineLvl w:val="1"/>
        <w:rPr>
          <w:rFonts w:eastAsia="Times New Roman"/>
          <w:b/>
          <w:bCs/>
          <w:shd w:val="clear" w:color="auto" w:fill="FFFFFF"/>
        </w:rPr>
      </w:pPr>
      <w:r>
        <w:fldChar w:fldCharType="begin"/>
      </w:r>
      <w:r>
        <w:instrText xml:space="preserve"> HYPERLINK "https://www.doe.mass.edu/sped/spp/indicators/indicator13/" </w:instrText>
      </w:r>
      <w:r>
        <w:fldChar w:fldCharType="separate"/>
      </w:r>
      <w:r w:rsidR="004553F7" w:rsidRPr="006A1063">
        <w:rPr>
          <w:rStyle w:val="Hyperlink"/>
          <w:rFonts w:ascii="SimSun" w:eastAsia="SimSun" w:hAnsi="SimSun" w:cs="SimSun"/>
          <w:b/>
          <w:bCs/>
          <w:shd w:val="clear" w:color="auto" w:fill="FFFFFF"/>
        </w:rPr>
        <w:t>English</w:t>
      </w:r>
      <w:r>
        <w:rPr>
          <w:rStyle w:val="Hyperlink"/>
          <w:rFonts w:ascii="SimSun" w:eastAsia="SimSun" w:hAnsi="SimSun" w:cs="SimSun"/>
          <w:b/>
          <w:bCs/>
          <w:shd w:val="clear" w:color="auto" w:fill="FFFFFF"/>
        </w:rPr>
        <w:fldChar w:fldCharType="end"/>
      </w:r>
      <w:r w:rsidR="004553F7" w:rsidRPr="006670A1">
        <w:rPr>
          <w:rFonts w:ascii="SimSun" w:eastAsia="SimSun" w:hAnsi="SimSun" w:cs="SimSun"/>
          <w:b/>
          <w:bCs/>
          <w:shd w:val="clear" w:color="auto" w:fill="FFFFFF"/>
        </w:rPr>
        <w:t> | </w:t>
      </w:r>
      <w:hyperlink r:id="rId8" w:history="1">
        <w:proofErr w:type="spellStart"/>
        <w:r w:rsidR="004553F7" w:rsidRPr="006A1063">
          <w:rPr>
            <w:rStyle w:val="Hyperlink"/>
            <w:rFonts w:ascii="SimSun" w:eastAsia="SimSun" w:hAnsi="SimSun" w:cs="SimSun" w:hint="eastAsia"/>
            <w:b/>
            <w:bCs/>
          </w:rPr>
          <w:t>繁體中文</w:t>
        </w:r>
        <w:proofErr w:type="spellEnd"/>
      </w:hyperlink>
      <w:r w:rsidR="004553F7" w:rsidRPr="006670A1">
        <w:rPr>
          <w:rFonts w:ascii="SimSun" w:eastAsia="SimSun" w:hAnsi="SimSun" w:cs="SimSun"/>
          <w:b/>
          <w:bCs/>
          <w:shd w:val="clear" w:color="auto" w:fill="FFFFFF"/>
        </w:rPr>
        <w:t> | </w:t>
      </w:r>
      <w:proofErr w:type="spellStart"/>
      <w:r>
        <w:fldChar w:fldCharType="begin"/>
      </w:r>
      <w:r>
        <w:instrText xml:space="preserve"> HYPERLINK "https://www.doe.mass.edu/sped/spp/indicators/indicator13/indicator13-haitiancreole.docx" </w:instrText>
      </w:r>
      <w:r>
        <w:fldChar w:fldCharType="separate"/>
      </w:r>
      <w:r w:rsidR="004553F7" w:rsidRPr="006A1063">
        <w:rPr>
          <w:rStyle w:val="Hyperlink"/>
          <w:rFonts w:ascii="SimSun" w:eastAsia="SimSun" w:hAnsi="SimSun" w:cs="SimSun"/>
          <w:b/>
          <w:bCs/>
          <w:shd w:val="clear" w:color="auto" w:fill="FFFFFF"/>
        </w:rPr>
        <w:t>Kreyòl</w:t>
      </w:r>
      <w:proofErr w:type="spellEnd"/>
      <w:r w:rsidR="004553F7" w:rsidRPr="006A1063">
        <w:rPr>
          <w:rStyle w:val="Hyperlink"/>
          <w:rFonts w:ascii="SimSun" w:eastAsia="SimSun" w:hAnsi="SimSun" w:cs="SimSun"/>
          <w:b/>
          <w:bCs/>
          <w:shd w:val="clear" w:color="auto" w:fill="FFFFFF"/>
        </w:rPr>
        <w:t xml:space="preserve"> </w:t>
      </w:r>
      <w:proofErr w:type="spellStart"/>
      <w:r w:rsidR="004553F7" w:rsidRPr="006A1063">
        <w:rPr>
          <w:rStyle w:val="Hyperlink"/>
          <w:rFonts w:ascii="SimSun" w:eastAsia="SimSun" w:hAnsi="SimSun" w:cs="SimSun"/>
          <w:b/>
          <w:bCs/>
          <w:shd w:val="clear" w:color="auto" w:fill="FFFFFF"/>
        </w:rPr>
        <w:t>Ayisyen</w:t>
      </w:r>
      <w:proofErr w:type="spellEnd"/>
      <w:r>
        <w:rPr>
          <w:rStyle w:val="Hyperlink"/>
          <w:rFonts w:ascii="SimSun" w:eastAsia="SimSun" w:hAnsi="SimSun" w:cs="SimSun"/>
          <w:b/>
          <w:bCs/>
          <w:shd w:val="clear" w:color="auto" w:fill="FFFFFF"/>
        </w:rPr>
        <w:fldChar w:fldCharType="end"/>
      </w:r>
      <w:r w:rsidR="004553F7" w:rsidRPr="006670A1">
        <w:rPr>
          <w:rFonts w:ascii="SimSun" w:eastAsia="SimSun" w:hAnsi="SimSun" w:cs="SimSun"/>
          <w:b/>
          <w:bCs/>
          <w:shd w:val="clear" w:color="auto" w:fill="FFFFFF"/>
        </w:rPr>
        <w:t> | </w:t>
      </w:r>
      <w:proofErr w:type="spellStart"/>
      <w:r>
        <w:fldChar w:fldCharType="begin"/>
      </w:r>
      <w:r>
        <w:instrText xml:space="preserve"> HYPERLINK "https://www.doe.ma</w:instrText>
      </w:r>
      <w:r>
        <w:instrText xml:space="preserve">ss.edu/sped/spp/indicators/indicator13/indicator13-portuguese.docx" </w:instrText>
      </w:r>
      <w:r>
        <w:fldChar w:fldCharType="separate"/>
      </w:r>
      <w:r w:rsidR="004553F7" w:rsidRPr="006A1063">
        <w:rPr>
          <w:rStyle w:val="Hyperlink"/>
          <w:rFonts w:ascii="SimSun" w:eastAsia="SimSun" w:hAnsi="SimSun" w:cs="SimSun"/>
          <w:b/>
          <w:bCs/>
          <w:shd w:val="clear" w:color="auto" w:fill="FFFFFF"/>
        </w:rPr>
        <w:t>português</w:t>
      </w:r>
      <w:proofErr w:type="spellEnd"/>
      <w:r>
        <w:rPr>
          <w:rStyle w:val="Hyperlink"/>
          <w:rFonts w:ascii="SimSun" w:eastAsia="SimSun" w:hAnsi="SimSun" w:cs="SimSun"/>
          <w:b/>
          <w:bCs/>
          <w:shd w:val="clear" w:color="auto" w:fill="FFFFFF"/>
        </w:rPr>
        <w:fldChar w:fldCharType="end"/>
      </w:r>
      <w:r w:rsidR="004553F7" w:rsidRPr="006670A1">
        <w:rPr>
          <w:rFonts w:ascii="SimSun" w:eastAsia="SimSun" w:hAnsi="SimSun" w:cs="SimSun"/>
          <w:b/>
          <w:bCs/>
          <w:shd w:val="clear" w:color="auto" w:fill="FFFFFF"/>
        </w:rPr>
        <w:t>​ | </w:t>
      </w:r>
      <w:r w:rsidR="004553F7" w:rsidRPr="004553F7">
        <w:rPr>
          <w:rFonts w:ascii="SimSun" w:eastAsia="SimSun" w:hAnsi="SimSun" w:cs="SimSun"/>
          <w:b/>
          <w:bCs/>
          <w:shd w:val="clear" w:color="auto" w:fill="FFFFFF"/>
        </w:rPr>
        <w:t>español</w:t>
      </w:r>
      <w:r w:rsidR="004553F7" w:rsidRPr="006670A1">
        <w:rPr>
          <w:rFonts w:ascii="SimSun" w:eastAsia="SimSun" w:hAnsi="SimSun" w:cs="SimSun"/>
          <w:b/>
          <w:bCs/>
          <w:shd w:val="clear" w:color="auto" w:fill="FFFFFF"/>
        </w:rPr>
        <w:t> | </w:t>
      </w:r>
      <w:proofErr w:type="spellStart"/>
      <w:r>
        <w:fldChar w:fldCharType="begin"/>
      </w:r>
      <w:r>
        <w:instrText xml:space="preserve"> HYPERLINK "https://www.doe.mass.edu/sped/spp/indicators/indicator13/indicator13-vietnamese.docx" </w:instrText>
      </w:r>
      <w:r>
        <w:fldChar w:fldCharType="separate"/>
      </w:r>
      <w:r w:rsidR="004553F7" w:rsidRPr="006A1063">
        <w:rPr>
          <w:rStyle w:val="Hyperlink"/>
          <w:rFonts w:ascii="SimSun" w:eastAsia="SimSun" w:hAnsi="SimSun" w:cs="SimSun"/>
          <w:b/>
          <w:bCs/>
          <w:shd w:val="clear" w:color="auto" w:fill="FFFFFF"/>
        </w:rPr>
        <w:t>Vi</w:t>
      </w:r>
      <w:r w:rsidR="004553F7" w:rsidRPr="006A1063">
        <w:rPr>
          <w:rStyle w:val="Hyperlink"/>
          <w:rFonts w:ascii="Cambria" w:eastAsia="SimSun" w:hAnsi="Cambria" w:cs="Cambria"/>
          <w:b/>
          <w:bCs/>
          <w:shd w:val="clear" w:color="auto" w:fill="FFFFFF"/>
        </w:rPr>
        <w:t>ệ</w:t>
      </w:r>
      <w:r w:rsidR="004553F7" w:rsidRPr="006A1063">
        <w:rPr>
          <w:rStyle w:val="Hyperlink"/>
          <w:rFonts w:ascii="SimSun" w:eastAsia="SimSun" w:hAnsi="SimSun" w:cs="SimSun"/>
          <w:b/>
          <w:bCs/>
          <w:shd w:val="clear" w:color="auto" w:fill="FFFFFF"/>
        </w:rPr>
        <w:t>t</w:t>
      </w:r>
      <w:proofErr w:type="spellEnd"/>
      <w:r>
        <w:rPr>
          <w:rStyle w:val="Hyperlink"/>
          <w:rFonts w:ascii="SimSun" w:eastAsia="SimSun" w:hAnsi="SimSun" w:cs="SimSun"/>
          <w:b/>
          <w:bCs/>
          <w:shd w:val="clear" w:color="auto" w:fill="FFFFFF"/>
        </w:rPr>
        <w:fldChar w:fldCharType="end"/>
      </w:r>
    </w:p>
    <w:p w14:paraId="3256F3E2" w14:textId="4317A1BC" w:rsidR="00997147" w:rsidRDefault="00997147" w:rsidP="002C2973">
      <w:pPr>
        <w:shd w:val="clear" w:color="auto" w:fill="FFFFFF"/>
        <w:spacing w:before="100" w:beforeAutospacing="1" w:after="100" w:afterAutospacing="1" w:line="240" w:lineRule="auto"/>
        <w:outlineLvl w:val="1"/>
        <w:rPr>
          <w:rFonts w:ascii="Segoe UI" w:eastAsia="Times New Roman" w:hAnsi="Segoe UI" w:cs="Segoe UI"/>
          <w:color w:val="0C7580"/>
          <w:spacing w:val="12"/>
          <w:sz w:val="36"/>
          <w:szCs w:val="36"/>
        </w:rPr>
      </w:pPr>
      <w:r>
        <w:rPr>
          <w:rFonts w:ascii="Segoe UI" w:hAnsi="Segoe UI"/>
          <w:color w:val="0C7580"/>
          <w:sz w:val="36"/>
        </w:rPr>
        <w:t>¿Qué es el Indicador 13 (transición secundaria)?</w:t>
      </w:r>
    </w:p>
    <w:p w14:paraId="769356D8" w14:textId="50A34C3A" w:rsidR="004A26BB" w:rsidRPr="004A26BB" w:rsidRDefault="004A26BB" w:rsidP="001B1C64">
      <w:pPr>
        <w:numPr>
          <w:ilvl w:val="0"/>
          <w:numId w:val="12"/>
        </w:numPr>
        <w:rPr>
          <w:rFonts w:ascii="Segoe UI" w:hAnsi="Segoe UI" w:cs="Segoe UI"/>
        </w:rPr>
      </w:pPr>
      <w:r>
        <w:rPr>
          <w:rFonts w:ascii="Segoe UI" w:hAnsi="Segoe UI"/>
        </w:rPr>
        <w:t>El Indicador 13 verifica si los estudiantes de Massachusetts con Programas Educativos Individualizados (IEP) que tienen 14 años o más, reciben planificación y servicios de transición secundaria acorde con la Ley Federal de Educación para Individuos con Discapacidades (IDEA).</w:t>
      </w:r>
    </w:p>
    <w:p w14:paraId="0D77A691" w14:textId="23B03765" w:rsidR="004A26BB" w:rsidRPr="004A26BB" w:rsidRDefault="004A26BB" w:rsidP="001B1C64">
      <w:pPr>
        <w:numPr>
          <w:ilvl w:val="0"/>
          <w:numId w:val="12"/>
        </w:numPr>
        <w:rPr>
          <w:rFonts w:ascii="Segoe UI" w:hAnsi="Segoe UI" w:cs="Segoe UI"/>
        </w:rPr>
      </w:pPr>
      <w:r>
        <w:rPr>
          <w:rFonts w:ascii="Segoe UI" w:hAnsi="Segoe UI"/>
        </w:rPr>
        <w:t>La planificación y los servicios de transición de IDEA son obligatorios en las regulaciones federales, en estas y otras secciones: § 300.43, § 300.305, § 300.320, § 300.321, § 300.322, § 300.324, § 300.520, § 300.622.</w:t>
      </w:r>
    </w:p>
    <w:p w14:paraId="423DB329" w14:textId="3A49EDDE" w:rsidR="004A26BB" w:rsidRPr="004A26BB" w:rsidRDefault="004A26BB" w:rsidP="001B1C64">
      <w:pPr>
        <w:numPr>
          <w:ilvl w:val="0"/>
          <w:numId w:val="12"/>
        </w:numPr>
        <w:rPr>
          <w:rFonts w:ascii="Segoe UI" w:hAnsi="Segoe UI" w:cs="Segoe UI"/>
        </w:rPr>
      </w:pPr>
      <w:r>
        <w:rPr>
          <w:rFonts w:ascii="Segoe UI" w:hAnsi="Segoe UI"/>
        </w:rPr>
        <w:t xml:space="preserve">La ley del estado de Massachusetts requiere que la planificación y los servicios de transición comiencen a más tardar cuando el estudiante cumple 14 años, dos años antes del requisito federal de 16 años. Por lo tanto, Massachusetts usa la edad de 14 años para la revisión del Indicador 13. </w:t>
      </w:r>
    </w:p>
    <w:p w14:paraId="31A8083B" w14:textId="40B8C41B" w:rsidR="00702EEA" w:rsidRDefault="00702EEA" w:rsidP="00702EEA">
      <w:pPr>
        <w:shd w:val="clear" w:color="auto" w:fill="FFFFFF"/>
        <w:spacing w:before="100" w:beforeAutospacing="1" w:after="100" w:afterAutospacing="1" w:line="240" w:lineRule="auto"/>
        <w:outlineLvl w:val="1"/>
        <w:rPr>
          <w:rFonts w:ascii="Segoe UI" w:eastAsia="Times New Roman" w:hAnsi="Segoe UI" w:cs="Segoe UI"/>
          <w:color w:val="0C7580"/>
          <w:spacing w:val="12"/>
          <w:sz w:val="36"/>
          <w:szCs w:val="36"/>
        </w:rPr>
      </w:pPr>
      <w:r>
        <w:rPr>
          <w:rFonts w:ascii="Segoe UI" w:hAnsi="Segoe UI"/>
          <w:color w:val="0C7580"/>
          <w:sz w:val="36"/>
        </w:rPr>
        <w:t>¿Por qué es importante el Indicador 13?</w:t>
      </w:r>
    </w:p>
    <w:p w14:paraId="343150C4" w14:textId="41371EC3" w:rsidR="001B1C64" w:rsidRPr="001B1C64" w:rsidRDefault="001B1C64" w:rsidP="001B1C64">
      <w:pPr>
        <w:numPr>
          <w:ilvl w:val="0"/>
          <w:numId w:val="12"/>
        </w:numPr>
        <w:rPr>
          <w:rFonts w:ascii="Segoe UI" w:hAnsi="Segoe UI" w:cs="Segoe UI"/>
        </w:rPr>
      </w:pPr>
      <w:r>
        <w:rPr>
          <w:rFonts w:ascii="Segoe UI" w:hAnsi="Segoe UI"/>
        </w:rPr>
        <w:t xml:space="preserve">El Indicador 13 es una forma en que Massachusetts garantiza que las escuelas y los distritos cumplen con las leyes federales y estatales de educación especial. </w:t>
      </w:r>
    </w:p>
    <w:p w14:paraId="62F43DBA" w14:textId="7792F4E2" w:rsidR="001B1C64" w:rsidRPr="001B1C64" w:rsidRDefault="001B1C64" w:rsidP="001B1C64">
      <w:pPr>
        <w:numPr>
          <w:ilvl w:val="0"/>
          <w:numId w:val="12"/>
        </w:numPr>
        <w:rPr>
          <w:rFonts w:ascii="Segoe UI" w:hAnsi="Segoe UI" w:cs="Segoe UI"/>
        </w:rPr>
      </w:pPr>
      <w:r>
        <w:rPr>
          <w:rFonts w:ascii="Segoe UI" w:hAnsi="Segoe UI"/>
        </w:rPr>
        <w:t xml:space="preserve">Si los estudiantes con IEP cumplen con la planificación y los servicios de transición secundaria, es más probable que obtengan resultados positivos en la educación/capacitación posterior a la escuela secundaria, el empleo, la vida independiente y la participación en la comunidad. </w:t>
      </w:r>
    </w:p>
    <w:p w14:paraId="4EF0F032" w14:textId="09B39B90" w:rsidR="001B1C64" w:rsidRPr="001B1C64" w:rsidRDefault="001B1C64" w:rsidP="001B1C64">
      <w:pPr>
        <w:numPr>
          <w:ilvl w:val="0"/>
          <w:numId w:val="12"/>
        </w:numPr>
        <w:rPr>
          <w:rFonts w:ascii="Segoe UI" w:hAnsi="Segoe UI" w:cs="Segoe UI"/>
        </w:rPr>
      </w:pPr>
      <w:r>
        <w:rPr>
          <w:rFonts w:ascii="Segoe UI" w:hAnsi="Segoe UI"/>
        </w:rPr>
        <w:t>El Indicador 13 también ayuda al Departamento de Educación Primaria y Secundaria (DESE) de Massachusetts a comprender qué escuelas y distritos pueden necesitar desarrollo profesional adicional y otros recursos para apoyar las necesidades de transición secundaria de los estudiantes.</w:t>
      </w:r>
    </w:p>
    <w:p w14:paraId="18A28786" w14:textId="77777777" w:rsidR="002C2973" w:rsidRDefault="00CA64D0" w:rsidP="002C2973">
      <w:pPr>
        <w:shd w:val="clear" w:color="auto" w:fill="FFFFFF"/>
        <w:spacing w:before="100" w:beforeAutospacing="1" w:after="100" w:afterAutospacing="1" w:line="240" w:lineRule="auto"/>
        <w:outlineLvl w:val="1"/>
        <w:rPr>
          <w:rFonts w:ascii="Segoe UI" w:eastAsia="Times New Roman" w:hAnsi="Segoe UI" w:cs="Segoe UI"/>
          <w:color w:val="0C7580"/>
          <w:spacing w:val="12"/>
          <w:sz w:val="36"/>
          <w:szCs w:val="36"/>
        </w:rPr>
      </w:pPr>
      <w:r>
        <w:rPr>
          <w:rFonts w:ascii="Segoe UI" w:hAnsi="Segoe UI"/>
          <w:color w:val="0C7580"/>
          <w:sz w:val="36"/>
        </w:rPr>
        <w:t>¿Cómo recopila Massachusetts los datos del Indicador 13?</w:t>
      </w:r>
    </w:p>
    <w:p w14:paraId="6A798EA4" w14:textId="717DBC04" w:rsidR="0068562A" w:rsidRDefault="00C66F86" w:rsidP="0068562A">
      <w:pPr>
        <w:autoSpaceDE w:val="0"/>
        <w:autoSpaceDN w:val="0"/>
        <w:adjustRightInd w:val="0"/>
        <w:spacing w:after="0" w:line="240" w:lineRule="auto"/>
        <w:rPr>
          <w:rFonts w:ascii="Segoe UI" w:hAnsi="Segoe UI" w:cs="Segoe UI"/>
          <w:color w:val="101D35"/>
          <w:kern w:val="24"/>
        </w:rPr>
      </w:pPr>
      <w:r>
        <w:rPr>
          <w:rFonts w:ascii="Segoe UI" w:hAnsi="Segoe UI"/>
          <w:color w:val="101D35"/>
        </w:rPr>
        <w:t>Cada año, DESE requiere que los distritos de Massachusetts revisen una muestra de archivos para estudiantes con IEP que tienen 14 años o más, utilizando una lista de verificación con los requisitos del Indicador 13. Los resultados de estas revisiones de archivos se utilizan en un cálculo requerido por el gobierno federal para determinar la tasa de porcentaje estatal para el cumplimiento del Indicador 13.</w:t>
      </w:r>
    </w:p>
    <w:p w14:paraId="1FBA7045" w14:textId="77777777" w:rsidR="005F006C" w:rsidRPr="0068562A" w:rsidRDefault="005F006C" w:rsidP="0068562A">
      <w:pPr>
        <w:autoSpaceDE w:val="0"/>
        <w:autoSpaceDN w:val="0"/>
        <w:adjustRightInd w:val="0"/>
        <w:spacing w:after="0" w:line="240" w:lineRule="auto"/>
        <w:rPr>
          <w:rFonts w:ascii="Segoe UI" w:hAnsi="Segoe UI" w:cs="Segoe UI"/>
          <w:color w:val="101D35"/>
          <w:kern w:val="24"/>
        </w:rPr>
      </w:pPr>
    </w:p>
    <w:p w14:paraId="12CA865C" w14:textId="77777777" w:rsidR="00406DEB" w:rsidRDefault="00406DEB" w:rsidP="00790638">
      <w:pPr>
        <w:autoSpaceDE w:val="0"/>
        <w:autoSpaceDN w:val="0"/>
        <w:adjustRightInd w:val="0"/>
        <w:rPr>
          <w:rFonts w:ascii="Segoe UI" w:eastAsia="Times New Roman" w:hAnsi="Segoe UI" w:cs="Segoe UI"/>
          <w:color w:val="0C7580"/>
          <w:spacing w:val="12"/>
          <w:sz w:val="36"/>
          <w:szCs w:val="36"/>
        </w:rPr>
      </w:pPr>
      <w:bookmarkStart w:id="0" w:name="_Hlk98328556"/>
      <w:bookmarkStart w:id="1" w:name="_Hlk98332978"/>
      <w:r>
        <w:rPr>
          <w:rFonts w:ascii="Segoe UI" w:hAnsi="Segoe UI"/>
          <w:color w:val="0C7580"/>
          <w:sz w:val="36"/>
        </w:rPr>
        <w:lastRenderedPageBreak/>
        <w:t>¿Cómo se mide la tasa de cumplimiento estatal del Indicador 13?</w:t>
      </w:r>
    </w:p>
    <w:bookmarkEnd w:id="0"/>
    <w:p w14:paraId="154CB912" w14:textId="77777777" w:rsidR="00197F6E" w:rsidRPr="00197F6E" w:rsidRDefault="00197F6E" w:rsidP="00197F6E">
      <w:pPr>
        <w:rPr>
          <w:rFonts w:ascii="Segoe UI" w:hAnsi="Segoe UI" w:cs="Segoe UI"/>
          <w:color w:val="101D35"/>
          <w:kern w:val="24"/>
        </w:rPr>
      </w:pPr>
      <w:r>
        <w:rPr>
          <w:rFonts w:ascii="Segoe UI" w:hAnsi="Segoe UI"/>
          <w:color w:val="101D35"/>
        </w:rPr>
        <w:t>Porcentaje de jóvenes con IEP de 14 años o más con un IEP que incluye lo siguiente:</w:t>
      </w:r>
    </w:p>
    <w:p w14:paraId="3B64B132" w14:textId="6B198826" w:rsidR="00197F6E" w:rsidRPr="00197F6E" w:rsidRDefault="00197F6E" w:rsidP="00197F6E">
      <w:pPr>
        <w:numPr>
          <w:ilvl w:val="0"/>
          <w:numId w:val="12"/>
        </w:numPr>
        <w:tabs>
          <w:tab w:val="num" w:pos="1440"/>
        </w:tabs>
        <w:rPr>
          <w:rFonts w:ascii="Segoe UI" w:hAnsi="Segoe UI" w:cs="Segoe UI"/>
        </w:rPr>
      </w:pPr>
      <w:r>
        <w:rPr>
          <w:rFonts w:ascii="Segoe UI" w:hAnsi="Segoe UI"/>
        </w:rPr>
        <w:t xml:space="preserve">metas posteriores al secundario medibles apropiadas, que se actualizan anualmente y se basan en una evaluación de transición apropiada para la edad; </w:t>
      </w:r>
    </w:p>
    <w:p w14:paraId="20EE93D9" w14:textId="2F6D7632" w:rsidR="00197F6E" w:rsidRPr="00197F6E" w:rsidRDefault="00197F6E" w:rsidP="00197F6E">
      <w:pPr>
        <w:numPr>
          <w:ilvl w:val="0"/>
          <w:numId w:val="12"/>
        </w:numPr>
        <w:tabs>
          <w:tab w:val="num" w:pos="1440"/>
        </w:tabs>
        <w:rPr>
          <w:rFonts w:ascii="Segoe UI" w:hAnsi="Segoe UI" w:cs="Segoe UI"/>
        </w:rPr>
      </w:pPr>
      <w:r>
        <w:rPr>
          <w:rFonts w:ascii="Segoe UI" w:hAnsi="Segoe UI"/>
        </w:rPr>
        <w:t xml:space="preserve">servicios de transición, incluidos cursos de estudio, que razonablemente permitirán que el estudiante alcance esas metas posteriores al secundario; </w:t>
      </w:r>
    </w:p>
    <w:p w14:paraId="7BAAA6A6" w14:textId="09F2FFAF" w:rsidR="00197F6E" w:rsidRPr="00197F6E" w:rsidRDefault="00197F6E" w:rsidP="00197F6E">
      <w:pPr>
        <w:numPr>
          <w:ilvl w:val="0"/>
          <w:numId w:val="12"/>
        </w:numPr>
        <w:tabs>
          <w:tab w:val="num" w:pos="1440"/>
        </w:tabs>
        <w:rPr>
          <w:rFonts w:ascii="Segoe UI" w:hAnsi="Segoe UI" w:cs="Segoe UI"/>
        </w:rPr>
      </w:pPr>
      <w:r>
        <w:rPr>
          <w:rFonts w:ascii="Segoe UI" w:hAnsi="Segoe UI"/>
        </w:rPr>
        <w:t>metas anuales del IEP relacionadas con las necesidades de servicios de transición del estudiante;</w:t>
      </w:r>
    </w:p>
    <w:p w14:paraId="5CC81EB2" w14:textId="38206C9C" w:rsidR="00197F6E" w:rsidRPr="00197F6E" w:rsidRDefault="00197F6E" w:rsidP="00197F6E">
      <w:pPr>
        <w:numPr>
          <w:ilvl w:val="0"/>
          <w:numId w:val="12"/>
        </w:numPr>
        <w:tabs>
          <w:tab w:val="num" w:pos="1440"/>
        </w:tabs>
        <w:rPr>
          <w:rFonts w:ascii="Segoe UI" w:hAnsi="Segoe UI" w:cs="Segoe UI"/>
        </w:rPr>
      </w:pPr>
      <w:r>
        <w:rPr>
          <w:rFonts w:ascii="Segoe UI" w:hAnsi="Segoe UI"/>
        </w:rPr>
        <w:t xml:space="preserve">evidencia de que el estudiante fue invitado a la reunión del Equipo de IEP donde se discutirán los servicios de transición; y </w:t>
      </w:r>
    </w:p>
    <w:p w14:paraId="044E7E31" w14:textId="7AA3F2C2" w:rsidR="00197F6E" w:rsidRPr="00197F6E" w:rsidRDefault="00197F6E" w:rsidP="00197F6E">
      <w:pPr>
        <w:numPr>
          <w:ilvl w:val="0"/>
          <w:numId w:val="12"/>
        </w:numPr>
        <w:tabs>
          <w:tab w:val="num" w:pos="1440"/>
        </w:tabs>
        <w:rPr>
          <w:rFonts w:ascii="Segoe UI" w:hAnsi="Segoe UI" w:cs="Segoe UI"/>
        </w:rPr>
      </w:pPr>
      <w:r>
        <w:rPr>
          <w:rFonts w:ascii="Segoe UI" w:hAnsi="Segoe UI"/>
        </w:rPr>
        <w:t>evidencia de que, si corresponde, un representante de cualquier agencia participante que probablemente pueda ser responsable de proporcionar o pagar los servicios de transición, incluidos, si corresponde, los servicios de transición previos al empleo, fue invitado a la reunión del Equipo del IEP con el consentimiento previo del padre, o estudiante que ha alcanzado la mayoría de edad.</w:t>
      </w:r>
    </w:p>
    <w:bookmarkEnd w:id="1"/>
    <w:p w14:paraId="7753A125" w14:textId="77777777" w:rsidR="00DB2559" w:rsidRDefault="00DB2559" w:rsidP="00236858">
      <w:pPr>
        <w:pStyle w:val="Heading2"/>
        <w:shd w:val="clear" w:color="auto" w:fill="FFFFFF"/>
        <w:rPr>
          <w:rFonts w:ascii="Segoe UI" w:hAnsi="Segoe UI" w:cs="Segoe UI"/>
          <w:b w:val="0"/>
          <w:bCs w:val="0"/>
          <w:color w:val="0C7580"/>
          <w:spacing w:val="12"/>
        </w:rPr>
      </w:pPr>
      <w:r>
        <w:rPr>
          <w:rFonts w:ascii="Segoe UI" w:hAnsi="Segoe UI"/>
          <w:b w:val="0"/>
          <w:color w:val="0C7580"/>
        </w:rPr>
        <w:t>Datos del Indicador 13</w:t>
      </w:r>
    </w:p>
    <w:p w14:paraId="7D48E97E" w14:textId="58418043" w:rsidR="00DB2559" w:rsidRDefault="00BF72C6" w:rsidP="00236858">
      <w:pPr>
        <w:pStyle w:val="Heading2"/>
        <w:shd w:val="clear" w:color="auto" w:fill="FFFFFF"/>
        <w:rPr>
          <w:rStyle w:val="eop"/>
          <w:rFonts w:ascii="Segoe UI" w:hAnsi="Segoe UI" w:cs="Segoe UI"/>
          <w:b w:val="0"/>
          <w:bCs w:val="0"/>
          <w:color w:val="000000"/>
          <w:sz w:val="22"/>
          <w:szCs w:val="22"/>
          <w:shd w:val="clear" w:color="auto" w:fill="FFFFFF"/>
        </w:rPr>
      </w:pPr>
      <w:r>
        <w:rPr>
          <w:rStyle w:val="normaltextrun"/>
          <w:rFonts w:ascii="Segoe UI" w:hAnsi="Segoe UI"/>
          <w:b w:val="0"/>
          <w:color w:val="000000"/>
          <w:sz w:val="22"/>
          <w:shd w:val="clear" w:color="auto" w:fill="FFFFFF"/>
        </w:rPr>
        <w:t>Debido a que esta es una medida de cumplimiento, el gobierno federal requiere un objetivo de 100 % de acatamiento. </w:t>
      </w:r>
      <w:r>
        <w:rPr>
          <w:rStyle w:val="eop"/>
          <w:rFonts w:ascii="Segoe UI" w:hAnsi="Segoe UI"/>
          <w:b w:val="0"/>
          <w:color w:val="000000"/>
          <w:sz w:val="22"/>
          <w:shd w:val="clear" w:color="auto" w:fill="FFFFFF"/>
        </w:rPr>
        <w:t> </w:t>
      </w:r>
    </w:p>
    <w:tbl>
      <w:tblPr>
        <w:tblStyle w:val="TableGrid"/>
        <w:tblW w:w="0" w:type="auto"/>
        <w:tblLook w:val="04A0" w:firstRow="1" w:lastRow="0" w:firstColumn="1" w:lastColumn="0" w:noHBand="0" w:noVBand="1"/>
      </w:tblPr>
      <w:tblGrid>
        <w:gridCol w:w="1655"/>
        <w:gridCol w:w="1477"/>
        <w:gridCol w:w="1554"/>
        <w:gridCol w:w="1554"/>
        <w:gridCol w:w="1555"/>
        <w:gridCol w:w="1555"/>
      </w:tblGrid>
      <w:tr w:rsidR="00C710D3" w14:paraId="2FEE329B" w14:textId="77777777" w:rsidTr="00A94411">
        <w:tc>
          <w:tcPr>
            <w:tcW w:w="1338" w:type="dxa"/>
            <w:shd w:val="clear" w:color="auto" w:fill="D9E2F3" w:themeFill="accent1" w:themeFillTint="33"/>
          </w:tcPr>
          <w:p w14:paraId="49333DB3" w14:textId="4EB74B09" w:rsidR="00C710D3" w:rsidRPr="00A94411" w:rsidRDefault="00053CF4" w:rsidP="006B6E5F">
            <w:pPr>
              <w:jc w:val="center"/>
              <w:rPr>
                <w:rFonts w:ascii="Segoe UI" w:hAnsi="Segoe UI" w:cs="Segoe UI"/>
                <w:b/>
                <w:bCs/>
              </w:rPr>
            </w:pPr>
            <w:r>
              <w:rPr>
                <w:rFonts w:ascii="Segoe UI" w:hAnsi="Segoe UI"/>
                <w:b/>
              </w:rPr>
              <w:t>Año escolar</w:t>
            </w:r>
          </w:p>
        </w:tc>
        <w:tc>
          <w:tcPr>
            <w:tcW w:w="1534" w:type="dxa"/>
            <w:vAlign w:val="center"/>
          </w:tcPr>
          <w:p w14:paraId="0EDDE920" w14:textId="442A2E94" w:rsidR="00C710D3" w:rsidRPr="0068562A" w:rsidRDefault="00C710D3" w:rsidP="006B6E5F">
            <w:pPr>
              <w:jc w:val="center"/>
              <w:rPr>
                <w:rFonts w:ascii="Segoe UI" w:hAnsi="Segoe UI" w:cs="Segoe UI"/>
                <w:b/>
                <w:bCs/>
              </w:rPr>
            </w:pPr>
            <w:r>
              <w:rPr>
                <w:rFonts w:ascii="Segoe UI" w:hAnsi="Segoe UI"/>
                <w:b/>
              </w:rPr>
              <w:t>2016-</w:t>
            </w:r>
            <w:r w:rsidR="00EB092A">
              <w:rPr>
                <w:rFonts w:ascii="Segoe UI" w:hAnsi="Segoe UI"/>
                <w:b/>
              </w:rPr>
              <w:t>20</w:t>
            </w:r>
            <w:r>
              <w:rPr>
                <w:rFonts w:ascii="Segoe UI" w:hAnsi="Segoe UI"/>
                <w:b/>
              </w:rPr>
              <w:t>17</w:t>
            </w:r>
          </w:p>
        </w:tc>
        <w:tc>
          <w:tcPr>
            <w:tcW w:w="1619" w:type="dxa"/>
            <w:vAlign w:val="center"/>
          </w:tcPr>
          <w:p w14:paraId="72452B97" w14:textId="2286314E" w:rsidR="00C710D3" w:rsidRPr="0068562A" w:rsidRDefault="00C710D3" w:rsidP="006B6E5F">
            <w:pPr>
              <w:jc w:val="center"/>
              <w:rPr>
                <w:rFonts w:ascii="Segoe UI" w:hAnsi="Segoe UI" w:cs="Segoe UI"/>
                <w:b/>
                <w:bCs/>
              </w:rPr>
            </w:pPr>
            <w:r>
              <w:rPr>
                <w:rFonts w:ascii="Segoe UI" w:hAnsi="Segoe UI"/>
                <w:b/>
              </w:rPr>
              <w:t>2017-</w:t>
            </w:r>
            <w:r w:rsidR="00EB092A">
              <w:rPr>
                <w:rFonts w:ascii="Segoe UI" w:hAnsi="Segoe UI"/>
                <w:b/>
              </w:rPr>
              <w:t>20</w:t>
            </w:r>
            <w:r>
              <w:rPr>
                <w:rFonts w:ascii="Segoe UI" w:hAnsi="Segoe UI"/>
                <w:b/>
              </w:rPr>
              <w:t>18</w:t>
            </w:r>
          </w:p>
        </w:tc>
        <w:tc>
          <w:tcPr>
            <w:tcW w:w="1619" w:type="dxa"/>
            <w:vAlign w:val="center"/>
          </w:tcPr>
          <w:p w14:paraId="62A63E2F" w14:textId="51376B39" w:rsidR="00C710D3" w:rsidRPr="0068562A" w:rsidRDefault="00C710D3" w:rsidP="006B6E5F">
            <w:pPr>
              <w:jc w:val="center"/>
              <w:rPr>
                <w:rFonts w:ascii="Segoe UI" w:hAnsi="Segoe UI" w:cs="Segoe UI"/>
                <w:b/>
                <w:bCs/>
              </w:rPr>
            </w:pPr>
            <w:r>
              <w:rPr>
                <w:rFonts w:ascii="Segoe UI" w:hAnsi="Segoe UI"/>
                <w:b/>
              </w:rPr>
              <w:t>2018-</w:t>
            </w:r>
            <w:r w:rsidR="00EB092A">
              <w:rPr>
                <w:rFonts w:ascii="Segoe UI" w:hAnsi="Segoe UI"/>
                <w:b/>
              </w:rPr>
              <w:t>20</w:t>
            </w:r>
            <w:r>
              <w:rPr>
                <w:rFonts w:ascii="Segoe UI" w:hAnsi="Segoe UI"/>
                <w:b/>
              </w:rPr>
              <w:t>19</w:t>
            </w:r>
          </w:p>
        </w:tc>
        <w:tc>
          <w:tcPr>
            <w:tcW w:w="1620" w:type="dxa"/>
            <w:vAlign w:val="center"/>
          </w:tcPr>
          <w:p w14:paraId="1EAC7482" w14:textId="20BD14FE" w:rsidR="00C710D3" w:rsidRPr="0068562A" w:rsidRDefault="00C710D3" w:rsidP="006B6E5F">
            <w:pPr>
              <w:jc w:val="center"/>
              <w:rPr>
                <w:rFonts w:ascii="Segoe UI" w:hAnsi="Segoe UI" w:cs="Segoe UI"/>
                <w:b/>
                <w:bCs/>
              </w:rPr>
            </w:pPr>
            <w:r>
              <w:rPr>
                <w:rFonts w:ascii="Segoe UI" w:hAnsi="Segoe UI"/>
                <w:b/>
              </w:rPr>
              <w:t>2019-</w:t>
            </w:r>
            <w:r w:rsidR="00EB092A">
              <w:rPr>
                <w:rFonts w:ascii="Segoe UI" w:hAnsi="Segoe UI"/>
                <w:b/>
              </w:rPr>
              <w:t>20</w:t>
            </w:r>
            <w:r>
              <w:rPr>
                <w:rFonts w:ascii="Segoe UI" w:hAnsi="Segoe UI"/>
                <w:b/>
              </w:rPr>
              <w:t>20</w:t>
            </w:r>
          </w:p>
        </w:tc>
        <w:tc>
          <w:tcPr>
            <w:tcW w:w="1620" w:type="dxa"/>
            <w:vAlign w:val="center"/>
          </w:tcPr>
          <w:p w14:paraId="58FE5420" w14:textId="4096A1F6" w:rsidR="00C710D3" w:rsidRPr="0068562A" w:rsidRDefault="00C710D3" w:rsidP="006B6E5F">
            <w:pPr>
              <w:jc w:val="center"/>
              <w:rPr>
                <w:rFonts w:ascii="Segoe UI" w:hAnsi="Segoe UI" w:cs="Segoe UI"/>
                <w:b/>
                <w:bCs/>
              </w:rPr>
            </w:pPr>
            <w:r>
              <w:rPr>
                <w:rFonts w:ascii="Segoe UI" w:hAnsi="Segoe UI"/>
                <w:b/>
              </w:rPr>
              <w:t>2020-</w:t>
            </w:r>
            <w:r w:rsidR="00EB092A">
              <w:rPr>
                <w:rFonts w:ascii="Segoe UI" w:hAnsi="Segoe UI"/>
                <w:b/>
              </w:rPr>
              <w:t>20</w:t>
            </w:r>
            <w:r>
              <w:rPr>
                <w:rFonts w:ascii="Segoe UI" w:hAnsi="Segoe UI"/>
                <w:b/>
              </w:rPr>
              <w:t>21</w:t>
            </w:r>
          </w:p>
        </w:tc>
      </w:tr>
      <w:tr w:rsidR="00C710D3" w14:paraId="627C57B5" w14:textId="77777777" w:rsidTr="00A94411">
        <w:tc>
          <w:tcPr>
            <w:tcW w:w="1338" w:type="dxa"/>
            <w:shd w:val="clear" w:color="auto" w:fill="D9E2F3" w:themeFill="accent1" w:themeFillTint="33"/>
          </w:tcPr>
          <w:p w14:paraId="67C362B4" w14:textId="17A3ECB5" w:rsidR="00C710D3" w:rsidRPr="00A94411" w:rsidRDefault="004C1A7C" w:rsidP="006B6E5F">
            <w:pPr>
              <w:jc w:val="center"/>
              <w:rPr>
                <w:rFonts w:ascii="Segoe UI" w:hAnsi="Segoe UI" w:cs="Segoe UI"/>
                <w:b/>
                <w:bCs/>
              </w:rPr>
            </w:pPr>
            <w:r>
              <w:rPr>
                <w:rFonts w:ascii="Segoe UI" w:hAnsi="Segoe UI"/>
                <w:b/>
              </w:rPr>
              <w:t>Porcentaje de cumplimiento a nivel estatal</w:t>
            </w:r>
          </w:p>
        </w:tc>
        <w:tc>
          <w:tcPr>
            <w:tcW w:w="1534" w:type="dxa"/>
            <w:vAlign w:val="center"/>
          </w:tcPr>
          <w:p w14:paraId="60183C1F" w14:textId="3B8E93A8" w:rsidR="00C710D3" w:rsidRPr="0068562A" w:rsidRDefault="00C710D3" w:rsidP="006B6E5F">
            <w:pPr>
              <w:jc w:val="center"/>
              <w:rPr>
                <w:rFonts w:ascii="Segoe UI" w:hAnsi="Segoe UI" w:cs="Segoe UI"/>
              </w:rPr>
            </w:pPr>
            <w:r>
              <w:rPr>
                <w:rFonts w:ascii="Segoe UI" w:hAnsi="Segoe UI"/>
              </w:rPr>
              <w:t>99.80 %</w:t>
            </w:r>
          </w:p>
        </w:tc>
        <w:tc>
          <w:tcPr>
            <w:tcW w:w="1619" w:type="dxa"/>
            <w:vAlign w:val="center"/>
          </w:tcPr>
          <w:p w14:paraId="1CC76CF9" w14:textId="77777777" w:rsidR="00C710D3" w:rsidRPr="0068562A" w:rsidRDefault="00C710D3" w:rsidP="006B6E5F">
            <w:pPr>
              <w:jc w:val="center"/>
              <w:rPr>
                <w:rFonts w:ascii="Segoe UI" w:hAnsi="Segoe UI" w:cs="Segoe UI"/>
              </w:rPr>
            </w:pPr>
            <w:r>
              <w:rPr>
                <w:rFonts w:ascii="Segoe UI" w:hAnsi="Segoe UI"/>
              </w:rPr>
              <w:t>97.09 %</w:t>
            </w:r>
          </w:p>
        </w:tc>
        <w:tc>
          <w:tcPr>
            <w:tcW w:w="1619" w:type="dxa"/>
            <w:vAlign w:val="center"/>
          </w:tcPr>
          <w:p w14:paraId="29AC3BAA" w14:textId="77777777" w:rsidR="00C710D3" w:rsidRPr="0068562A" w:rsidRDefault="00C710D3" w:rsidP="006B6E5F">
            <w:pPr>
              <w:jc w:val="center"/>
              <w:rPr>
                <w:rFonts w:ascii="Segoe UI" w:hAnsi="Segoe UI" w:cs="Segoe UI"/>
              </w:rPr>
            </w:pPr>
            <w:r>
              <w:rPr>
                <w:rFonts w:ascii="Segoe UI" w:hAnsi="Segoe UI"/>
              </w:rPr>
              <w:t>96.99 %</w:t>
            </w:r>
          </w:p>
        </w:tc>
        <w:tc>
          <w:tcPr>
            <w:tcW w:w="1620" w:type="dxa"/>
            <w:vAlign w:val="center"/>
          </w:tcPr>
          <w:p w14:paraId="4F79ACDE" w14:textId="77777777" w:rsidR="00C710D3" w:rsidRPr="0068562A" w:rsidRDefault="00C710D3" w:rsidP="006B6E5F">
            <w:pPr>
              <w:jc w:val="center"/>
              <w:rPr>
                <w:rFonts w:ascii="Segoe UI" w:hAnsi="Segoe UI" w:cs="Segoe UI"/>
              </w:rPr>
            </w:pPr>
            <w:r>
              <w:rPr>
                <w:rFonts w:ascii="Segoe UI" w:hAnsi="Segoe UI"/>
              </w:rPr>
              <w:t>97.45 %</w:t>
            </w:r>
          </w:p>
        </w:tc>
        <w:tc>
          <w:tcPr>
            <w:tcW w:w="1620" w:type="dxa"/>
            <w:vAlign w:val="center"/>
          </w:tcPr>
          <w:p w14:paraId="09E99EC3" w14:textId="77777777" w:rsidR="00C710D3" w:rsidRPr="0068562A" w:rsidRDefault="00C710D3" w:rsidP="006B6E5F">
            <w:pPr>
              <w:jc w:val="center"/>
              <w:rPr>
                <w:rFonts w:ascii="Segoe UI" w:hAnsi="Segoe UI" w:cs="Segoe UI"/>
              </w:rPr>
            </w:pPr>
            <w:r>
              <w:rPr>
                <w:rFonts w:ascii="Segoe UI" w:hAnsi="Segoe UI"/>
              </w:rPr>
              <w:t>97.46 %</w:t>
            </w:r>
          </w:p>
        </w:tc>
      </w:tr>
    </w:tbl>
    <w:p w14:paraId="25D6FED1" w14:textId="708926EC" w:rsidR="00236858" w:rsidRDefault="00236858" w:rsidP="00236858">
      <w:pPr>
        <w:pStyle w:val="Heading2"/>
        <w:shd w:val="clear" w:color="auto" w:fill="FFFFFF"/>
        <w:rPr>
          <w:rFonts w:ascii="Segoe UI" w:hAnsi="Segoe UI" w:cs="Segoe UI"/>
          <w:b w:val="0"/>
          <w:bCs w:val="0"/>
          <w:color w:val="0C7580"/>
          <w:spacing w:val="12"/>
        </w:rPr>
      </w:pPr>
      <w:r>
        <w:rPr>
          <w:rFonts w:ascii="Segoe UI" w:hAnsi="Segoe UI"/>
          <w:b w:val="0"/>
          <w:color w:val="0C7580"/>
        </w:rPr>
        <w:t>Obtenga más información sobre la transición a la secundaria y el Indicador 13:</w:t>
      </w:r>
    </w:p>
    <w:p w14:paraId="3F6D1833" w14:textId="2FE25BB0" w:rsidR="00446394" w:rsidRPr="00446394" w:rsidRDefault="00BB4950" w:rsidP="006152BE">
      <w:pPr>
        <w:rPr>
          <w:rFonts w:ascii="Segoe UI" w:hAnsi="Segoe UI" w:cs="Segoe UI"/>
        </w:rPr>
      </w:pPr>
      <w:hyperlink r:id="rId9" w:history="1">
        <w:r w:rsidR="000C7BE5" w:rsidRPr="00BB4950">
          <w:rPr>
            <w:rStyle w:val="Hyperlink"/>
            <w:rFonts w:ascii="Segoe UI" w:hAnsi="Segoe UI"/>
            <w:i/>
          </w:rPr>
          <w:t>PowerPoint de Indicador 13</w:t>
        </w:r>
      </w:hyperlink>
      <w:r w:rsidR="000C7BE5">
        <w:rPr>
          <w:rFonts w:ascii="Segoe UI" w:hAnsi="Segoe UI"/>
        </w:rPr>
        <w:br/>
      </w:r>
      <w:r w:rsidR="000C7BE5">
        <w:rPr>
          <w:rFonts w:ascii="Segoe UI" w:hAnsi="Segoe UI"/>
        </w:rPr>
        <w:br/>
        <w:t xml:space="preserve">Transición a la Secundaria: </w:t>
      </w:r>
    </w:p>
    <w:p w14:paraId="57464547" w14:textId="20402488" w:rsidR="00446394" w:rsidRPr="00446394" w:rsidRDefault="00BB4950" w:rsidP="006152BE">
      <w:pPr>
        <w:numPr>
          <w:ilvl w:val="0"/>
          <w:numId w:val="12"/>
        </w:numPr>
        <w:tabs>
          <w:tab w:val="num" w:pos="1440"/>
        </w:tabs>
        <w:rPr>
          <w:rStyle w:val="Hyperlink"/>
        </w:rPr>
      </w:pPr>
      <w:hyperlink r:id="rId10" w:history="1">
        <w:r w:rsidR="001806B8">
          <w:rPr>
            <w:rStyle w:val="Hyperlink"/>
            <w:rFonts w:ascii="Segoe UI" w:hAnsi="Segoe UI"/>
          </w:rPr>
          <w:t>Sitio web de Transición a la secundaria de DESE</w:t>
        </w:r>
      </w:hyperlink>
    </w:p>
    <w:p w14:paraId="3DDC8C16" w14:textId="0478D305" w:rsidR="00446394" w:rsidRPr="00446394" w:rsidRDefault="00BB4950" w:rsidP="006152BE">
      <w:pPr>
        <w:numPr>
          <w:ilvl w:val="0"/>
          <w:numId w:val="12"/>
        </w:numPr>
        <w:tabs>
          <w:tab w:val="num" w:pos="1440"/>
        </w:tabs>
        <w:rPr>
          <w:rFonts w:ascii="Segoe UI" w:hAnsi="Segoe UI" w:cs="Segoe UI"/>
        </w:rPr>
      </w:pPr>
      <w:hyperlink r:id="rId11" w:history="1">
        <w:r w:rsidR="001806B8">
          <w:rPr>
            <w:rStyle w:val="Hyperlink"/>
            <w:rFonts w:ascii="Segoe UI" w:hAnsi="Segoe UI"/>
          </w:rPr>
          <w:t>Once folletos, en 6 idiomas, para padres y estudiantes de Massachusetts</w:t>
        </w:r>
      </w:hyperlink>
      <w:r w:rsidR="001806B8">
        <w:rPr>
          <w:rFonts w:ascii="Segoe UI" w:hAnsi="Segoe UI"/>
        </w:rPr>
        <w:t xml:space="preserve"> </w:t>
      </w:r>
    </w:p>
    <w:p w14:paraId="50F6F2EB" w14:textId="5D2E9CD3" w:rsidR="00446394" w:rsidRPr="00446394" w:rsidRDefault="00BB4950" w:rsidP="006152BE">
      <w:pPr>
        <w:numPr>
          <w:ilvl w:val="0"/>
          <w:numId w:val="12"/>
        </w:numPr>
        <w:tabs>
          <w:tab w:val="num" w:pos="1440"/>
        </w:tabs>
        <w:rPr>
          <w:rFonts w:ascii="Segoe UI" w:hAnsi="Segoe UI" w:cs="Segoe UI"/>
        </w:rPr>
      </w:pPr>
      <w:hyperlink r:id="rId12" w:history="1">
        <w:r w:rsidR="00D53AD2">
          <w:rPr>
            <w:rStyle w:val="Hyperlink"/>
            <w:rFonts w:ascii="Segoe UI" w:hAnsi="Segoe UI"/>
          </w:rPr>
          <w:t>Centro Nacional de Información y Recursos para Padres</w:t>
        </w:r>
      </w:hyperlink>
      <w:r w:rsidR="00D53AD2">
        <w:rPr>
          <w:rFonts w:ascii="Segoe UI" w:hAnsi="Segoe UI"/>
        </w:rPr>
        <w:t xml:space="preserve"> </w:t>
      </w:r>
    </w:p>
    <w:p w14:paraId="2CD213CA" w14:textId="77777777" w:rsidR="00446394" w:rsidRPr="00446394" w:rsidRDefault="00446394" w:rsidP="004342E3">
      <w:pPr>
        <w:rPr>
          <w:rFonts w:ascii="Segoe UI" w:hAnsi="Segoe UI" w:cs="Segoe UI"/>
        </w:rPr>
      </w:pPr>
      <w:r>
        <w:rPr>
          <w:rFonts w:ascii="Segoe UI" w:hAnsi="Segoe UI"/>
        </w:rPr>
        <w:t>Indicador 13:</w:t>
      </w:r>
    </w:p>
    <w:p w14:paraId="72F2D909" w14:textId="03803C28" w:rsidR="00E00606" w:rsidRPr="00E00606" w:rsidRDefault="00BB4950" w:rsidP="006152BE">
      <w:pPr>
        <w:numPr>
          <w:ilvl w:val="0"/>
          <w:numId w:val="12"/>
        </w:numPr>
        <w:tabs>
          <w:tab w:val="num" w:pos="1440"/>
        </w:tabs>
        <w:rPr>
          <w:rStyle w:val="Hyperlink"/>
          <w:rFonts w:ascii="Segoe UI" w:hAnsi="Segoe UI" w:cs="Segoe UI"/>
          <w:color w:val="auto"/>
          <w:u w:val="none"/>
        </w:rPr>
      </w:pPr>
      <w:hyperlink r:id="rId13" w:history="1">
        <w:r w:rsidR="00C742FA">
          <w:rPr>
            <w:rStyle w:val="Hyperlink"/>
            <w:rFonts w:ascii="Segoe UI" w:hAnsi="Segoe UI"/>
          </w:rPr>
          <w:t>Datos de indicadores específicos del distrito y a nivel estatal de Massachusett</w:t>
        </w:r>
        <w:r w:rsidR="00EB092A">
          <w:rPr>
            <w:rStyle w:val="Hyperlink"/>
            <w:rFonts w:ascii="Segoe UI" w:hAnsi="Segoe UI"/>
          </w:rPr>
          <w:t>s (en inglés)</w:t>
        </w:r>
      </w:hyperlink>
      <w:r w:rsidR="00C742FA">
        <w:rPr>
          <w:rFonts w:ascii="Segoe UI" w:hAnsi="Segoe UI"/>
        </w:rPr>
        <w:t xml:space="preserve"> </w:t>
      </w:r>
    </w:p>
    <w:p w14:paraId="124DEDE0" w14:textId="4A617EF7" w:rsidR="00446394" w:rsidRPr="00446394" w:rsidRDefault="00BB4950" w:rsidP="006152BE">
      <w:pPr>
        <w:numPr>
          <w:ilvl w:val="0"/>
          <w:numId w:val="12"/>
        </w:numPr>
        <w:tabs>
          <w:tab w:val="num" w:pos="1440"/>
        </w:tabs>
        <w:rPr>
          <w:rFonts w:ascii="Segoe UI" w:hAnsi="Segoe UI" w:cs="Segoe UI"/>
        </w:rPr>
      </w:pPr>
      <w:hyperlink r:id="rId14" w:history="1">
        <w:r w:rsidR="00C742FA">
          <w:rPr>
            <w:rStyle w:val="Hyperlink"/>
            <w:rFonts w:ascii="Segoe UI" w:hAnsi="Segoe UI"/>
          </w:rPr>
          <w:t>Clave de los términos y frases utilizados en la medición del Indicador 13 del SPP/AP</w:t>
        </w:r>
        <w:r w:rsidR="00EB092A">
          <w:rPr>
            <w:rStyle w:val="Hyperlink"/>
            <w:rFonts w:ascii="Segoe UI" w:hAnsi="Segoe UI"/>
          </w:rPr>
          <w:t>R (en inglés)</w:t>
        </w:r>
      </w:hyperlink>
    </w:p>
    <w:p w14:paraId="52AB5469" w14:textId="3CD07F1C" w:rsidR="00446394" w:rsidRPr="00446394" w:rsidRDefault="00BB4950" w:rsidP="006152BE">
      <w:pPr>
        <w:numPr>
          <w:ilvl w:val="0"/>
          <w:numId w:val="12"/>
        </w:numPr>
        <w:tabs>
          <w:tab w:val="num" w:pos="1440"/>
        </w:tabs>
        <w:rPr>
          <w:rFonts w:ascii="Segoe UI" w:hAnsi="Segoe UI" w:cs="Segoe UI"/>
        </w:rPr>
      </w:pPr>
      <w:hyperlink r:id="rId15" w:history="1">
        <w:r w:rsidR="00C742FA">
          <w:rPr>
            <w:rStyle w:val="Hyperlink"/>
            <w:rFonts w:ascii="Segoe UI" w:hAnsi="Segoe UI"/>
          </w:rPr>
          <w:t>Planificación de transición posterior a la secundaria de Massachusetts:</w:t>
        </w:r>
      </w:hyperlink>
      <w:hyperlink r:id="rId16" w:history="1">
        <w:r w:rsidR="00C742FA">
          <w:rPr>
            <w:rStyle w:val="Hyperlink"/>
            <w:rFonts w:ascii="Segoe UI" w:hAnsi="Segoe UI"/>
          </w:rPr>
          <w:t xml:space="preserve"> Hoja con ejemplos de objetivo</w:t>
        </w:r>
        <w:r w:rsidR="00EB092A">
          <w:rPr>
            <w:rStyle w:val="Hyperlink"/>
            <w:rFonts w:ascii="Segoe UI" w:hAnsi="Segoe UI"/>
          </w:rPr>
          <w:t>s (en inglés)</w:t>
        </w:r>
      </w:hyperlink>
    </w:p>
    <w:p w14:paraId="001FA284" w14:textId="0D98EBA2" w:rsidR="000D788C" w:rsidRPr="001806B8" w:rsidRDefault="00BB4950" w:rsidP="001806B8">
      <w:pPr>
        <w:numPr>
          <w:ilvl w:val="0"/>
          <w:numId w:val="12"/>
        </w:numPr>
        <w:tabs>
          <w:tab w:val="num" w:pos="1440"/>
        </w:tabs>
        <w:rPr>
          <w:rFonts w:ascii="Segoe UI" w:hAnsi="Segoe UI" w:cs="Segoe UI"/>
        </w:rPr>
      </w:pPr>
      <w:hyperlink r:id="rId17" w:history="1">
        <w:r w:rsidR="00C742FA">
          <w:rPr>
            <w:rStyle w:val="Hyperlink"/>
            <w:rFonts w:ascii="Segoe UI" w:hAnsi="Segoe UI"/>
          </w:rPr>
          <w:t>Hoja con ejemplos de evaluaciones de transició</w:t>
        </w:r>
        <w:r w:rsidR="00EB092A">
          <w:rPr>
            <w:rStyle w:val="Hyperlink"/>
            <w:rFonts w:ascii="Segoe UI" w:hAnsi="Segoe UI"/>
          </w:rPr>
          <w:t>n (en inglés)</w:t>
        </w:r>
      </w:hyperlink>
    </w:p>
    <w:sectPr w:rsidR="000D788C" w:rsidRPr="00180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4BE6308"/>
    <w:lvl w:ilvl="0">
      <w:numFmt w:val="bullet"/>
      <w:lvlText w:val="*"/>
      <w:lvlJc w:val="left"/>
    </w:lvl>
  </w:abstractNum>
  <w:abstractNum w:abstractNumId="1" w15:restartNumberingAfterBreak="0">
    <w:nsid w:val="0A38349C"/>
    <w:multiLevelType w:val="hybridMultilevel"/>
    <w:tmpl w:val="0C2A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92D52"/>
    <w:multiLevelType w:val="hybridMultilevel"/>
    <w:tmpl w:val="BA0CF5DE"/>
    <w:lvl w:ilvl="0" w:tplc="05EA3858">
      <w:start w:val="1"/>
      <w:numFmt w:val="bullet"/>
      <w:lvlText w:val="•"/>
      <w:lvlJc w:val="left"/>
      <w:pPr>
        <w:tabs>
          <w:tab w:val="num" w:pos="720"/>
        </w:tabs>
        <w:ind w:left="720" w:hanging="360"/>
      </w:pPr>
      <w:rPr>
        <w:rFonts w:ascii="Arial" w:hAnsi="Arial" w:hint="default"/>
      </w:rPr>
    </w:lvl>
    <w:lvl w:ilvl="1" w:tplc="DD942F14" w:tentative="1">
      <w:start w:val="1"/>
      <w:numFmt w:val="bullet"/>
      <w:lvlText w:val="•"/>
      <w:lvlJc w:val="left"/>
      <w:pPr>
        <w:tabs>
          <w:tab w:val="num" w:pos="1440"/>
        </w:tabs>
        <w:ind w:left="1440" w:hanging="360"/>
      </w:pPr>
      <w:rPr>
        <w:rFonts w:ascii="Arial" w:hAnsi="Arial" w:hint="default"/>
      </w:rPr>
    </w:lvl>
    <w:lvl w:ilvl="2" w:tplc="7ECA82B4" w:tentative="1">
      <w:start w:val="1"/>
      <w:numFmt w:val="bullet"/>
      <w:lvlText w:val="•"/>
      <w:lvlJc w:val="left"/>
      <w:pPr>
        <w:tabs>
          <w:tab w:val="num" w:pos="2160"/>
        </w:tabs>
        <w:ind w:left="2160" w:hanging="360"/>
      </w:pPr>
      <w:rPr>
        <w:rFonts w:ascii="Arial" w:hAnsi="Arial" w:hint="default"/>
      </w:rPr>
    </w:lvl>
    <w:lvl w:ilvl="3" w:tplc="D1FEBBC8" w:tentative="1">
      <w:start w:val="1"/>
      <w:numFmt w:val="bullet"/>
      <w:lvlText w:val="•"/>
      <w:lvlJc w:val="left"/>
      <w:pPr>
        <w:tabs>
          <w:tab w:val="num" w:pos="2880"/>
        </w:tabs>
        <w:ind w:left="2880" w:hanging="360"/>
      </w:pPr>
      <w:rPr>
        <w:rFonts w:ascii="Arial" w:hAnsi="Arial" w:hint="default"/>
      </w:rPr>
    </w:lvl>
    <w:lvl w:ilvl="4" w:tplc="6156A9EA" w:tentative="1">
      <w:start w:val="1"/>
      <w:numFmt w:val="bullet"/>
      <w:lvlText w:val="•"/>
      <w:lvlJc w:val="left"/>
      <w:pPr>
        <w:tabs>
          <w:tab w:val="num" w:pos="3600"/>
        </w:tabs>
        <w:ind w:left="3600" w:hanging="360"/>
      </w:pPr>
      <w:rPr>
        <w:rFonts w:ascii="Arial" w:hAnsi="Arial" w:hint="default"/>
      </w:rPr>
    </w:lvl>
    <w:lvl w:ilvl="5" w:tplc="EF1A757A" w:tentative="1">
      <w:start w:val="1"/>
      <w:numFmt w:val="bullet"/>
      <w:lvlText w:val="•"/>
      <w:lvlJc w:val="left"/>
      <w:pPr>
        <w:tabs>
          <w:tab w:val="num" w:pos="4320"/>
        </w:tabs>
        <w:ind w:left="4320" w:hanging="360"/>
      </w:pPr>
      <w:rPr>
        <w:rFonts w:ascii="Arial" w:hAnsi="Arial" w:hint="default"/>
      </w:rPr>
    </w:lvl>
    <w:lvl w:ilvl="6" w:tplc="45D2F814" w:tentative="1">
      <w:start w:val="1"/>
      <w:numFmt w:val="bullet"/>
      <w:lvlText w:val="•"/>
      <w:lvlJc w:val="left"/>
      <w:pPr>
        <w:tabs>
          <w:tab w:val="num" w:pos="5040"/>
        </w:tabs>
        <w:ind w:left="5040" w:hanging="360"/>
      </w:pPr>
      <w:rPr>
        <w:rFonts w:ascii="Arial" w:hAnsi="Arial" w:hint="default"/>
      </w:rPr>
    </w:lvl>
    <w:lvl w:ilvl="7" w:tplc="DEA4EE16" w:tentative="1">
      <w:start w:val="1"/>
      <w:numFmt w:val="bullet"/>
      <w:lvlText w:val="•"/>
      <w:lvlJc w:val="left"/>
      <w:pPr>
        <w:tabs>
          <w:tab w:val="num" w:pos="5760"/>
        </w:tabs>
        <w:ind w:left="5760" w:hanging="360"/>
      </w:pPr>
      <w:rPr>
        <w:rFonts w:ascii="Arial" w:hAnsi="Arial" w:hint="default"/>
      </w:rPr>
    </w:lvl>
    <w:lvl w:ilvl="8" w:tplc="4F4A3D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8D0B1B"/>
    <w:multiLevelType w:val="hybridMultilevel"/>
    <w:tmpl w:val="7ECA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D0EA2"/>
    <w:multiLevelType w:val="hybridMultilevel"/>
    <w:tmpl w:val="244A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D0296"/>
    <w:multiLevelType w:val="hybridMultilevel"/>
    <w:tmpl w:val="C8CAA4F0"/>
    <w:lvl w:ilvl="0" w:tplc="3180663C">
      <w:start w:val="1"/>
      <w:numFmt w:val="bullet"/>
      <w:lvlText w:val="•"/>
      <w:lvlJc w:val="left"/>
      <w:pPr>
        <w:tabs>
          <w:tab w:val="num" w:pos="720"/>
        </w:tabs>
        <w:ind w:left="720" w:hanging="360"/>
      </w:pPr>
      <w:rPr>
        <w:rFonts w:ascii="Arial" w:hAnsi="Arial" w:hint="default"/>
      </w:rPr>
    </w:lvl>
    <w:lvl w:ilvl="1" w:tplc="650AAD12" w:tentative="1">
      <w:start w:val="1"/>
      <w:numFmt w:val="bullet"/>
      <w:lvlText w:val="•"/>
      <w:lvlJc w:val="left"/>
      <w:pPr>
        <w:tabs>
          <w:tab w:val="num" w:pos="1440"/>
        </w:tabs>
        <w:ind w:left="1440" w:hanging="360"/>
      </w:pPr>
      <w:rPr>
        <w:rFonts w:ascii="Arial" w:hAnsi="Arial" w:hint="default"/>
      </w:rPr>
    </w:lvl>
    <w:lvl w:ilvl="2" w:tplc="FB7417E8" w:tentative="1">
      <w:start w:val="1"/>
      <w:numFmt w:val="bullet"/>
      <w:lvlText w:val="•"/>
      <w:lvlJc w:val="left"/>
      <w:pPr>
        <w:tabs>
          <w:tab w:val="num" w:pos="2160"/>
        </w:tabs>
        <w:ind w:left="2160" w:hanging="360"/>
      </w:pPr>
      <w:rPr>
        <w:rFonts w:ascii="Arial" w:hAnsi="Arial" w:hint="default"/>
      </w:rPr>
    </w:lvl>
    <w:lvl w:ilvl="3" w:tplc="7698088E" w:tentative="1">
      <w:start w:val="1"/>
      <w:numFmt w:val="bullet"/>
      <w:lvlText w:val="•"/>
      <w:lvlJc w:val="left"/>
      <w:pPr>
        <w:tabs>
          <w:tab w:val="num" w:pos="2880"/>
        </w:tabs>
        <w:ind w:left="2880" w:hanging="360"/>
      </w:pPr>
      <w:rPr>
        <w:rFonts w:ascii="Arial" w:hAnsi="Arial" w:hint="default"/>
      </w:rPr>
    </w:lvl>
    <w:lvl w:ilvl="4" w:tplc="A9E647A0" w:tentative="1">
      <w:start w:val="1"/>
      <w:numFmt w:val="bullet"/>
      <w:lvlText w:val="•"/>
      <w:lvlJc w:val="left"/>
      <w:pPr>
        <w:tabs>
          <w:tab w:val="num" w:pos="3600"/>
        </w:tabs>
        <w:ind w:left="3600" w:hanging="360"/>
      </w:pPr>
      <w:rPr>
        <w:rFonts w:ascii="Arial" w:hAnsi="Arial" w:hint="default"/>
      </w:rPr>
    </w:lvl>
    <w:lvl w:ilvl="5" w:tplc="486A6736" w:tentative="1">
      <w:start w:val="1"/>
      <w:numFmt w:val="bullet"/>
      <w:lvlText w:val="•"/>
      <w:lvlJc w:val="left"/>
      <w:pPr>
        <w:tabs>
          <w:tab w:val="num" w:pos="4320"/>
        </w:tabs>
        <w:ind w:left="4320" w:hanging="360"/>
      </w:pPr>
      <w:rPr>
        <w:rFonts w:ascii="Arial" w:hAnsi="Arial" w:hint="default"/>
      </w:rPr>
    </w:lvl>
    <w:lvl w:ilvl="6" w:tplc="FE941EBC" w:tentative="1">
      <w:start w:val="1"/>
      <w:numFmt w:val="bullet"/>
      <w:lvlText w:val="•"/>
      <w:lvlJc w:val="left"/>
      <w:pPr>
        <w:tabs>
          <w:tab w:val="num" w:pos="5040"/>
        </w:tabs>
        <w:ind w:left="5040" w:hanging="360"/>
      </w:pPr>
      <w:rPr>
        <w:rFonts w:ascii="Arial" w:hAnsi="Arial" w:hint="default"/>
      </w:rPr>
    </w:lvl>
    <w:lvl w:ilvl="7" w:tplc="8C30A72E" w:tentative="1">
      <w:start w:val="1"/>
      <w:numFmt w:val="bullet"/>
      <w:lvlText w:val="•"/>
      <w:lvlJc w:val="left"/>
      <w:pPr>
        <w:tabs>
          <w:tab w:val="num" w:pos="5760"/>
        </w:tabs>
        <w:ind w:left="5760" w:hanging="360"/>
      </w:pPr>
      <w:rPr>
        <w:rFonts w:ascii="Arial" w:hAnsi="Arial" w:hint="default"/>
      </w:rPr>
    </w:lvl>
    <w:lvl w:ilvl="8" w:tplc="31FAC3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391ADA"/>
    <w:multiLevelType w:val="hybridMultilevel"/>
    <w:tmpl w:val="8390B704"/>
    <w:lvl w:ilvl="0" w:tplc="A35A6732">
      <w:start w:val="1"/>
      <w:numFmt w:val="bullet"/>
      <w:lvlText w:val="•"/>
      <w:lvlJc w:val="left"/>
      <w:pPr>
        <w:tabs>
          <w:tab w:val="num" w:pos="720"/>
        </w:tabs>
        <w:ind w:left="720" w:hanging="360"/>
      </w:pPr>
      <w:rPr>
        <w:rFonts w:ascii="Arial" w:hAnsi="Arial" w:hint="default"/>
      </w:rPr>
    </w:lvl>
    <w:lvl w:ilvl="1" w:tplc="45F2A168" w:tentative="1">
      <w:start w:val="1"/>
      <w:numFmt w:val="bullet"/>
      <w:lvlText w:val="•"/>
      <w:lvlJc w:val="left"/>
      <w:pPr>
        <w:tabs>
          <w:tab w:val="num" w:pos="1440"/>
        </w:tabs>
        <w:ind w:left="1440" w:hanging="360"/>
      </w:pPr>
      <w:rPr>
        <w:rFonts w:ascii="Arial" w:hAnsi="Arial" w:hint="default"/>
      </w:rPr>
    </w:lvl>
    <w:lvl w:ilvl="2" w:tplc="88A802CC" w:tentative="1">
      <w:start w:val="1"/>
      <w:numFmt w:val="bullet"/>
      <w:lvlText w:val="•"/>
      <w:lvlJc w:val="left"/>
      <w:pPr>
        <w:tabs>
          <w:tab w:val="num" w:pos="2160"/>
        </w:tabs>
        <w:ind w:left="2160" w:hanging="360"/>
      </w:pPr>
      <w:rPr>
        <w:rFonts w:ascii="Arial" w:hAnsi="Arial" w:hint="default"/>
      </w:rPr>
    </w:lvl>
    <w:lvl w:ilvl="3" w:tplc="CA00FA62" w:tentative="1">
      <w:start w:val="1"/>
      <w:numFmt w:val="bullet"/>
      <w:lvlText w:val="•"/>
      <w:lvlJc w:val="left"/>
      <w:pPr>
        <w:tabs>
          <w:tab w:val="num" w:pos="2880"/>
        </w:tabs>
        <w:ind w:left="2880" w:hanging="360"/>
      </w:pPr>
      <w:rPr>
        <w:rFonts w:ascii="Arial" w:hAnsi="Arial" w:hint="default"/>
      </w:rPr>
    </w:lvl>
    <w:lvl w:ilvl="4" w:tplc="4614FE2C" w:tentative="1">
      <w:start w:val="1"/>
      <w:numFmt w:val="bullet"/>
      <w:lvlText w:val="•"/>
      <w:lvlJc w:val="left"/>
      <w:pPr>
        <w:tabs>
          <w:tab w:val="num" w:pos="3600"/>
        </w:tabs>
        <w:ind w:left="3600" w:hanging="360"/>
      </w:pPr>
      <w:rPr>
        <w:rFonts w:ascii="Arial" w:hAnsi="Arial" w:hint="default"/>
      </w:rPr>
    </w:lvl>
    <w:lvl w:ilvl="5" w:tplc="766A3C36" w:tentative="1">
      <w:start w:val="1"/>
      <w:numFmt w:val="bullet"/>
      <w:lvlText w:val="•"/>
      <w:lvlJc w:val="left"/>
      <w:pPr>
        <w:tabs>
          <w:tab w:val="num" w:pos="4320"/>
        </w:tabs>
        <w:ind w:left="4320" w:hanging="360"/>
      </w:pPr>
      <w:rPr>
        <w:rFonts w:ascii="Arial" w:hAnsi="Arial" w:hint="default"/>
      </w:rPr>
    </w:lvl>
    <w:lvl w:ilvl="6" w:tplc="69E4A5EC" w:tentative="1">
      <w:start w:val="1"/>
      <w:numFmt w:val="bullet"/>
      <w:lvlText w:val="•"/>
      <w:lvlJc w:val="left"/>
      <w:pPr>
        <w:tabs>
          <w:tab w:val="num" w:pos="5040"/>
        </w:tabs>
        <w:ind w:left="5040" w:hanging="360"/>
      </w:pPr>
      <w:rPr>
        <w:rFonts w:ascii="Arial" w:hAnsi="Arial" w:hint="default"/>
      </w:rPr>
    </w:lvl>
    <w:lvl w:ilvl="7" w:tplc="C65C5BD6" w:tentative="1">
      <w:start w:val="1"/>
      <w:numFmt w:val="bullet"/>
      <w:lvlText w:val="•"/>
      <w:lvlJc w:val="left"/>
      <w:pPr>
        <w:tabs>
          <w:tab w:val="num" w:pos="5760"/>
        </w:tabs>
        <w:ind w:left="5760" w:hanging="360"/>
      </w:pPr>
      <w:rPr>
        <w:rFonts w:ascii="Arial" w:hAnsi="Arial" w:hint="default"/>
      </w:rPr>
    </w:lvl>
    <w:lvl w:ilvl="8" w:tplc="A9F8FA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CA78E6"/>
    <w:multiLevelType w:val="hybridMultilevel"/>
    <w:tmpl w:val="C5D4F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F572F"/>
    <w:multiLevelType w:val="hybridMultilevel"/>
    <w:tmpl w:val="DF90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0B6575"/>
    <w:multiLevelType w:val="hybridMultilevel"/>
    <w:tmpl w:val="0DC6EA74"/>
    <w:lvl w:ilvl="0" w:tplc="17068794">
      <w:start w:val="1"/>
      <w:numFmt w:val="bullet"/>
      <w:lvlText w:val="•"/>
      <w:lvlJc w:val="left"/>
      <w:pPr>
        <w:tabs>
          <w:tab w:val="num" w:pos="720"/>
        </w:tabs>
        <w:ind w:left="720" w:hanging="360"/>
      </w:pPr>
      <w:rPr>
        <w:rFonts w:ascii="Arial" w:hAnsi="Arial" w:hint="default"/>
      </w:rPr>
    </w:lvl>
    <w:lvl w:ilvl="1" w:tplc="A0AC94BC">
      <w:numFmt w:val="bullet"/>
      <w:lvlText w:val="o"/>
      <w:lvlJc w:val="left"/>
      <w:pPr>
        <w:tabs>
          <w:tab w:val="num" w:pos="1440"/>
        </w:tabs>
        <w:ind w:left="1440" w:hanging="360"/>
      </w:pPr>
      <w:rPr>
        <w:rFonts w:ascii="Courier New" w:hAnsi="Courier New" w:hint="default"/>
      </w:rPr>
    </w:lvl>
    <w:lvl w:ilvl="2" w:tplc="64E8B7D6" w:tentative="1">
      <w:start w:val="1"/>
      <w:numFmt w:val="bullet"/>
      <w:lvlText w:val="•"/>
      <w:lvlJc w:val="left"/>
      <w:pPr>
        <w:tabs>
          <w:tab w:val="num" w:pos="2160"/>
        </w:tabs>
        <w:ind w:left="2160" w:hanging="360"/>
      </w:pPr>
      <w:rPr>
        <w:rFonts w:ascii="Arial" w:hAnsi="Arial" w:hint="default"/>
      </w:rPr>
    </w:lvl>
    <w:lvl w:ilvl="3" w:tplc="305222EE" w:tentative="1">
      <w:start w:val="1"/>
      <w:numFmt w:val="bullet"/>
      <w:lvlText w:val="•"/>
      <w:lvlJc w:val="left"/>
      <w:pPr>
        <w:tabs>
          <w:tab w:val="num" w:pos="2880"/>
        </w:tabs>
        <w:ind w:left="2880" w:hanging="360"/>
      </w:pPr>
      <w:rPr>
        <w:rFonts w:ascii="Arial" w:hAnsi="Arial" w:hint="default"/>
      </w:rPr>
    </w:lvl>
    <w:lvl w:ilvl="4" w:tplc="71961978" w:tentative="1">
      <w:start w:val="1"/>
      <w:numFmt w:val="bullet"/>
      <w:lvlText w:val="•"/>
      <w:lvlJc w:val="left"/>
      <w:pPr>
        <w:tabs>
          <w:tab w:val="num" w:pos="3600"/>
        </w:tabs>
        <w:ind w:left="3600" w:hanging="360"/>
      </w:pPr>
      <w:rPr>
        <w:rFonts w:ascii="Arial" w:hAnsi="Arial" w:hint="default"/>
      </w:rPr>
    </w:lvl>
    <w:lvl w:ilvl="5" w:tplc="7F28AEEA" w:tentative="1">
      <w:start w:val="1"/>
      <w:numFmt w:val="bullet"/>
      <w:lvlText w:val="•"/>
      <w:lvlJc w:val="left"/>
      <w:pPr>
        <w:tabs>
          <w:tab w:val="num" w:pos="4320"/>
        </w:tabs>
        <w:ind w:left="4320" w:hanging="360"/>
      </w:pPr>
      <w:rPr>
        <w:rFonts w:ascii="Arial" w:hAnsi="Arial" w:hint="default"/>
      </w:rPr>
    </w:lvl>
    <w:lvl w:ilvl="6" w:tplc="CA4C5FF6" w:tentative="1">
      <w:start w:val="1"/>
      <w:numFmt w:val="bullet"/>
      <w:lvlText w:val="•"/>
      <w:lvlJc w:val="left"/>
      <w:pPr>
        <w:tabs>
          <w:tab w:val="num" w:pos="5040"/>
        </w:tabs>
        <w:ind w:left="5040" w:hanging="360"/>
      </w:pPr>
      <w:rPr>
        <w:rFonts w:ascii="Arial" w:hAnsi="Arial" w:hint="default"/>
      </w:rPr>
    </w:lvl>
    <w:lvl w:ilvl="7" w:tplc="B512F2B4" w:tentative="1">
      <w:start w:val="1"/>
      <w:numFmt w:val="bullet"/>
      <w:lvlText w:val="•"/>
      <w:lvlJc w:val="left"/>
      <w:pPr>
        <w:tabs>
          <w:tab w:val="num" w:pos="5760"/>
        </w:tabs>
        <w:ind w:left="5760" w:hanging="360"/>
      </w:pPr>
      <w:rPr>
        <w:rFonts w:ascii="Arial" w:hAnsi="Arial" w:hint="default"/>
      </w:rPr>
    </w:lvl>
    <w:lvl w:ilvl="8" w:tplc="A8FC7E7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28A2317"/>
    <w:multiLevelType w:val="hybridMultilevel"/>
    <w:tmpl w:val="9E6E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2B5083"/>
    <w:multiLevelType w:val="hybridMultilevel"/>
    <w:tmpl w:val="E51631D2"/>
    <w:lvl w:ilvl="0" w:tplc="D5DE5526">
      <w:start w:val="1"/>
      <w:numFmt w:val="bullet"/>
      <w:lvlText w:val="•"/>
      <w:lvlJc w:val="left"/>
      <w:pPr>
        <w:tabs>
          <w:tab w:val="num" w:pos="720"/>
        </w:tabs>
        <w:ind w:left="720" w:hanging="360"/>
      </w:pPr>
      <w:rPr>
        <w:rFonts w:ascii="Arial" w:hAnsi="Arial" w:hint="default"/>
      </w:rPr>
    </w:lvl>
    <w:lvl w:ilvl="1" w:tplc="F93E61C8">
      <w:numFmt w:val="bullet"/>
      <w:lvlText w:val="o"/>
      <w:lvlJc w:val="left"/>
      <w:pPr>
        <w:tabs>
          <w:tab w:val="num" w:pos="1440"/>
        </w:tabs>
        <w:ind w:left="1440" w:hanging="360"/>
      </w:pPr>
      <w:rPr>
        <w:rFonts w:ascii="Courier New" w:hAnsi="Courier New" w:hint="default"/>
      </w:rPr>
    </w:lvl>
    <w:lvl w:ilvl="2" w:tplc="8E083B7A" w:tentative="1">
      <w:start w:val="1"/>
      <w:numFmt w:val="bullet"/>
      <w:lvlText w:val="•"/>
      <w:lvlJc w:val="left"/>
      <w:pPr>
        <w:tabs>
          <w:tab w:val="num" w:pos="2160"/>
        </w:tabs>
        <w:ind w:left="2160" w:hanging="360"/>
      </w:pPr>
      <w:rPr>
        <w:rFonts w:ascii="Arial" w:hAnsi="Arial" w:hint="default"/>
      </w:rPr>
    </w:lvl>
    <w:lvl w:ilvl="3" w:tplc="2BA4BFB4" w:tentative="1">
      <w:start w:val="1"/>
      <w:numFmt w:val="bullet"/>
      <w:lvlText w:val="•"/>
      <w:lvlJc w:val="left"/>
      <w:pPr>
        <w:tabs>
          <w:tab w:val="num" w:pos="2880"/>
        </w:tabs>
        <w:ind w:left="2880" w:hanging="360"/>
      </w:pPr>
      <w:rPr>
        <w:rFonts w:ascii="Arial" w:hAnsi="Arial" w:hint="default"/>
      </w:rPr>
    </w:lvl>
    <w:lvl w:ilvl="4" w:tplc="E53852D8" w:tentative="1">
      <w:start w:val="1"/>
      <w:numFmt w:val="bullet"/>
      <w:lvlText w:val="•"/>
      <w:lvlJc w:val="left"/>
      <w:pPr>
        <w:tabs>
          <w:tab w:val="num" w:pos="3600"/>
        </w:tabs>
        <w:ind w:left="3600" w:hanging="360"/>
      </w:pPr>
      <w:rPr>
        <w:rFonts w:ascii="Arial" w:hAnsi="Arial" w:hint="default"/>
      </w:rPr>
    </w:lvl>
    <w:lvl w:ilvl="5" w:tplc="AB7AFFE2" w:tentative="1">
      <w:start w:val="1"/>
      <w:numFmt w:val="bullet"/>
      <w:lvlText w:val="•"/>
      <w:lvlJc w:val="left"/>
      <w:pPr>
        <w:tabs>
          <w:tab w:val="num" w:pos="4320"/>
        </w:tabs>
        <w:ind w:left="4320" w:hanging="360"/>
      </w:pPr>
      <w:rPr>
        <w:rFonts w:ascii="Arial" w:hAnsi="Arial" w:hint="default"/>
      </w:rPr>
    </w:lvl>
    <w:lvl w:ilvl="6" w:tplc="134249CE" w:tentative="1">
      <w:start w:val="1"/>
      <w:numFmt w:val="bullet"/>
      <w:lvlText w:val="•"/>
      <w:lvlJc w:val="left"/>
      <w:pPr>
        <w:tabs>
          <w:tab w:val="num" w:pos="5040"/>
        </w:tabs>
        <w:ind w:left="5040" w:hanging="360"/>
      </w:pPr>
      <w:rPr>
        <w:rFonts w:ascii="Arial" w:hAnsi="Arial" w:hint="default"/>
      </w:rPr>
    </w:lvl>
    <w:lvl w:ilvl="7" w:tplc="D92AD4F0" w:tentative="1">
      <w:start w:val="1"/>
      <w:numFmt w:val="bullet"/>
      <w:lvlText w:val="•"/>
      <w:lvlJc w:val="left"/>
      <w:pPr>
        <w:tabs>
          <w:tab w:val="num" w:pos="5760"/>
        </w:tabs>
        <w:ind w:left="5760" w:hanging="360"/>
      </w:pPr>
      <w:rPr>
        <w:rFonts w:ascii="Arial" w:hAnsi="Arial" w:hint="default"/>
      </w:rPr>
    </w:lvl>
    <w:lvl w:ilvl="8" w:tplc="B0A686AC" w:tentative="1">
      <w:start w:val="1"/>
      <w:numFmt w:val="bullet"/>
      <w:lvlText w:val="•"/>
      <w:lvlJc w:val="left"/>
      <w:pPr>
        <w:tabs>
          <w:tab w:val="num" w:pos="6480"/>
        </w:tabs>
        <w:ind w:left="6480" w:hanging="360"/>
      </w:pPr>
      <w:rPr>
        <w:rFonts w:ascii="Arial" w:hAnsi="Arial" w:hint="default"/>
      </w:rPr>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 w:numId="2">
    <w:abstractNumId w:val="0"/>
    <w:lvlOverride w:ilvl="0">
      <w:lvl w:ilvl="0">
        <w:numFmt w:val="bullet"/>
        <w:lvlText w:val="•"/>
        <w:legacy w:legacy="1" w:legacySpace="0" w:legacyIndent="0"/>
        <w:lvlJc w:val="left"/>
        <w:rPr>
          <w:rFonts w:ascii="Arial" w:hAnsi="Arial" w:cs="Arial" w:hint="default"/>
          <w:sz w:val="56"/>
        </w:rPr>
      </w:lvl>
    </w:lvlOverride>
  </w:num>
  <w:num w:numId="3">
    <w:abstractNumId w:val="1"/>
  </w:num>
  <w:num w:numId="4">
    <w:abstractNumId w:val="0"/>
    <w:lvlOverride w:ilvl="0">
      <w:lvl w:ilvl="0">
        <w:numFmt w:val="bullet"/>
        <w:lvlText w:val="o"/>
        <w:legacy w:legacy="1" w:legacySpace="0" w:legacyIndent="0"/>
        <w:lvlJc w:val="left"/>
        <w:rPr>
          <w:rFonts w:ascii="Courier New" w:hAnsi="Courier New" w:cs="Courier New" w:hint="default"/>
          <w:sz w:val="22"/>
        </w:rPr>
      </w:lvl>
    </w:lvlOverride>
  </w:num>
  <w:num w:numId="5">
    <w:abstractNumId w:val="8"/>
  </w:num>
  <w:num w:numId="6">
    <w:abstractNumId w:val="0"/>
    <w:lvlOverride w:ilvl="0">
      <w:lvl w:ilvl="0">
        <w:numFmt w:val="bullet"/>
        <w:lvlText w:val="•"/>
        <w:legacy w:legacy="1" w:legacySpace="0" w:legacyIndent="0"/>
        <w:lvlJc w:val="left"/>
        <w:rPr>
          <w:rFonts w:ascii="Arial" w:hAnsi="Arial" w:cs="Arial" w:hint="default"/>
          <w:sz w:val="22"/>
        </w:rPr>
      </w:lvl>
    </w:lvlOverride>
  </w:num>
  <w:num w:numId="7">
    <w:abstractNumId w:val="2"/>
  </w:num>
  <w:num w:numId="8">
    <w:abstractNumId w:val="5"/>
  </w:num>
  <w:num w:numId="9">
    <w:abstractNumId w:val="3"/>
  </w:num>
  <w:num w:numId="10">
    <w:abstractNumId w:val="10"/>
  </w:num>
  <w:num w:numId="11">
    <w:abstractNumId w:val="4"/>
  </w:num>
  <w:num w:numId="12">
    <w:abstractNumId w:val="6"/>
  </w:num>
  <w:num w:numId="13">
    <w:abstractNumId w:val="9"/>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58"/>
    <w:rsid w:val="00053CF4"/>
    <w:rsid w:val="000C7BE5"/>
    <w:rsid w:val="000D788C"/>
    <w:rsid w:val="000E039F"/>
    <w:rsid w:val="000E2E04"/>
    <w:rsid w:val="0010026A"/>
    <w:rsid w:val="001546E2"/>
    <w:rsid w:val="001806B8"/>
    <w:rsid w:val="00197F6E"/>
    <w:rsid w:val="001B1C64"/>
    <w:rsid w:val="002274CD"/>
    <w:rsid w:val="0022752D"/>
    <w:rsid w:val="00236858"/>
    <w:rsid w:val="002953E5"/>
    <w:rsid w:val="002C2973"/>
    <w:rsid w:val="002D5156"/>
    <w:rsid w:val="00344FF1"/>
    <w:rsid w:val="00362981"/>
    <w:rsid w:val="00406DEB"/>
    <w:rsid w:val="00424F0E"/>
    <w:rsid w:val="004342E3"/>
    <w:rsid w:val="0043645E"/>
    <w:rsid w:val="00446394"/>
    <w:rsid w:val="004553F7"/>
    <w:rsid w:val="00470C7A"/>
    <w:rsid w:val="00474EC6"/>
    <w:rsid w:val="004A26BB"/>
    <w:rsid w:val="004C1A7C"/>
    <w:rsid w:val="004C2A5F"/>
    <w:rsid w:val="005F006C"/>
    <w:rsid w:val="006152BE"/>
    <w:rsid w:val="006377CD"/>
    <w:rsid w:val="0064443C"/>
    <w:rsid w:val="00684052"/>
    <w:rsid w:val="0068562A"/>
    <w:rsid w:val="00702EEA"/>
    <w:rsid w:val="0071219A"/>
    <w:rsid w:val="00724E03"/>
    <w:rsid w:val="00757690"/>
    <w:rsid w:val="00790638"/>
    <w:rsid w:val="008076CD"/>
    <w:rsid w:val="0084578A"/>
    <w:rsid w:val="00863CD9"/>
    <w:rsid w:val="00940D48"/>
    <w:rsid w:val="00997147"/>
    <w:rsid w:val="00A20A26"/>
    <w:rsid w:val="00A560F2"/>
    <w:rsid w:val="00A94411"/>
    <w:rsid w:val="00AD7D42"/>
    <w:rsid w:val="00AF21FE"/>
    <w:rsid w:val="00B01DB2"/>
    <w:rsid w:val="00B51DD4"/>
    <w:rsid w:val="00B90F28"/>
    <w:rsid w:val="00BB4950"/>
    <w:rsid w:val="00BC2992"/>
    <w:rsid w:val="00BC2FFB"/>
    <w:rsid w:val="00BF72C6"/>
    <w:rsid w:val="00C14BCC"/>
    <w:rsid w:val="00C16065"/>
    <w:rsid w:val="00C30A25"/>
    <w:rsid w:val="00C66F86"/>
    <w:rsid w:val="00C710D3"/>
    <w:rsid w:val="00C742FA"/>
    <w:rsid w:val="00CA64D0"/>
    <w:rsid w:val="00D020F0"/>
    <w:rsid w:val="00D2144E"/>
    <w:rsid w:val="00D53AD2"/>
    <w:rsid w:val="00D54FD4"/>
    <w:rsid w:val="00DB2559"/>
    <w:rsid w:val="00E00606"/>
    <w:rsid w:val="00EB092A"/>
    <w:rsid w:val="00F66D5E"/>
    <w:rsid w:val="00F9190F"/>
    <w:rsid w:val="00FA6265"/>
    <w:rsid w:val="00FD22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581A"/>
  <w15:chartTrackingRefBased/>
  <w15:docId w15:val="{5BB95D27-5AC9-4F9C-A315-D07264AC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68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6858"/>
    <w:rPr>
      <w:rFonts w:ascii="Times New Roman" w:eastAsia="Times New Roman" w:hAnsi="Times New Roman" w:cs="Times New Roman"/>
      <w:b/>
      <w:bCs/>
      <w:sz w:val="36"/>
      <w:szCs w:val="36"/>
    </w:rPr>
  </w:style>
  <w:style w:type="table" w:styleId="TableGrid">
    <w:name w:val="Table Grid"/>
    <w:basedOn w:val="TableNormal"/>
    <w:uiPriority w:val="39"/>
    <w:rsid w:val="00362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156"/>
    <w:pPr>
      <w:ind w:left="720"/>
      <w:contextualSpacing/>
    </w:pPr>
  </w:style>
  <w:style w:type="character" w:styleId="Hyperlink">
    <w:name w:val="Hyperlink"/>
    <w:basedOn w:val="DefaultParagraphFont"/>
    <w:uiPriority w:val="99"/>
    <w:unhideWhenUsed/>
    <w:rsid w:val="002D5156"/>
    <w:rPr>
      <w:color w:val="0563C1" w:themeColor="hyperlink"/>
      <w:u w:val="single"/>
    </w:rPr>
  </w:style>
  <w:style w:type="character" w:styleId="UnresolvedMention">
    <w:name w:val="Unresolved Mention"/>
    <w:basedOn w:val="DefaultParagraphFont"/>
    <w:uiPriority w:val="99"/>
    <w:semiHidden/>
    <w:unhideWhenUsed/>
    <w:rsid w:val="002D5156"/>
    <w:rPr>
      <w:color w:val="605E5C"/>
      <w:shd w:val="clear" w:color="auto" w:fill="E1DFDD"/>
    </w:rPr>
  </w:style>
  <w:style w:type="character" w:styleId="CommentReference">
    <w:name w:val="annotation reference"/>
    <w:basedOn w:val="DefaultParagraphFont"/>
    <w:uiPriority w:val="99"/>
    <w:unhideWhenUsed/>
    <w:rsid w:val="008076CD"/>
    <w:rPr>
      <w:sz w:val="16"/>
      <w:szCs w:val="16"/>
    </w:rPr>
  </w:style>
  <w:style w:type="paragraph" w:styleId="CommentText">
    <w:name w:val="annotation text"/>
    <w:basedOn w:val="Normal"/>
    <w:link w:val="CommentTextChar"/>
    <w:uiPriority w:val="99"/>
    <w:unhideWhenUsed/>
    <w:rsid w:val="008076CD"/>
    <w:pPr>
      <w:spacing w:before="60" w:after="60" w:line="240" w:lineRule="auto"/>
    </w:pPr>
    <w:rPr>
      <w:rFonts w:ascii="Arial" w:hAnsi="Arial"/>
      <w:sz w:val="20"/>
      <w:szCs w:val="20"/>
    </w:rPr>
  </w:style>
  <w:style w:type="character" w:customStyle="1" w:styleId="CommentTextChar">
    <w:name w:val="Comment Text Char"/>
    <w:basedOn w:val="DefaultParagraphFont"/>
    <w:link w:val="CommentText"/>
    <w:uiPriority w:val="99"/>
    <w:rsid w:val="008076C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E2E04"/>
    <w:pPr>
      <w:spacing w:before="0"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0E2E04"/>
    <w:rPr>
      <w:rFonts w:ascii="Arial" w:hAnsi="Arial"/>
      <w:b/>
      <w:bCs/>
      <w:sz w:val="20"/>
      <w:szCs w:val="20"/>
    </w:rPr>
  </w:style>
  <w:style w:type="character" w:styleId="FollowedHyperlink">
    <w:name w:val="FollowedHyperlink"/>
    <w:basedOn w:val="DefaultParagraphFont"/>
    <w:uiPriority w:val="99"/>
    <w:semiHidden/>
    <w:unhideWhenUsed/>
    <w:rsid w:val="0068562A"/>
    <w:rPr>
      <w:color w:val="954F72" w:themeColor="followedHyperlink"/>
      <w:u w:val="single"/>
    </w:rPr>
  </w:style>
  <w:style w:type="character" w:customStyle="1" w:styleId="normaltextrun">
    <w:name w:val="normaltextrun"/>
    <w:basedOn w:val="DefaultParagraphFont"/>
    <w:rsid w:val="00BF72C6"/>
  </w:style>
  <w:style w:type="character" w:customStyle="1" w:styleId="eop">
    <w:name w:val="eop"/>
    <w:basedOn w:val="DefaultParagraphFont"/>
    <w:rsid w:val="00BF7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996073">
      <w:bodyDiv w:val="1"/>
      <w:marLeft w:val="0"/>
      <w:marRight w:val="0"/>
      <w:marTop w:val="0"/>
      <w:marBottom w:val="0"/>
      <w:divBdr>
        <w:top w:val="none" w:sz="0" w:space="0" w:color="auto"/>
        <w:left w:val="none" w:sz="0" w:space="0" w:color="auto"/>
        <w:bottom w:val="none" w:sz="0" w:space="0" w:color="auto"/>
        <w:right w:val="none" w:sz="0" w:space="0" w:color="auto"/>
      </w:divBdr>
      <w:divsChild>
        <w:div w:id="1947542841">
          <w:marLeft w:val="360"/>
          <w:marRight w:val="0"/>
          <w:marTop w:val="200"/>
          <w:marBottom w:val="0"/>
          <w:divBdr>
            <w:top w:val="none" w:sz="0" w:space="0" w:color="auto"/>
            <w:left w:val="none" w:sz="0" w:space="0" w:color="auto"/>
            <w:bottom w:val="none" w:sz="0" w:space="0" w:color="auto"/>
            <w:right w:val="none" w:sz="0" w:space="0" w:color="auto"/>
          </w:divBdr>
        </w:div>
      </w:divsChild>
    </w:div>
    <w:div w:id="387413918">
      <w:bodyDiv w:val="1"/>
      <w:marLeft w:val="0"/>
      <w:marRight w:val="0"/>
      <w:marTop w:val="0"/>
      <w:marBottom w:val="0"/>
      <w:divBdr>
        <w:top w:val="none" w:sz="0" w:space="0" w:color="auto"/>
        <w:left w:val="none" w:sz="0" w:space="0" w:color="auto"/>
        <w:bottom w:val="none" w:sz="0" w:space="0" w:color="auto"/>
        <w:right w:val="none" w:sz="0" w:space="0" w:color="auto"/>
      </w:divBdr>
    </w:div>
    <w:div w:id="522401366">
      <w:bodyDiv w:val="1"/>
      <w:marLeft w:val="0"/>
      <w:marRight w:val="0"/>
      <w:marTop w:val="0"/>
      <w:marBottom w:val="0"/>
      <w:divBdr>
        <w:top w:val="none" w:sz="0" w:space="0" w:color="auto"/>
        <w:left w:val="none" w:sz="0" w:space="0" w:color="auto"/>
        <w:bottom w:val="none" w:sz="0" w:space="0" w:color="auto"/>
        <w:right w:val="none" w:sz="0" w:space="0" w:color="auto"/>
      </w:divBdr>
      <w:divsChild>
        <w:div w:id="1017000457">
          <w:marLeft w:val="360"/>
          <w:marRight w:val="0"/>
          <w:marTop w:val="200"/>
          <w:marBottom w:val="0"/>
          <w:divBdr>
            <w:top w:val="none" w:sz="0" w:space="0" w:color="auto"/>
            <w:left w:val="none" w:sz="0" w:space="0" w:color="auto"/>
            <w:bottom w:val="none" w:sz="0" w:space="0" w:color="auto"/>
            <w:right w:val="none" w:sz="0" w:space="0" w:color="auto"/>
          </w:divBdr>
        </w:div>
        <w:div w:id="1640308391">
          <w:marLeft w:val="1166"/>
          <w:marRight w:val="0"/>
          <w:marTop w:val="100"/>
          <w:marBottom w:val="0"/>
          <w:divBdr>
            <w:top w:val="none" w:sz="0" w:space="0" w:color="auto"/>
            <w:left w:val="none" w:sz="0" w:space="0" w:color="auto"/>
            <w:bottom w:val="none" w:sz="0" w:space="0" w:color="auto"/>
            <w:right w:val="none" w:sz="0" w:space="0" w:color="auto"/>
          </w:divBdr>
        </w:div>
        <w:div w:id="353651138">
          <w:marLeft w:val="1166"/>
          <w:marRight w:val="0"/>
          <w:marTop w:val="100"/>
          <w:marBottom w:val="0"/>
          <w:divBdr>
            <w:top w:val="none" w:sz="0" w:space="0" w:color="auto"/>
            <w:left w:val="none" w:sz="0" w:space="0" w:color="auto"/>
            <w:bottom w:val="none" w:sz="0" w:space="0" w:color="auto"/>
            <w:right w:val="none" w:sz="0" w:space="0" w:color="auto"/>
          </w:divBdr>
        </w:div>
        <w:div w:id="1267152850">
          <w:marLeft w:val="1166"/>
          <w:marRight w:val="0"/>
          <w:marTop w:val="100"/>
          <w:marBottom w:val="0"/>
          <w:divBdr>
            <w:top w:val="none" w:sz="0" w:space="0" w:color="auto"/>
            <w:left w:val="none" w:sz="0" w:space="0" w:color="auto"/>
            <w:bottom w:val="none" w:sz="0" w:space="0" w:color="auto"/>
            <w:right w:val="none" w:sz="0" w:space="0" w:color="auto"/>
          </w:divBdr>
        </w:div>
        <w:div w:id="772553229">
          <w:marLeft w:val="360"/>
          <w:marRight w:val="0"/>
          <w:marTop w:val="200"/>
          <w:marBottom w:val="0"/>
          <w:divBdr>
            <w:top w:val="none" w:sz="0" w:space="0" w:color="auto"/>
            <w:left w:val="none" w:sz="0" w:space="0" w:color="auto"/>
            <w:bottom w:val="none" w:sz="0" w:space="0" w:color="auto"/>
            <w:right w:val="none" w:sz="0" w:space="0" w:color="auto"/>
          </w:divBdr>
        </w:div>
        <w:div w:id="1584340992">
          <w:marLeft w:val="1166"/>
          <w:marRight w:val="0"/>
          <w:marTop w:val="100"/>
          <w:marBottom w:val="0"/>
          <w:divBdr>
            <w:top w:val="none" w:sz="0" w:space="0" w:color="auto"/>
            <w:left w:val="none" w:sz="0" w:space="0" w:color="auto"/>
            <w:bottom w:val="none" w:sz="0" w:space="0" w:color="auto"/>
            <w:right w:val="none" w:sz="0" w:space="0" w:color="auto"/>
          </w:divBdr>
        </w:div>
        <w:div w:id="493104779">
          <w:marLeft w:val="1166"/>
          <w:marRight w:val="0"/>
          <w:marTop w:val="100"/>
          <w:marBottom w:val="0"/>
          <w:divBdr>
            <w:top w:val="none" w:sz="0" w:space="0" w:color="auto"/>
            <w:left w:val="none" w:sz="0" w:space="0" w:color="auto"/>
            <w:bottom w:val="none" w:sz="0" w:space="0" w:color="auto"/>
            <w:right w:val="none" w:sz="0" w:space="0" w:color="auto"/>
          </w:divBdr>
        </w:div>
        <w:div w:id="1449545874">
          <w:marLeft w:val="1166"/>
          <w:marRight w:val="0"/>
          <w:marTop w:val="100"/>
          <w:marBottom w:val="0"/>
          <w:divBdr>
            <w:top w:val="none" w:sz="0" w:space="0" w:color="auto"/>
            <w:left w:val="none" w:sz="0" w:space="0" w:color="auto"/>
            <w:bottom w:val="none" w:sz="0" w:space="0" w:color="auto"/>
            <w:right w:val="none" w:sz="0" w:space="0" w:color="auto"/>
          </w:divBdr>
        </w:div>
      </w:divsChild>
    </w:div>
    <w:div w:id="1031877155">
      <w:bodyDiv w:val="1"/>
      <w:marLeft w:val="0"/>
      <w:marRight w:val="0"/>
      <w:marTop w:val="0"/>
      <w:marBottom w:val="0"/>
      <w:divBdr>
        <w:top w:val="none" w:sz="0" w:space="0" w:color="auto"/>
        <w:left w:val="none" w:sz="0" w:space="0" w:color="auto"/>
        <w:bottom w:val="none" w:sz="0" w:space="0" w:color="auto"/>
        <w:right w:val="none" w:sz="0" w:space="0" w:color="auto"/>
      </w:divBdr>
    </w:div>
    <w:div w:id="1049917589">
      <w:bodyDiv w:val="1"/>
      <w:marLeft w:val="0"/>
      <w:marRight w:val="0"/>
      <w:marTop w:val="0"/>
      <w:marBottom w:val="0"/>
      <w:divBdr>
        <w:top w:val="none" w:sz="0" w:space="0" w:color="auto"/>
        <w:left w:val="none" w:sz="0" w:space="0" w:color="auto"/>
        <w:bottom w:val="none" w:sz="0" w:space="0" w:color="auto"/>
        <w:right w:val="none" w:sz="0" w:space="0" w:color="auto"/>
      </w:divBdr>
    </w:div>
    <w:div w:id="1410730367">
      <w:bodyDiv w:val="1"/>
      <w:marLeft w:val="0"/>
      <w:marRight w:val="0"/>
      <w:marTop w:val="0"/>
      <w:marBottom w:val="0"/>
      <w:divBdr>
        <w:top w:val="none" w:sz="0" w:space="0" w:color="auto"/>
        <w:left w:val="none" w:sz="0" w:space="0" w:color="auto"/>
        <w:bottom w:val="none" w:sz="0" w:space="0" w:color="auto"/>
        <w:right w:val="none" w:sz="0" w:space="0" w:color="auto"/>
      </w:divBdr>
    </w:div>
    <w:div w:id="1542553330">
      <w:bodyDiv w:val="1"/>
      <w:marLeft w:val="0"/>
      <w:marRight w:val="0"/>
      <w:marTop w:val="0"/>
      <w:marBottom w:val="0"/>
      <w:divBdr>
        <w:top w:val="none" w:sz="0" w:space="0" w:color="auto"/>
        <w:left w:val="none" w:sz="0" w:space="0" w:color="auto"/>
        <w:bottom w:val="none" w:sz="0" w:space="0" w:color="auto"/>
        <w:right w:val="none" w:sz="0" w:space="0" w:color="auto"/>
      </w:divBdr>
      <w:divsChild>
        <w:div w:id="1308364979">
          <w:marLeft w:val="360"/>
          <w:marRight w:val="0"/>
          <w:marTop w:val="200"/>
          <w:marBottom w:val="120"/>
          <w:divBdr>
            <w:top w:val="none" w:sz="0" w:space="0" w:color="auto"/>
            <w:left w:val="none" w:sz="0" w:space="0" w:color="auto"/>
            <w:bottom w:val="none" w:sz="0" w:space="0" w:color="auto"/>
            <w:right w:val="none" w:sz="0" w:space="0" w:color="auto"/>
          </w:divBdr>
        </w:div>
        <w:div w:id="270359101">
          <w:marLeft w:val="360"/>
          <w:marRight w:val="0"/>
          <w:marTop w:val="200"/>
          <w:marBottom w:val="120"/>
          <w:divBdr>
            <w:top w:val="none" w:sz="0" w:space="0" w:color="auto"/>
            <w:left w:val="none" w:sz="0" w:space="0" w:color="auto"/>
            <w:bottom w:val="none" w:sz="0" w:space="0" w:color="auto"/>
            <w:right w:val="none" w:sz="0" w:space="0" w:color="auto"/>
          </w:divBdr>
        </w:div>
        <w:div w:id="1457987995">
          <w:marLeft w:val="360"/>
          <w:marRight w:val="0"/>
          <w:marTop w:val="200"/>
          <w:marBottom w:val="120"/>
          <w:divBdr>
            <w:top w:val="none" w:sz="0" w:space="0" w:color="auto"/>
            <w:left w:val="none" w:sz="0" w:space="0" w:color="auto"/>
            <w:bottom w:val="none" w:sz="0" w:space="0" w:color="auto"/>
            <w:right w:val="none" w:sz="0" w:space="0" w:color="auto"/>
          </w:divBdr>
        </w:div>
      </w:divsChild>
    </w:div>
    <w:div w:id="1571038469">
      <w:bodyDiv w:val="1"/>
      <w:marLeft w:val="0"/>
      <w:marRight w:val="0"/>
      <w:marTop w:val="0"/>
      <w:marBottom w:val="0"/>
      <w:divBdr>
        <w:top w:val="none" w:sz="0" w:space="0" w:color="auto"/>
        <w:left w:val="none" w:sz="0" w:space="0" w:color="auto"/>
        <w:bottom w:val="none" w:sz="0" w:space="0" w:color="auto"/>
        <w:right w:val="none" w:sz="0" w:space="0" w:color="auto"/>
      </w:divBdr>
    </w:div>
    <w:div w:id="1618486030">
      <w:bodyDiv w:val="1"/>
      <w:marLeft w:val="0"/>
      <w:marRight w:val="0"/>
      <w:marTop w:val="0"/>
      <w:marBottom w:val="0"/>
      <w:divBdr>
        <w:top w:val="none" w:sz="0" w:space="0" w:color="auto"/>
        <w:left w:val="none" w:sz="0" w:space="0" w:color="auto"/>
        <w:bottom w:val="none" w:sz="0" w:space="0" w:color="auto"/>
        <w:right w:val="none" w:sz="0" w:space="0" w:color="auto"/>
      </w:divBdr>
    </w:div>
    <w:div w:id="1960381396">
      <w:bodyDiv w:val="1"/>
      <w:marLeft w:val="0"/>
      <w:marRight w:val="0"/>
      <w:marTop w:val="0"/>
      <w:marBottom w:val="0"/>
      <w:divBdr>
        <w:top w:val="none" w:sz="0" w:space="0" w:color="auto"/>
        <w:left w:val="none" w:sz="0" w:space="0" w:color="auto"/>
        <w:bottom w:val="none" w:sz="0" w:space="0" w:color="auto"/>
        <w:right w:val="none" w:sz="0" w:space="0" w:color="auto"/>
      </w:divBdr>
      <w:divsChild>
        <w:div w:id="1840651933">
          <w:marLeft w:val="360"/>
          <w:marRight w:val="0"/>
          <w:marTop w:val="200"/>
          <w:marBottom w:val="0"/>
          <w:divBdr>
            <w:top w:val="none" w:sz="0" w:space="0" w:color="auto"/>
            <w:left w:val="none" w:sz="0" w:space="0" w:color="auto"/>
            <w:bottom w:val="none" w:sz="0" w:space="0" w:color="auto"/>
            <w:right w:val="none" w:sz="0" w:space="0" w:color="auto"/>
          </w:divBdr>
        </w:div>
        <w:div w:id="1029331423">
          <w:marLeft w:val="1166"/>
          <w:marRight w:val="0"/>
          <w:marTop w:val="100"/>
          <w:marBottom w:val="0"/>
          <w:divBdr>
            <w:top w:val="none" w:sz="0" w:space="0" w:color="auto"/>
            <w:left w:val="none" w:sz="0" w:space="0" w:color="auto"/>
            <w:bottom w:val="none" w:sz="0" w:space="0" w:color="auto"/>
            <w:right w:val="none" w:sz="0" w:space="0" w:color="auto"/>
          </w:divBdr>
        </w:div>
        <w:div w:id="1969314546">
          <w:marLeft w:val="1166"/>
          <w:marRight w:val="0"/>
          <w:marTop w:val="100"/>
          <w:marBottom w:val="0"/>
          <w:divBdr>
            <w:top w:val="none" w:sz="0" w:space="0" w:color="auto"/>
            <w:left w:val="none" w:sz="0" w:space="0" w:color="auto"/>
            <w:bottom w:val="none" w:sz="0" w:space="0" w:color="auto"/>
            <w:right w:val="none" w:sz="0" w:space="0" w:color="auto"/>
          </w:divBdr>
        </w:div>
        <w:div w:id="1346516904">
          <w:marLeft w:val="1166"/>
          <w:marRight w:val="0"/>
          <w:marTop w:val="100"/>
          <w:marBottom w:val="0"/>
          <w:divBdr>
            <w:top w:val="none" w:sz="0" w:space="0" w:color="auto"/>
            <w:left w:val="none" w:sz="0" w:space="0" w:color="auto"/>
            <w:bottom w:val="none" w:sz="0" w:space="0" w:color="auto"/>
            <w:right w:val="none" w:sz="0" w:space="0" w:color="auto"/>
          </w:divBdr>
        </w:div>
        <w:div w:id="1465001553">
          <w:marLeft w:val="1166"/>
          <w:marRight w:val="0"/>
          <w:marTop w:val="100"/>
          <w:marBottom w:val="0"/>
          <w:divBdr>
            <w:top w:val="none" w:sz="0" w:space="0" w:color="auto"/>
            <w:left w:val="none" w:sz="0" w:space="0" w:color="auto"/>
            <w:bottom w:val="none" w:sz="0" w:space="0" w:color="auto"/>
            <w:right w:val="none" w:sz="0" w:space="0" w:color="auto"/>
          </w:divBdr>
        </w:div>
        <w:div w:id="2119829234">
          <w:marLeft w:val="1166"/>
          <w:marRight w:val="0"/>
          <w:marTop w:val="100"/>
          <w:marBottom w:val="0"/>
          <w:divBdr>
            <w:top w:val="none" w:sz="0" w:space="0" w:color="auto"/>
            <w:left w:val="none" w:sz="0" w:space="0" w:color="auto"/>
            <w:bottom w:val="none" w:sz="0" w:space="0" w:color="auto"/>
            <w:right w:val="none" w:sz="0" w:space="0" w:color="auto"/>
          </w:divBdr>
        </w:div>
      </w:divsChild>
    </w:div>
    <w:div w:id="2129006265">
      <w:bodyDiv w:val="1"/>
      <w:marLeft w:val="0"/>
      <w:marRight w:val="0"/>
      <w:marTop w:val="0"/>
      <w:marBottom w:val="0"/>
      <w:divBdr>
        <w:top w:val="none" w:sz="0" w:space="0" w:color="auto"/>
        <w:left w:val="none" w:sz="0" w:space="0" w:color="auto"/>
        <w:bottom w:val="none" w:sz="0" w:space="0" w:color="auto"/>
        <w:right w:val="none" w:sz="0" w:space="0" w:color="auto"/>
      </w:divBdr>
    </w:div>
    <w:div w:id="2133671259">
      <w:bodyDiv w:val="1"/>
      <w:marLeft w:val="0"/>
      <w:marRight w:val="0"/>
      <w:marTop w:val="0"/>
      <w:marBottom w:val="0"/>
      <w:divBdr>
        <w:top w:val="none" w:sz="0" w:space="0" w:color="auto"/>
        <w:left w:val="none" w:sz="0" w:space="0" w:color="auto"/>
        <w:bottom w:val="none" w:sz="0" w:space="0" w:color="auto"/>
        <w:right w:val="none" w:sz="0" w:space="0" w:color="auto"/>
      </w:divBdr>
      <w:divsChild>
        <w:div w:id="12947556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ped/spp/indicators/indicator13/indicator13-chinese.docx" TargetMode="External"/><Relationship Id="rId13" Type="http://schemas.openxmlformats.org/officeDocument/2006/relationships/hyperlink" Target="https://profiles.doe.mass.edu/statereport/special_education.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rentcenterhub.org/transitionadult/" TargetMode="External"/><Relationship Id="rId17" Type="http://schemas.openxmlformats.org/officeDocument/2006/relationships/hyperlink" Target="https://www.doe.mass.edu/sped/secondary-transition/indicator13-transition-assessment.docx" TargetMode="External"/><Relationship Id="rId2" Type="http://schemas.openxmlformats.org/officeDocument/2006/relationships/customXml" Target="../customXml/item2.xml"/><Relationship Id="rId16" Type="http://schemas.openxmlformats.org/officeDocument/2006/relationships/hyperlink" Target="https://www.doe.mass.edu/sped/secondary-transition/indicator13-goals-example-sheet.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csn.org/linkcenter/transition-resources/brochures/" TargetMode="External"/><Relationship Id="rId5" Type="http://schemas.openxmlformats.org/officeDocument/2006/relationships/styles" Target="styles.xml"/><Relationship Id="rId15" Type="http://schemas.openxmlformats.org/officeDocument/2006/relationships/hyperlink" Target="https://www.doe.mass.edu/sped/secondary-transition/indicator13-goals-example-sheet.docx" TargetMode="External"/><Relationship Id="rId10" Type="http://schemas.openxmlformats.org/officeDocument/2006/relationships/hyperlink" Target="https://www.doe.mass.edu/sped/secondary-transition/default.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doe.mass.edu/sped/spp/indicators/indicator13/indicator13-slides-spanish.pptx" TargetMode="External"/><Relationship Id="rId14" Type="http://schemas.openxmlformats.org/officeDocument/2006/relationships/hyperlink" Target="https://www.doe.mass.edu/sped/secondary-transition/indicator13-measure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74416-8FEA-48B2-8F35-C5B24ABB2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B31EA-0EFE-4DB4-AB53-CAC096DBC16C}">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3.xml><?xml version="1.0" encoding="utf-8"?>
<ds:datastoreItem xmlns:ds="http://schemas.openxmlformats.org/officeDocument/2006/customXml" ds:itemID="{8A83ACEC-D92B-417E-A95C-4A7910F7DF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Indicator 13: Secondary Transition — Spanish</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13: Secondary Transition — Spanish</dc:title>
  <dc:subject/>
  <dc:creator>DESE</dc:creator>
  <cp:keywords/>
  <dc:description/>
  <cp:lastModifiedBy>Zou, Dong (EOE)</cp:lastModifiedBy>
  <cp:revision>10</cp:revision>
  <dcterms:created xsi:type="dcterms:W3CDTF">2022-11-01T13:06:00Z</dcterms:created>
  <dcterms:modified xsi:type="dcterms:W3CDTF">2023-01-26T20:09:00Z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2023 12:00AM</vt:lpwstr>
  </property>
</Properties>
</file>