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7FD46" w14:textId="2FE3A431" w:rsidR="009F3900" w:rsidRDefault="00B21AA2" w:rsidP="009F3900">
      <w:pPr>
        <w:pStyle w:val="lead"/>
        <w:shd w:val="clear" w:color="auto" w:fill="FFFFFF"/>
        <w:spacing w:before="0" w:beforeAutospacing="0"/>
        <w:rPr>
          <w:rFonts w:ascii="Segoe UI" w:hAnsi="Segoe UI" w:cs="Segoe UI"/>
          <w:color w:val="222222"/>
        </w:rPr>
      </w:pPr>
      <w:r>
        <w:fldChar w:fldCharType="begin"/>
      </w:r>
      <w:r>
        <w:instrText>HYPERLINK "https://www.doe.mass.edu/sped/spp/indicators/indicator14/"</w:instrText>
      </w:r>
      <w:r>
        <w:fldChar w:fldCharType="separate"/>
      </w:r>
      <w:proofErr w:type="spellStart"/>
      <w:r w:rsidR="009F3900" w:rsidRPr="001D3729">
        <w:rPr>
          <w:rStyle w:val="Hyperlink"/>
          <w:rFonts w:ascii="Segoe UI" w:hAnsi="Segoe UI"/>
          <w:b/>
        </w:rPr>
        <w:t>English</w:t>
      </w:r>
      <w:proofErr w:type="spellEnd"/>
      <w:r>
        <w:rPr>
          <w:rStyle w:val="Hyperlink"/>
          <w:rFonts w:ascii="Segoe UI" w:hAnsi="Segoe UI"/>
          <w:b/>
        </w:rPr>
        <w:fldChar w:fldCharType="end"/>
      </w:r>
      <w:r w:rsidR="009F3900">
        <w:rPr>
          <w:rFonts w:ascii="Segoe UI" w:hAnsi="Segoe UI"/>
          <w:b/>
          <w:color w:val="222222"/>
        </w:rPr>
        <w:t xml:space="preserve"> | </w:t>
      </w:r>
      <w:proofErr w:type="spellStart"/>
      <w:r>
        <w:fldChar w:fldCharType="begin"/>
      </w:r>
      <w:r>
        <w:instrText>HYPERLINK "https://www.doe.mass.edu/sped/spp/indicators/indicator14/indicator14-chinese.docx" \o "下载Word文件"</w:instrText>
      </w:r>
      <w:r>
        <w:fldChar w:fldCharType="separate"/>
      </w:r>
      <w:r w:rsidR="009F3900" w:rsidRPr="001D3729">
        <w:rPr>
          <w:rStyle w:val="Hyperlink"/>
          <w:rFonts w:ascii="MS Gothic" w:hAnsi="MS Gothic"/>
          <w:b/>
          <w:color w:val="0060C7"/>
        </w:rPr>
        <w:t>繁體中文</w:t>
      </w:r>
      <w:proofErr w:type="spellEnd"/>
      <w:r>
        <w:rPr>
          <w:rStyle w:val="Hyperlink"/>
          <w:rFonts w:ascii="MS Gothic" w:hAnsi="MS Gothic"/>
          <w:b/>
          <w:color w:val="0060C7"/>
        </w:rPr>
        <w:fldChar w:fldCharType="end"/>
      </w:r>
      <w:r w:rsidR="009F3900">
        <w:rPr>
          <w:rFonts w:ascii="Segoe UI" w:hAnsi="Segoe UI"/>
          <w:b/>
          <w:color w:val="222222"/>
        </w:rPr>
        <w:t> | </w:t>
      </w:r>
      <w:proofErr w:type="spellStart"/>
      <w:r>
        <w:fldChar w:fldCharType="begin"/>
      </w:r>
      <w:r>
        <w:instrText>HYPERLINK "https://www.doe.mass.edu/sped/spp/indicators/indicator14/indicator14-haitiancreole.docx" \o "Telechaje dosye Word"</w:instrText>
      </w:r>
      <w:r>
        <w:fldChar w:fldCharType="separate"/>
      </w:r>
      <w:r w:rsidR="009F3900" w:rsidRPr="001D3729">
        <w:rPr>
          <w:rStyle w:val="Hyperlink"/>
          <w:rFonts w:ascii="Segoe UI" w:hAnsi="Segoe UI"/>
          <w:b/>
          <w:color w:val="0060C7"/>
        </w:rPr>
        <w:t>Kreyòl</w:t>
      </w:r>
      <w:proofErr w:type="spellEnd"/>
      <w:r w:rsidR="009F3900" w:rsidRPr="001D3729">
        <w:rPr>
          <w:rStyle w:val="Hyperlink"/>
          <w:rFonts w:ascii="Segoe UI" w:hAnsi="Segoe UI"/>
          <w:b/>
          <w:color w:val="0060C7"/>
        </w:rPr>
        <w:t xml:space="preserve"> </w:t>
      </w:r>
      <w:proofErr w:type="spellStart"/>
      <w:r w:rsidR="009F3900" w:rsidRPr="001D3729">
        <w:rPr>
          <w:rStyle w:val="Hyperlink"/>
          <w:rFonts w:ascii="Segoe UI" w:hAnsi="Segoe UI"/>
          <w:b/>
          <w:color w:val="0060C7"/>
        </w:rPr>
        <w:t>Ayisyen</w:t>
      </w:r>
      <w:proofErr w:type="spellEnd"/>
      <w:r>
        <w:rPr>
          <w:rStyle w:val="Hyperlink"/>
          <w:rFonts w:ascii="Segoe UI" w:hAnsi="Segoe UI"/>
          <w:b/>
          <w:color w:val="0060C7"/>
        </w:rPr>
        <w:fldChar w:fldCharType="end"/>
      </w:r>
      <w:r w:rsidR="009F3900">
        <w:rPr>
          <w:rFonts w:ascii="Segoe UI" w:hAnsi="Segoe UI"/>
          <w:b/>
          <w:color w:val="222222"/>
        </w:rPr>
        <w:t> | </w:t>
      </w:r>
      <w:r w:rsidR="009F3900" w:rsidRPr="00F96D1C">
        <w:rPr>
          <w:rFonts w:ascii="Segoe UI" w:hAnsi="Segoe UI"/>
          <w:b/>
        </w:rPr>
        <w:t>português​</w:t>
      </w:r>
      <w:r w:rsidR="009F3900">
        <w:rPr>
          <w:rFonts w:ascii="Segoe UI" w:hAnsi="Segoe UI"/>
          <w:b/>
          <w:color w:val="222222"/>
        </w:rPr>
        <w:t> | </w:t>
      </w:r>
      <w:proofErr w:type="spellStart"/>
      <w:r>
        <w:fldChar w:fldCharType="begin"/>
      </w:r>
      <w:r>
        <w:instrText>HYPERLINK "https://www.doe.mass.edu/sped/spp/indicators/indicator14/indicator14-spanish.docx" \o "Descargar archivo de Word"</w:instrText>
      </w:r>
      <w:r>
        <w:fldChar w:fldCharType="separate"/>
      </w:r>
      <w:r w:rsidR="009F3900" w:rsidRPr="001D3729">
        <w:rPr>
          <w:rStyle w:val="Hyperlink"/>
          <w:rFonts w:ascii="Segoe UI" w:hAnsi="Segoe UI"/>
          <w:b/>
          <w:color w:val="0060C7"/>
        </w:rPr>
        <w:t>español</w:t>
      </w:r>
      <w:proofErr w:type="spellEnd"/>
      <w:r>
        <w:rPr>
          <w:rStyle w:val="Hyperlink"/>
          <w:rFonts w:ascii="Segoe UI" w:hAnsi="Segoe UI"/>
          <w:b/>
          <w:color w:val="0060C7"/>
        </w:rPr>
        <w:fldChar w:fldCharType="end"/>
      </w:r>
      <w:r w:rsidR="009F3900">
        <w:rPr>
          <w:rFonts w:ascii="Segoe UI" w:hAnsi="Segoe UI"/>
          <w:b/>
          <w:color w:val="222222"/>
        </w:rPr>
        <w:t> | </w:t>
      </w:r>
      <w:proofErr w:type="spellStart"/>
      <w:r>
        <w:fldChar w:fldCharType="begin"/>
      </w:r>
      <w:r>
        <w:instrText>HYPERLINK "https://www.doe.mass.edu/sped/spp/indicators/indicator14/indicator14-vietnamese.docx" \o "Tải xuống tệp Word"</w:instrText>
      </w:r>
      <w:r>
        <w:fldChar w:fldCharType="separate"/>
      </w:r>
      <w:r w:rsidR="00D732FF">
        <w:rPr>
          <w:rStyle w:val="Hyperlink"/>
          <w:rFonts w:ascii="Segoe UI" w:hAnsi="Segoe UI"/>
          <w:b/>
          <w:color w:val="0060C7"/>
        </w:rPr>
        <w:t>Việt</w:t>
      </w:r>
      <w:proofErr w:type="spellEnd"/>
      <w:r w:rsidR="00D732FF">
        <w:rPr>
          <w:rStyle w:val="Hyperlink"/>
          <w:rFonts w:ascii="Segoe UI" w:hAnsi="Segoe UI"/>
          <w:b/>
          <w:color w:val="0060C7"/>
        </w:rPr>
        <w:t>​</w:t>
      </w:r>
      <w:r>
        <w:rPr>
          <w:rStyle w:val="Hyperlink"/>
          <w:rFonts w:ascii="Segoe UI" w:hAnsi="Segoe UI"/>
          <w:b/>
          <w:color w:val="0060C7"/>
        </w:rPr>
        <w:fldChar w:fldCharType="end"/>
      </w:r>
    </w:p>
    <w:p w14:paraId="4E6C2A3D" w14:textId="77777777" w:rsidR="009F3900" w:rsidRDefault="009F3900" w:rsidP="009F3900">
      <w:pPr>
        <w:pStyle w:val="Heading1"/>
        <w:shd w:val="clear" w:color="auto" w:fill="FFFFFF"/>
        <w:rPr>
          <w:rFonts w:ascii="Segoe UI" w:hAnsi="Segoe UI" w:cs="Segoe UI"/>
          <w:color w:val="222222"/>
        </w:rPr>
      </w:pPr>
      <w:r>
        <w:rPr>
          <w:rFonts w:ascii="Segoe UI" w:hAnsi="Segoe UI"/>
          <w:b/>
          <w:color w:val="222222"/>
        </w:rPr>
        <w:t xml:space="preserve">Indicador 14: Resultados pós-escolares para alunos com </w:t>
      </w:r>
      <w:proofErr w:type="spellStart"/>
      <w:r>
        <w:rPr>
          <w:rFonts w:ascii="Segoe UI" w:hAnsi="Segoe UI"/>
          <w:b/>
          <w:color w:val="222222"/>
        </w:rPr>
        <w:t>PEIs</w:t>
      </w:r>
      <w:proofErr w:type="spellEnd"/>
    </w:p>
    <w:p w14:paraId="171FB970" w14:textId="77777777" w:rsidR="009F3900" w:rsidRDefault="009F3900" w:rsidP="009C05ED"/>
    <w:p w14:paraId="378562F8" w14:textId="77777777" w:rsidR="009F3900" w:rsidRDefault="009F3900" w:rsidP="009F3900">
      <w:pPr>
        <w:pStyle w:val="Heading2"/>
        <w:shd w:val="clear" w:color="auto" w:fill="FFFFFF"/>
        <w:rPr>
          <w:rFonts w:ascii="Segoe UI" w:hAnsi="Segoe UI" w:cs="Segoe UI"/>
          <w:color w:val="0C7580"/>
          <w:spacing w:val="12"/>
        </w:rPr>
      </w:pPr>
      <w:r>
        <w:rPr>
          <w:rFonts w:ascii="Segoe UI" w:hAnsi="Segoe UI"/>
          <w:b/>
          <w:color w:val="0C7580"/>
        </w:rPr>
        <w:t>O que é o Indicador 14?</w:t>
      </w:r>
    </w:p>
    <w:p w14:paraId="44CAD373" w14:textId="77777777" w:rsidR="00063ACD" w:rsidRDefault="00063ACD" w:rsidP="00063ACD">
      <w:r>
        <w:rPr>
          <w:rFonts w:ascii="Calibri" w:hAnsi="Calibri"/>
          <w:color w:val="222222"/>
          <w:sz w:val="24"/>
        </w:rPr>
        <w:t xml:space="preserve">O Indicador 14 é um dos 17 Indicadores que o Departamento de Programas de Educação Especial (Office of Special Education Programs - OSEP) dos Estados Unidos utiliza para verificar se os distritos escolares estão seguindo a lei de educação especial e se a educação especial está melhorando os resultados dos alunos com deficiência.  </w:t>
      </w:r>
    </w:p>
    <w:p w14:paraId="341EB520" w14:textId="77777777" w:rsidR="00063ACD" w:rsidRDefault="00063ACD" w:rsidP="00063ACD">
      <w:pPr>
        <w:rPr>
          <w:rFonts w:ascii="Calibri" w:eastAsia="Calibri" w:hAnsi="Calibri" w:cs="Calibri"/>
          <w:color w:val="222222"/>
          <w:sz w:val="24"/>
          <w:szCs w:val="24"/>
        </w:rPr>
      </w:pPr>
      <w:r>
        <w:rPr>
          <w:rFonts w:ascii="Calibri" w:hAnsi="Calibri"/>
          <w:color w:val="222222"/>
          <w:sz w:val="24"/>
        </w:rPr>
        <w:t>O Indicador 14 informa se nossos alunos com Planos Educacionais Individualizados (</w:t>
      </w:r>
      <w:proofErr w:type="spellStart"/>
      <w:r>
        <w:rPr>
          <w:rFonts w:ascii="Calibri" w:hAnsi="Calibri"/>
          <w:color w:val="222222"/>
          <w:sz w:val="24"/>
        </w:rPr>
        <w:t>PEIs</w:t>
      </w:r>
      <w:proofErr w:type="spellEnd"/>
      <w:r>
        <w:rPr>
          <w:rFonts w:ascii="Calibri" w:hAnsi="Calibri"/>
          <w:color w:val="222222"/>
          <w:sz w:val="24"/>
        </w:rPr>
        <w:t>) estão estudando ou têm um emprego um ano após terem saído do ensino médio ao se formarem, atingirem a idade limite de 22 anos ou abandonarem.</w:t>
      </w:r>
    </w:p>
    <w:p w14:paraId="00BB43C6" w14:textId="77777777" w:rsidR="009F3900" w:rsidRDefault="009F3900" w:rsidP="009F3900">
      <w:pPr>
        <w:pStyle w:val="Heading2"/>
        <w:shd w:val="clear" w:color="auto" w:fill="FFFFFF"/>
        <w:rPr>
          <w:rFonts w:ascii="Segoe UI" w:hAnsi="Segoe UI" w:cs="Segoe UI"/>
          <w:color w:val="0C7580"/>
          <w:spacing w:val="12"/>
        </w:rPr>
      </w:pPr>
      <w:r>
        <w:rPr>
          <w:rFonts w:ascii="Segoe UI" w:hAnsi="Segoe UI"/>
          <w:b/>
          <w:color w:val="0C7580"/>
        </w:rPr>
        <w:t>Por que o Indicador 14 é importante?</w:t>
      </w:r>
    </w:p>
    <w:p w14:paraId="2F97EDDD" w14:textId="77777777" w:rsidR="00063ACD" w:rsidRDefault="00063ACD" w:rsidP="00063ACD">
      <w:r>
        <w:rPr>
          <w:rFonts w:ascii="Calibri" w:hAnsi="Calibri"/>
          <w:color w:val="222222"/>
          <w:sz w:val="24"/>
        </w:rPr>
        <w:t xml:space="preserve">O Indicador 14 fala sobre a vida de nossos alunos com </w:t>
      </w:r>
      <w:proofErr w:type="spellStart"/>
      <w:r>
        <w:rPr>
          <w:rFonts w:ascii="Calibri" w:hAnsi="Calibri"/>
          <w:color w:val="222222"/>
          <w:sz w:val="24"/>
        </w:rPr>
        <w:t>PEIs</w:t>
      </w:r>
      <w:proofErr w:type="spellEnd"/>
      <w:r>
        <w:rPr>
          <w:rFonts w:ascii="Calibri" w:hAnsi="Calibri"/>
          <w:color w:val="222222"/>
          <w:sz w:val="24"/>
        </w:rPr>
        <w:t xml:space="preserve"> um ano após terem saído do ensino médio. É uma forma de nos ajudar a entender se a educação dos alunos os preparou para a vida adulta.</w:t>
      </w:r>
    </w:p>
    <w:p w14:paraId="01CF8E54" w14:textId="77777777" w:rsidR="009F3900" w:rsidRDefault="009F3900" w:rsidP="009F3900">
      <w:pPr>
        <w:pStyle w:val="Heading2"/>
        <w:shd w:val="clear" w:color="auto" w:fill="FFFFFF"/>
        <w:rPr>
          <w:rFonts w:ascii="Segoe UI" w:hAnsi="Segoe UI" w:cs="Segoe UI"/>
          <w:color w:val="0C7580"/>
          <w:spacing w:val="12"/>
        </w:rPr>
      </w:pPr>
      <w:r>
        <w:rPr>
          <w:rFonts w:ascii="Segoe UI" w:hAnsi="Segoe UI"/>
          <w:b/>
          <w:color w:val="0C7580"/>
        </w:rPr>
        <w:t>Como Massachusetts coleta os dados do Indicador 14?</w:t>
      </w:r>
    </w:p>
    <w:p w14:paraId="273BBCCB" w14:textId="5DE0C1AE" w:rsidR="00063ACD" w:rsidRDefault="00063ACD" w:rsidP="00063ACD">
      <w:pPr>
        <w:rPr>
          <w:rFonts w:ascii="Calibri" w:eastAsia="Calibri" w:hAnsi="Calibri" w:cs="Calibri"/>
          <w:color w:val="222222"/>
          <w:sz w:val="24"/>
          <w:szCs w:val="24"/>
        </w:rPr>
      </w:pPr>
      <w:r>
        <w:rPr>
          <w:rFonts w:ascii="Calibri" w:hAnsi="Calibri"/>
          <w:color w:val="222222"/>
          <w:sz w:val="24"/>
        </w:rPr>
        <w:t xml:space="preserve">A partir de 2023, Massachusetts mudará para a coleta de dados em todo o estado. Isso nos dará um panorama mais abrangente da vida de nossos alunos com </w:t>
      </w:r>
      <w:proofErr w:type="spellStart"/>
      <w:r>
        <w:rPr>
          <w:rFonts w:ascii="Calibri" w:hAnsi="Calibri"/>
          <w:color w:val="222222"/>
          <w:sz w:val="24"/>
        </w:rPr>
        <w:t>PEIs</w:t>
      </w:r>
      <w:proofErr w:type="spellEnd"/>
      <w:r>
        <w:rPr>
          <w:rFonts w:ascii="Calibri" w:hAnsi="Calibri"/>
          <w:color w:val="222222"/>
          <w:sz w:val="24"/>
        </w:rPr>
        <w:t xml:space="preserve"> um ano após terem saído do ensino médio. Essa mudança para a coleta de dados em todo o estado melhorará a capacidade de Massachusetts de desagregar e analisar os dados de maneira estatisticamente significativa e de comparar melhor os dados do Indicador 14 com os dados de graduação (Indicador 1) e dados de abandono (Indicador 2).</w:t>
      </w:r>
    </w:p>
    <w:p w14:paraId="39C678B6" w14:textId="46A4CE79" w:rsidR="00063ACD" w:rsidRDefault="00063ACD" w:rsidP="00063ACD">
      <w:r>
        <w:rPr>
          <w:rFonts w:ascii="Calibri" w:hAnsi="Calibri"/>
          <w:color w:val="222222"/>
          <w:sz w:val="24"/>
        </w:rPr>
        <w:t xml:space="preserve">A coleta de dados ocorre durante o verão e no início do outono. Os distritos pesquisam cada ex-aluno </w:t>
      </w:r>
      <w:r w:rsidR="002A5196">
        <w:rPr>
          <w:rFonts w:ascii="Calibri" w:hAnsi="Calibri"/>
          <w:color w:val="222222"/>
          <w:sz w:val="24"/>
        </w:rPr>
        <w:t>com</w:t>
      </w:r>
      <w:r>
        <w:rPr>
          <w:rFonts w:ascii="Calibri" w:hAnsi="Calibri"/>
          <w:color w:val="222222"/>
          <w:sz w:val="24"/>
        </w:rPr>
        <w:t xml:space="preserve"> um PEI utilizando a </w:t>
      </w:r>
      <w:r>
        <w:rPr>
          <w:rFonts w:ascii="Calibri" w:hAnsi="Calibri"/>
          <w:i/>
          <w:iCs/>
          <w:color w:val="222222"/>
          <w:sz w:val="24"/>
        </w:rPr>
        <w:t>Pesquisa Pós-Ensino Médio de Massachusetts</w:t>
      </w:r>
      <w:r>
        <w:rPr>
          <w:rFonts w:ascii="Calibri" w:hAnsi="Calibri"/>
          <w:color w:val="222222"/>
          <w:sz w:val="24"/>
        </w:rPr>
        <w:t>. A Secretaria de Educação Fundamental e Secundária (</w:t>
      </w:r>
      <w:proofErr w:type="spellStart"/>
      <w:r>
        <w:rPr>
          <w:rFonts w:ascii="Calibri" w:hAnsi="Calibri"/>
          <w:color w:val="222222"/>
          <w:sz w:val="24"/>
        </w:rPr>
        <w:t>Department</w:t>
      </w:r>
      <w:proofErr w:type="spellEnd"/>
      <w:r>
        <w:rPr>
          <w:rFonts w:ascii="Calibri" w:hAnsi="Calibri"/>
          <w:color w:val="222222"/>
          <w:sz w:val="24"/>
        </w:rPr>
        <w:t xml:space="preserve"> of Elementary and Secondary Education - DESE) oferece a pesquisa on-line em seis idiomas: inglês, espanhol, português, chinês, crioulo haitiano e vietnamita.</w:t>
      </w:r>
    </w:p>
    <w:p w14:paraId="1A46FAB3" w14:textId="77777777" w:rsidR="009F3900" w:rsidRDefault="009F3900" w:rsidP="009F3900">
      <w:pPr>
        <w:pStyle w:val="Heading2"/>
        <w:shd w:val="clear" w:color="auto" w:fill="FFFFFF"/>
        <w:rPr>
          <w:rFonts w:ascii="Segoe UI" w:hAnsi="Segoe UI" w:cs="Segoe UI"/>
          <w:color w:val="0C7580"/>
          <w:spacing w:val="12"/>
        </w:rPr>
      </w:pPr>
      <w:r>
        <w:rPr>
          <w:rFonts w:ascii="Segoe UI" w:hAnsi="Segoe UI"/>
          <w:b/>
          <w:color w:val="0C7580"/>
        </w:rPr>
        <w:t>Quais são as três medições do Indicador 14?</w:t>
      </w:r>
    </w:p>
    <w:p w14:paraId="55D145F2" w14:textId="69D609B1" w:rsidR="00063ACD" w:rsidRDefault="00063ACD" w:rsidP="00063ACD">
      <w:r>
        <w:rPr>
          <w:rFonts w:ascii="Calibri" w:hAnsi="Calibri"/>
          <w:color w:val="222222"/>
          <w:sz w:val="24"/>
        </w:rPr>
        <w:t xml:space="preserve">O Departamento de Programas de Educação Especial dos EUA (OSEP) exige que informemos a “porcentagem de jovens que não estão mais no ensino médio, tinham </w:t>
      </w:r>
      <w:proofErr w:type="spellStart"/>
      <w:r>
        <w:rPr>
          <w:rFonts w:ascii="Calibri" w:hAnsi="Calibri"/>
          <w:color w:val="222222"/>
          <w:sz w:val="24"/>
        </w:rPr>
        <w:t>PEIs</w:t>
      </w:r>
      <w:proofErr w:type="spellEnd"/>
      <w:r>
        <w:rPr>
          <w:rFonts w:ascii="Calibri" w:hAnsi="Calibri"/>
          <w:color w:val="222222"/>
          <w:sz w:val="24"/>
        </w:rPr>
        <w:t xml:space="preserve"> em vigor </w:t>
      </w:r>
      <w:r w:rsidR="002C42D2">
        <w:rPr>
          <w:rFonts w:ascii="Calibri" w:hAnsi="Calibri"/>
          <w:color w:val="222222"/>
          <w:sz w:val="24"/>
        </w:rPr>
        <w:t>quando</w:t>
      </w:r>
      <w:r>
        <w:rPr>
          <w:rFonts w:ascii="Calibri" w:hAnsi="Calibri"/>
          <w:color w:val="222222"/>
          <w:sz w:val="24"/>
        </w:rPr>
        <w:t xml:space="preserve"> saíram da escola e que dentro de um ano após a saída do ensino médio foram:</w:t>
      </w:r>
    </w:p>
    <w:p w14:paraId="58754036" w14:textId="77777777" w:rsidR="00063ACD" w:rsidRDefault="00063ACD" w:rsidP="00063ACD">
      <w:pPr>
        <w:pStyle w:val="ListParagraph"/>
        <w:numPr>
          <w:ilvl w:val="0"/>
          <w:numId w:val="12"/>
        </w:numPr>
        <w:rPr>
          <w:rFonts w:eastAsiaTheme="minorEastAsia"/>
          <w:color w:val="212529"/>
          <w:sz w:val="24"/>
          <w:szCs w:val="24"/>
        </w:rPr>
      </w:pPr>
      <w:r>
        <w:rPr>
          <w:rFonts w:ascii="Calibri" w:hAnsi="Calibri"/>
          <w:color w:val="212529"/>
          <w:sz w:val="24"/>
        </w:rPr>
        <w:t>Matriculados no ensino superior</w:t>
      </w:r>
    </w:p>
    <w:p w14:paraId="252D35A7" w14:textId="77777777" w:rsidR="00063ACD" w:rsidRDefault="00063ACD" w:rsidP="00063ACD">
      <w:pPr>
        <w:pStyle w:val="ListParagraph"/>
        <w:numPr>
          <w:ilvl w:val="0"/>
          <w:numId w:val="12"/>
        </w:numPr>
        <w:rPr>
          <w:rFonts w:eastAsiaTheme="minorEastAsia"/>
          <w:color w:val="212529"/>
          <w:sz w:val="24"/>
          <w:szCs w:val="24"/>
        </w:rPr>
      </w:pPr>
      <w:r>
        <w:rPr>
          <w:rFonts w:ascii="Calibri" w:hAnsi="Calibri"/>
          <w:color w:val="212529"/>
          <w:sz w:val="24"/>
        </w:rPr>
        <w:t>Matriculados no ensino superior ou empregados de forma competitiva</w:t>
      </w:r>
    </w:p>
    <w:p w14:paraId="52701FEF" w14:textId="77777777" w:rsidR="00063ACD" w:rsidRDefault="00063ACD" w:rsidP="00063ACD">
      <w:pPr>
        <w:pStyle w:val="ListParagraph"/>
        <w:numPr>
          <w:ilvl w:val="0"/>
          <w:numId w:val="12"/>
        </w:numPr>
        <w:rPr>
          <w:rFonts w:eastAsiaTheme="minorEastAsia"/>
          <w:color w:val="212529"/>
          <w:sz w:val="24"/>
          <w:szCs w:val="24"/>
        </w:rPr>
      </w:pPr>
      <w:r>
        <w:rPr>
          <w:rFonts w:ascii="Calibri" w:hAnsi="Calibri"/>
          <w:color w:val="212529"/>
          <w:sz w:val="24"/>
        </w:rPr>
        <w:lastRenderedPageBreak/>
        <w:t>Matriculados no ensino superior ou em algum outro programa de educação ou treinamento pós-secundário; ou empregados de forma competitiva ou em algum outro emprego”</w:t>
      </w:r>
    </w:p>
    <w:p w14:paraId="0F44892F" w14:textId="1F129676" w:rsidR="009F3900" w:rsidRPr="009F3900" w:rsidRDefault="009F3900" w:rsidP="009F3900">
      <w:pPr>
        <w:pStyle w:val="Heading2"/>
        <w:shd w:val="clear" w:color="auto" w:fill="FFFFFF"/>
        <w:rPr>
          <w:rFonts w:ascii="Segoe UI" w:hAnsi="Segoe UI" w:cs="Segoe UI"/>
          <w:b/>
          <w:bCs/>
          <w:color w:val="0C7580"/>
          <w:spacing w:val="12"/>
        </w:rPr>
      </w:pPr>
      <w:r>
        <w:rPr>
          <w:rFonts w:ascii="Segoe UI" w:hAnsi="Segoe UI"/>
          <w:b/>
          <w:color w:val="0C7580"/>
        </w:rPr>
        <w:t>Que fatores afetam os resultados do Indicador 14?</w:t>
      </w:r>
    </w:p>
    <w:p w14:paraId="56D3263D" w14:textId="77777777" w:rsidR="00063ACD" w:rsidRPr="00543237" w:rsidRDefault="00063ACD" w:rsidP="00063ACD">
      <w:pPr>
        <w:pStyle w:val="ListParagraph"/>
        <w:numPr>
          <w:ilvl w:val="0"/>
          <w:numId w:val="11"/>
        </w:numPr>
        <w:rPr>
          <w:rFonts w:eastAsiaTheme="minorEastAsia"/>
          <w:color w:val="212529"/>
          <w:sz w:val="24"/>
          <w:szCs w:val="24"/>
        </w:rPr>
      </w:pPr>
      <w:r>
        <w:rPr>
          <w:rFonts w:ascii="Calibri" w:hAnsi="Calibri"/>
          <w:color w:val="212529"/>
          <w:sz w:val="24"/>
        </w:rPr>
        <w:t xml:space="preserve">A pandemia de COVID-19 influenciou se nossos ex-alunos com </w:t>
      </w:r>
      <w:proofErr w:type="spellStart"/>
      <w:r>
        <w:rPr>
          <w:rFonts w:ascii="Calibri" w:hAnsi="Calibri"/>
          <w:color w:val="212529"/>
          <w:sz w:val="24"/>
        </w:rPr>
        <w:t>PEIs</w:t>
      </w:r>
      <w:proofErr w:type="spellEnd"/>
      <w:r>
        <w:rPr>
          <w:rFonts w:ascii="Calibri" w:hAnsi="Calibri"/>
          <w:color w:val="212529"/>
          <w:sz w:val="24"/>
        </w:rPr>
        <w:t xml:space="preserve"> estudam e/ou </w:t>
      </w:r>
      <w:r w:rsidRPr="00543237">
        <w:rPr>
          <w:rFonts w:ascii="Calibri" w:hAnsi="Calibri"/>
          <w:color w:val="212529"/>
          <w:sz w:val="24"/>
          <w:szCs w:val="24"/>
        </w:rPr>
        <w:t xml:space="preserve">trabalham após o ensino médio.  </w:t>
      </w:r>
    </w:p>
    <w:p w14:paraId="7D6EDEE1" w14:textId="77777777" w:rsidR="00063ACD" w:rsidRPr="00543237" w:rsidRDefault="00063ACD" w:rsidP="00063ACD">
      <w:pPr>
        <w:pStyle w:val="ListParagraph"/>
        <w:numPr>
          <w:ilvl w:val="0"/>
          <w:numId w:val="11"/>
        </w:numPr>
        <w:rPr>
          <w:rFonts w:eastAsiaTheme="minorEastAsia"/>
          <w:sz w:val="24"/>
          <w:szCs w:val="24"/>
        </w:rPr>
      </w:pPr>
      <w:r w:rsidRPr="00543237">
        <w:rPr>
          <w:sz w:val="24"/>
          <w:szCs w:val="24"/>
        </w:rPr>
        <w:t xml:space="preserve">Se os grupos estiverem </w:t>
      </w:r>
      <w:proofErr w:type="spellStart"/>
      <w:r w:rsidRPr="00543237">
        <w:rPr>
          <w:sz w:val="24"/>
          <w:szCs w:val="24"/>
        </w:rPr>
        <w:t>sub-representados</w:t>
      </w:r>
      <w:proofErr w:type="spellEnd"/>
      <w:r w:rsidRPr="00543237">
        <w:rPr>
          <w:sz w:val="24"/>
          <w:szCs w:val="24"/>
        </w:rPr>
        <w:t xml:space="preserve"> ou </w:t>
      </w:r>
      <w:proofErr w:type="spellStart"/>
      <w:r w:rsidRPr="00543237">
        <w:rPr>
          <w:sz w:val="24"/>
          <w:szCs w:val="24"/>
        </w:rPr>
        <w:t>sobrerrepresentados</w:t>
      </w:r>
      <w:proofErr w:type="spellEnd"/>
      <w:r w:rsidRPr="00543237">
        <w:rPr>
          <w:sz w:val="24"/>
          <w:szCs w:val="24"/>
        </w:rPr>
        <w:t xml:space="preserve"> na pesquisa (por exemplo, alunos </w:t>
      </w:r>
      <w:proofErr w:type="spellStart"/>
      <w:r w:rsidRPr="00543237">
        <w:rPr>
          <w:sz w:val="24"/>
          <w:szCs w:val="24"/>
        </w:rPr>
        <w:t>latinx</w:t>
      </w:r>
      <w:proofErr w:type="spellEnd"/>
      <w:r w:rsidRPr="00543237">
        <w:rPr>
          <w:sz w:val="24"/>
          <w:szCs w:val="24"/>
        </w:rPr>
        <w:t xml:space="preserve">, alunos com deficiência intelectual ou alunos que abandonaram), os dados poderão mostrar se nossos ex-alunos com </w:t>
      </w:r>
      <w:proofErr w:type="spellStart"/>
      <w:r w:rsidRPr="00543237">
        <w:rPr>
          <w:sz w:val="24"/>
          <w:szCs w:val="24"/>
        </w:rPr>
        <w:t>PEIs</w:t>
      </w:r>
      <w:proofErr w:type="spellEnd"/>
      <w:r w:rsidRPr="00543237">
        <w:rPr>
          <w:sz w:val="24"/>
          <w:szCs w:val="24"/>
        </w:rPr>
        <w:t xml:space="preserve"> estão mais ou menos envolvidos com o estudo ou com o trabalho do que realmente estão.  </w:t>
      </w:r>
    </w:p>
    <w:p w14:paraId="21694D15" w14:textId="77777777" w:rsidR="00063ACD" w:rsidRPr="00543237" w:rsidRDefault="00063ACD" w:rsidP="00063ACD">
      <w:pPr>
        <w:pStyle w:val="ListParagraph"/>
        <w:numPr>
          <w:ilvl w:val="0"/>
          <w:numId w:val="11"/>
        </w:numPr>
        <w:rPr>
          <w:rFonts w:eastAsiaTheme="minorEastAsia"/>
          <w:sz w:val="24"/>
          <w:szCs w:val="24"/>
        </w:rPr>
      </w:pPr>
      <w:r w:rsidRPr="00543237">
        <w:rPr>
          <w:sz w:val="24"/>
          <w:szCs w:val="24"/>
        </w:rPr>
        <w:t xml:space="preserve">Tanto os entrevistadores quanto os ex-alunos podem ser tendenciosos. </w:t>
      </w:r>
    </w:p>
    <w:p w14:paraId="5FBEF578" w14:textId="77777777" w:rsidR="00063ACD" w:rsidRPr="00543237" w:rsidRDefault="00063ACD" w:rsidP="00063ACD">
      <w:pPr>
        <w:pStyle w:val="ListParagraph"/>
        <w:numPr>
          <w:ilvl w:val="0"/>
          <w:numId w:val="11"/>
        </w:numPr>
        <w:rPr>
          <w:rFonts w:eastAsiaTheme="minorEastAsia"/>
          <w:sz w:val="24"/>
          <w:szCs w:val="24"/>
        </w:rPr>
      </w:pPr>
      <w:r w:rsidRPr="00543237">
        <w:rPr>
          <w:sz w:val="24"/>
          <w:szCs w:val="24"/>
        </w:rPr>
        <w:t>Com base no tamanho do grupo de resposta para as Medições A, B e C, há uma margem de erro de aproximadamente mais ou menos três por cento.</w:t>
      </w:r>
    </w:p>
    <w:p w14:paraId="3BDBEA70" w14:textId="77777777" w:rsidR="00063ACD" w:rsidRPr="009F3900" w:rsidRDefault="00063ACD" w:rsidP="009F3900">
      <w:pPr>
        <w:spacing w:after="0" w:line="276" w:lineRule="auto"/>
        <w:rPr>
          <w:rFonts w:ascii="Segoe UI" w:hAnsi="Segoe UI" w:cs="Segoe UI"/>
          <w:b/>
          <w:bCs/>
          <w:color w:val="2E74B5" w:themeColor="accent5" w:themeShade="BF"/>
          <w:sz w:val="26"/>
          <w:szCs w:val="26"/>
        </w:rPr>
      </w:pPr>
      <w:r>
        <w:rPr>
          <w:rFonts w:ascii="Segoe UI" w:hAnsi="Segoe UI"/>
          <w:b/>
          <w:color w:val="2E74B5" w:themeColor="accent5" w:themeShade="BF"/>
          <w:sz w:val="26"/>
        </w:rPr>
        <w:t>Resultados históricos do Indicador 14</w:t>
      </w:r>
    </w:p>
    <w:p w14:paraId="7EBDAF76" w14:textId="77777777" w:rsidR="00063ACD" w:rsidRPr="00FD2610" w:rsidRDefault="00063ACD" w:rsidP="00063ACD">
      <w:pPr>
        <w:spacing w:line="276" w:lineRule="auto"/>
        <w:rPr>
          <w:rFonts w:ascii="Calibri" w:hAnsi="Calibri" w:cs="Calibri"/>
          <w:sz w:val="24"/>
          <w:szCs w:val="24"/>
        </w:rPr>
      </w:pPr>
      <w:r>
        <w:rPr>
          <w:rFonts w:ascii="Calibri" w:hAnsi="Calibri"/>
          <w:sz w:val="24"/>
        </w:rPr>
        <w:t xml:space="preserve">A tabela abaixo inclui dados de quatro anos, conforme relatado no APR do AF de 2020 de MA, que foi enviado ao OSEP no início de fevereiro de 2022. </w:t>
      </w:r>
    </w:p>
    <w:tbl>
      <w:tblPr>
        <w:tblStyle w:val="TableGrid"/>
        <w:tblW w:w="10402" w:type="dxa"/>
        <w:tblInd w:w="-157" w:type="dxa"/>
        <w:tblLayout w:type="fixed"/>
        <w:tblLook w:val="04A0" w:firstRow="1" w:lastRow="0" w:firstColumn="1" w:lastColumn="0" w:noHBand="0" w:noVBand="1"/>
      </w:tblPr>
      <w:tblGrid>
        <w:gridCol w:w="1222"/>
        <w:gridCol w:w="900"/>
        <w:gridCol w:w="1260"/>
        <w:gridCol w:w="900"/>
        <w:gridCol w:w="900"/>
        <w:gridCol w:w="1260"/>
        <w:gridCol w:w="900"/>
        <w:gridCol w:w="900"/>
        <w:gridCol w:w="1260"/>
        <w:gridCol w:w="900"/>
      </w:tblGrid>
      <w:tr w:rsidR="00063ACD" w14:paraId="5CD49253" w14:textId="77777777" w:rsidTr="00CD7B01">
        <w:tc>
          <w:tcPr>
            <w:tcW w:w="1222" w:type="dxa"/>
            <w:tcBorders>
              <w:top w:val="single" w:sz="12" w:space="0" w:color="auto"/>
              <w:left w:val="single" w:sz="12" w:space="0" w:color="auto"/>
              <w:bottom w:val="nil"/>
              <w:right w:val="single" w:sz="12" w:space="0" w:color="auto"/>
            </w:tcBorders>
          </w:tcPr>
          <w:p w14:paraId="4E014DD5" w14:textId="77777777" w:rsidR="00063ACD" w:rsidRDefault="00063ACD" w:rsidP="00776391"/>
        </w:tc>
        <w:tc>
          <w:tcPr>
            <w:tcW w:w="3060" w:type="dxa"/>
            <w:gridSpan w:val="3"/>
            <w:tcBorders>
              <w:top w:val="single" w:sz="12" w:space="0" w:color="auto"/>
              <w:left w:val="single" w:sz="12" w:space="0" w:color="auto"/>
              <w:bottom w:val="single" w:sz="8" w:space="0" w:color="auto"/>
              <w:right w:val="single" w:sz="12" w:space="0" w:color="auto"/>
            </w:tcBorders>
            <w:vAlign w:val="center"/>
          </w:tcPr>
          <w:p w14:paraId="2313C9E9" w14:textId="77777777" w:rsidR="00063ACD" w:rsidRDefault="00063ACD" w:rsidP="00776391">
            <w:pPr>
              <w:jc w:val="center"/>
            </w:pPr>
            <w:r>
              <w:t>Medição A</w:t>
            </w:r>
          </w:p>
        </w:tc>
        <w:tc>
          <w:tcPr>
            <w:tcW w:w="3060" w:type="dxa"/>
            <w:gridSpan w:val="3"/>
            <w:tcBorders>
              <w:top w:val="single" w:sz="12" w:space="0" w:color="auto"/>
              <w:left w:val="single" w:sz="12" w:space="0" w:color="auto"/>
              <w:right w:val="single" w:sz="12" w:space="0" w:color="auto"/>
            </w:tcBorders>
            <w:vAlign w:val="center"/>
          </w:tcPr>
          <w:p w14:paraId="4935A7D7" w14:textId="77777777" w:rsidR="00063ACD" w:rsidRDefault="00063ACD" w:rsidP="00776391">
            <w:pPr>
              <w:jc w:val="center"/>
            </w:pPr>
            <w:r>
              <w:t>Medição B</w:t>
            </w:r>
          </w:p>
        </w:tc>
        <w:tc>
          <w:tcPr>
            <w:tcW w:w="3060" w:type="dxa"/>
            <w:gridSpan w:val="3"/>
            <w:tcBorders>
              <w:top w:val="single" w:sz="12" w:space="0" w:color="auto"/>
              <w:left w:val="single" w:sz="12" w:space="0" w:color="auto"/>
              <w:right w:val="single" w:sz="12" w:space="0" w:color="auto"/>
            </w:tcBorders>
            <w:vAlign w:val="center"/>
          </w:tcPr>
          <w:p w14:paraId="2A74C5CA" w14:textId="77777777" w:rsidR="00063ACD" w:rsidRDefault="00063ACD" w:rsidP="00776391">
            <w:pPr>
              <w:jc w:val="center"/>
            </w:pPr>
            <w:r>
              <w:t>Medição C</w:t>
            </w:r>
          </w:p>
        </w:tc>
      </w:tr>
      <w:tr w:rsidR="00BE68DF" w:rsidRPr="00876A3E" w14:paraId="33A525EC" w14:textId="77777777" w:rsidTr="00CD7B01">
        <w:trPr>
          <w:trHeight w:val="553"/>
        </w:trPr>
        <w:tc>
          <w:tcPr>
            <w:tcW w:w="1222" w:type="dxa"/>
            <w:tcBorders>
              <w:top w:val="nil"/>
              <w:left w:val="single" w:sz="12" w:space="0" w:color="auto"/>
              <w:right w:val="single" w:sz="12" w:space="0" w:color="auto"/>
            </w:tcBorders>
            <w:hideMark/>
          </w:tcPr>
          <w:p w14:paraId="61FE5FFA" w14:textId="77777777" w:rsidR="00063ACD" w:rsidRPr="00876A3E" w:rsidRDefault="00063ACD" w:rsidP="00776391">
            <w:pPr>
              <w:rPr>
                <w:b/>
                <w:bCs/>
              </w:rPr>
            </w:pPr>
            <w:r>
              <w:rPr>
                <w:b/>
                <w:sz w:val="24"/>
              </w:rPr>
              <w:t>Dados de tendência</w:t>
            </w:r>
          </w:p>
        </w:tc>
        <w:tc>
          <w:tcPr>
            <w:tcW w:w="900" w:type="dxa"/>
            <w:tcBorders>
              <w:top w:val="single" w:sz="8" w:space="0" w:color="auto"/>
              <w:left w:val="single" w:sz="12" w:space="0" w:color="auto"/>
              <w:bottom w:val="single" w:sz="8" w:space="0" w:color="auto"/>
              <w:right w:val="single" w:sz="8" w:space="0" w:color="auto"/>
            </w:tcBorders>
            <w:hideMark/>
          </w:tcPr>
          <w:p w14:paraId="76B4F440" w14:textId="77777777" w:rsidR="00063ACD" w:rsidRPr="00876A3E" w:rsidRDefault="00063ACD" w:rsidP="00776391">
            <w:r>
              <w:t>Dados</w:t>
            </w:r>
          </w:p>
        </w:tc>
        <w:tc>
          <w:tcPr>
            <w:tcW w:w="1260" w:type="dxa"/>
            <w:tcBorders>
              <w:top w:val="single" w:sz="8" w:space="0" w:color="auto"/>
              <w:left w:val="single" w:sz="8" w:space="0" w:color="auto"/>
              <w:bottom w:val="single" w:sz="8" w:space="0" w:color="auto"/>
              <w:right w:val="single" w:sz="8" w:space="0" w:color="auto"/>
            </w:tcBorders>
            <w:hideMark/>
          </w:tcPr>
          <w:p w14:paraId="170B33D0" w14:textId="77777777" w:rsidR="00063ACD" w:rsidRPr="00876A3E" w:rsidRDefault="00063ACD" w:rsidP="00C603EA">
            <w:pPr>
              <w:ind w:right="-129"/>
            </w:pPr>
            <w:r>
              <w:t>Intervalo de confiança</w:t>
            </w:r>
          </w:p>
        </w:tc>
        <w:tc>
          <w:tcPr>
            <w:tcW w:w="900" w:type="dxa"/>
            <w:tcBorders>
              <w:top w:val="single" w:sz="8" w:space="0" w:color="auto"/>
              <w:left w:val="single" w:sz="8" w:space="0" w:color="auto"/>
              <w:bottom w:val="single" w:sz="8" w:space="0" w:color="auto"/>
              <w:right w:val="single" w:sz="12" w:space="0" w:color="auto"/>
            </w:tcBorders>
            <w:hideMark/>
          </w:tcPr>
          <w:p w14:paraId="23CF7015" w14:textId="77777777" w:rsidR="00063ACD" w:rsidRPr="00876A3E" w:rsidRDefault="00063ACD" w:rsidP="00776391">
            <w:r>
              <w:t>Meta</w:t>
            </w:r>
          </w:p>
        </w:tc>
        <w:tc>
          <w:tcPr>
            <w:tcW w:w="900" w:type="dxa"/>
            <w:tcBorders>
              <w:left w:val="single" w:sz="12" w:space="0" w:color="auto"/>
            </w:tcBorders>
            <w:hideMark/>
          </w:tcPr>
          <w:p w14:paraId="680B8DF9" w14:textId="77777777" w:rsidR="00063ACD" w:rsidRPr="00876A3E" w:rsidRDefault="00063ACD" w:rsidP="00776391">
            <w:r>
              <w:t>Dados</w:t>
            </w:r>
          </w:p>
        </w:tc>
        <w:tc>
          <w:tcPr>
            <w:tcW w:w="1260" w:type="dxa"/>
            <w:hideMark/>
          </w:tcPr>
          <w:p w14:paraId="1E527A14" w14:textId="77777777" w:rsidR="00063ACD" w:rsidRPr="00876A3E" w:rsidRDefault="00063ACD" w:rsidP="00C603EA">
            <w:pPr>
              <w:ind w:right="-42"/>
            </w:pPr>
            <w:r>
              <w:t>Intervalo de confiança</w:t>
            </w:r>
          </w:p>
        </w:tc>
        <w:tc>
          <w:tcPr>
            <w:tcW w:w="900" w:type="dxa"/>
            <w:tcBorders>
              <w:right w:val="single" w:sz="12" w:space="0" w:color="auto"/>
            </w:tcBorders>
            <w:hideMark/>
          </w:tcPr>
          <w:p w14:paraId="5D2204F7" w14:textId="77777777" w:rsidR="00063ACD" w:rsidRPr="00876A3E" w:rsidRDefault="00063ACD" w:rsidP="00776391">
            <w:r>
              <w:t>Meta</w:t>
            </w:r>
          </w:p>
        </w:tc>
        <w:tc>
          <w:tcPr>
            <w:tcW w:w="900" w:type="dxa"/>
            <w:tcBorders>
              <w:left w:val="single" w:sz="12" w:space="0" w:color="auto"/>
            </w:tcBorders>
            <w:hideMark/>
          </w:tcPr>
          <w:p w14:paraId="7D255E4E" w14:textId="77777777" w:rsidR="00063ACD" w:rsidRPr="00876A3E" w:rsidRDefault="00063ACD" w:rsidP="00776391">
            <w:r>
              <w:t>Dados</w:t>
            </w:r>
          </w:p>
        </w:tc>
        <w:tc>
          <w:tcPr>
            <w:tcW w:w="1260" w:type="dxa"/>
            <w:hideMark/>
          </w:tcPr>
          <w:p w14:paraId="1D9FC9BA" w14:textId="77777777" w:rsidR="00063ACD" w:rsidRPr="00876A3E" w:rsidRDefault="00063ACD" w:rsidP="00C603EA">
            <w:pPr>
              <w:ind w:right="-97"/>
            </w:pPr>
            <w:r>
              <w:t>Intervalo de confiança</w:t>
            </w:r>
          </w:p>
        </w:tc>
        <w:tc>
          <w:tcPr>
            <w:tcW w:w="900" w:type="dxa"/>
            <w:tcBorders>
              <w:right w:val="single" w:sz="12" w:space="0" w:color="auto"/>
            </w:tcBorders>
            <w:hideMark/>
          </w:tcPr>
          <w:p w14:paraId="160AB3EC" w14:textId="77777777" w:rsidR="00063ACD" w:rsidRPr="00876A3E" w:rsidRDefault="00063ACD" w:rsidP="00776391">
            <w:r>
              <w:t>Meta</w:t>
            </w:r>
          </w:p>
        </w:tc>
      </w:tr>
      <w:tr w:rsidR="00BE68DF" w14:paraId="13219050" w14:textId="77777777" w:rsidTr="00CD7B01">
        <w:tc>
          <w:tcPr>
            <w:tcW w:w="1222" w:type="dxa"/>
            <w:tcBorders>
              <w:left w:val="single" w:sz="12" w:space="0" w:color="auto"/>
              <w:right w:val="single" w:sz="12" w:space="0" w:color="auto"/>
            </w:tcBorders>
          </w:tcPr>
          <w:p w14:paraId="61ACA99F" w14:textId="447F6EE6" w:rsidR="00063ACD" w:rsidRPr="00876A3E" w:rsidRDefault="00063ACD" w:rsidP="00776391">
            <w:r>
              <w:t>AF2017 *</w:t>
            </w:r>
          </w:p>
        </w:tc>
        <w:tc>
          <w:tcPr>
            <w:tcW w:w="900" w:type="dxa"/>
            <w:tcBorders>
              <w:top w:val="single" w:sz="8" w:space="0" w:color="auto"/>
              <w:left w:val="single" w:sz="12" w:space="0" w:color="auto"/>
              <w:bottom w:val="single" w:sz="8" w:space="0" w:color="auto"/>
              <w:right w:val="single" w:sz="8" w:space="0" w:color="auto"/>
            </w:tcBorders>
          </w:tcPr>
          <w:p w14:paraId="37F41F44" w14:textId="77777777" w:rsidR="00063ACD" w:rsidRPr="00876A3E" w:rsidRDefault="00063ACD" w:rsidP="00776391">
            <w:r>
              <w:t>50,00%</w:t>
            </w:r>
          </w:p>
        </w:tc>
        <w:tc>
          <w:tcPr>
            <w:tcW w:w="1260" w:type="dxa"/>
            <w:tcBorders>
              <w:top w:val="single" w:sz="8" w:space="0" w:color="auto"/>
              <w:left w:val="single" w:sz="8" w:space="0" w:color="auto"/>
              <w:bottom w:val="single" w:sz="8" w:space="0" w:color="auto"/>
              <w:right w:val="single" w:sz="8" w:space="0" w:color="auto"/>
            </w:tcBorders>
          </w:tcPr>
          <w:p w14:paraId="2B6039C3" w14:textId="77777777" w:rsidR="00063ACD" w:rsidRPr="00876A3E" w:rsidRDefault="00063ACD" w:rsidP="00776391">
            <w:r>
              <w:t>+- 3,59%</w:t>
            </w:r>
          </w:p>
        </w:tc>
        <w:tc>
          <w:tcPr>
            <w:tcW w:w="900" w:type="dxa"/>
            <w:tcBorders>
              <w:top w:val="single" w:sz="8" w:space="0" w:color="auto"/>
              <w:left w:val="single" w:sz="8" w:space="0" w:color="auto"/>
              <w:bottom w:val="single" w:sz="8" w:space="0" w:color="auto"/>
              <w:right w:val="single" w:sz="12" w:space="0" w:color="auto"/>
            </w:tcBorders>
          </w:tcPr>
          <w:p w14:paraId="2594C150" w14:textId="77777777" w:rsidR="00063ACD" w:rsidRPr="00876A3E" w:rsidRDefault="00063ACD" w:rsidP="00776391">
            <w:r>
              <w:t>53,00%</w:t>
            </w:r>
          </w:p>
        </w:tc>
        <w:tc>
          <w:tcPr>
            <w:tcW w:w="900" w:type="dxa"/>
            <w:tcBorders>
              <w:left w:val="single" w:sz="12" w:space="0" w:color="auto"/>
            </w:tcBorders>
          </w:tcPr>
          <w:p w14:paraId="56C8DAE0" w14:textId="77777777" w:rsidR="00063ACD" w:rsidRPr="00876A3E" w:rsidRDefault="00063ACD" w:rsidP="00776391">
            <w:r>
              <w:t>79,37%</w:t>
            </w:r>
          </w:p>
        </w:tc>
        <w:tc>
          <w:tcPr>
            <w:tcW w:w="1260" w:type="dxa"/>
          </w:tcPr>
          <w:p w14:paraId="7281A1C8" w14:textId="77777777" w:rsidR="00063ACD" w:rsidRPr="00876A3E" w:rsidRDefault="00063ACD" w:rsidP="00776391">
            <w:r>
              <w:t>+- 2,82%</w:t>
            </w:r>
          </w:p>
        </w:tc>
        <w:tc>
          <w:tcPr>
            <w:tcW w:w="900" w:type="dxa"/>
            <w:tcBorders>
              <w:right w:val="single" w:sz="12" w:space="0" w:color="auto"/>
            </w:tcBorders>
          </w:tcPr>
          <w:p w14:paraId="722870C3" w14:textId="77777777" w:rsidR="00063ACD" w:rsidRPr="00876A3E" w:rsidRDefault="00063ACD" w:rsidP="00776391">
            <w:r>
              <w:t>88,00%</w:t>
            </w:r>
          </w:p>
        </w:tc>
        <w:tc>
          <w:tcPr>
            <w:tcW w:w="900" w:type="dxa"/>
            <w:tcBorders>
              <w:left w:val="single" w:sz="12" w:space="0" w:color="auto"/>
            </w:tcBorders>
          </w:tcPr>
          <w:p w14:paraId="147AD377" w14:textId="77777777" w:rsidR="00063ACD" w:rsidRPr="00876A3E" w:rsidRDefault="00063ACD" w:rsidP="00776391">
            <w:r>
              <w:t>87,09%</w:t>
            </w:r>
          </w:p>
        </w:tc>
        <w:tc>
          <w:tcPr>
            <w:tcW w:w="1260" w:type="dxa"/>
          </w:tcPr>
          <w:p w14:paraId="470F41FD" w14:textId="77777777" w:rsidR="00063ACD" w:rsidRPr="00876A3E" w:rsidRDefault="00063ACD" w:rsidP="00776391">
            <w:r>
              <w:t>+- 2,34%</w:t>
            </w:r>
          </w:p>
        </w:tc>
        <w:tc>
          <w:tcPr>
            <w:tcW w:w="900" w:type="dxa"/>
            <w:tcBorders>
              <w:right w:val="single" w:sz="12" w:space="0" w:color="auto"/>
            </w:tcBorders>
          </w:tcPr>
          <w:p w14:paraId="2F6364DF" w14:textId="77777777" w:rsidR="00063ACD" w:rsidRPr="00876A3E" w:rsidRDefault="00063ACD" w:rsidP="00776391">
            <w:r>
              <w:t>95,00%</w:t>
            </w:r>
          </w:p>
        </w:tc>
      </w:tr>
      <w:tr w:rsidR="00BE68DF" w:rsidRPr="00876A3E" w14:paraId="7109C2B0" w14:textId="77777777" w:rsidTr="00CD7B01">
        <w:trPr>
          <w:trHeight w:val="386"/>
        </w:trPr>
        <w:tc>
          <w:tcPr>
            <w:tcW w:w="1222" w:type="dxa"/>
            <w:tcBorders>
              <w:left w:val="single" w:sz="12" w:space="0" w:color="auto"/>
              <w:right w:val="single" w:sz="12" w:space="0" w:color="auto"/>
            </w:tcBorders>
            <w:hideMark/>
          </w:tcPr>
          <w:p w14:paraId="09AA039D" w14:textId="77777777" w:rsidR="00063ACD" w:rsidRPr="00876A3E" w:rsidRDefault="00063ACD" w:rsidP="00776391">
            <w:r>
              <w:t>AF2018</w:t>
            </w:r>
          </w:p>
        </w:tc>
        <w:tc>
          <w:tcPr>
            <w:tcW w:w="900" w:type="dxa"/>
            <w:tcBorders>
              <w:top w:val="single" w:sz="8" w:space="0" w:color="auto"/>
              <w:left w:val="single" w:sz="12" w:space="0" w:color="auto"/>
              <w:bottom w:val="single" w:sz="8" w:space="0" w:color="auto"/>
              <w:right w:val="single" w:sz="8" w:space="0" w:color="auto"/>
            </w:tcBorders>
            <w:hideMark/>
          </w:tcPr>
          <w:p w14:paraId="5A595A80" w14:textId="77777777" w:rsidR="00063ACD" w:rsidRPr="00876A3E" w:rsidRDefault="00063ACD" w:rsidP="00776391">
            <w:r>
              <w:t>41,18%</w:t>
            </w:r>
          </w:p>
        </w:tc>
        <w:tc>
          <w:tcPr>
            <w:tcW w:w="1260" w:type="dxa"/>
            <w:tcBorders>
              <w:top w:val="single" w:sz="8" w:space="0" w:color="auto"/>
              <w:left w:val="single" w:sz="8" w:space="0" w:color="auto"/>
              <w:bottom w:val="single" w:sz="8" w:space="0" w:color="auto"/>
              <w:right w:val="single" w:sz="8" w:space="0" w:color="auto"/>
            </w:tcBorders>
            <w:hideMark/>
          </w:tcPr>
          <w:p w14:paraId="30F1D0BE" w14:textId="77777777" w:rsidR="00063ACD" w:rsidRPr="00876A3E" w:rsidRDefault="00063ACD" w:rsidP="00776391">
            <w:r>
              <w:t>+- 3,02%</w:t>
            </w:r>
          </w:p>
        </w:tc>
        <w:tc>
          <w:tcPr>
            <w:tcW w:w="900" w:type="dxa"/>
            <w:tcBorders>
              <w:top w:val="single" w:sz="8" w:space="0" w:color="auto"/>
              <w:left w:val="single" w:sz="8" w:space="0" w:color="auto"/>
              <w:bottom w:val="single" w:sz="8" w:space="0" w:color="auto"/>
              <w:right w:val="single" w:sz="12" w:space="0" w:color="auto"/>
            </w:tcBorders>
            <w:hideMark/>
          </w:tcPr>
          <w:p w14:paraId="47E1E69C" w14:textId="77777777" w:rsidR="00063ACD" w:rsidRPr="00876A3E" w:rsidRDefault="00063ACD" w:rsidP="00776391">
            <w:r>
              <w:t>50,20%</w:t>
            </w:r>
          </w:p>
        </w:tc>
        <w:tc>
          <w:tcPr>
            <w:tcW w:w="900" w:type="dxa"/>
            <w:tcBorders>
              <w:left w:val="single" w:sz="12" w:space="0" w:color="auto"/>
            </w:tcBorders>
            <w:hideMark/>
          </w:tcPr>
          <w:p w14:paraId="4058C37E" w14:textId="77777777" w:rsidR="00063ACD" w:rsidRPr="00876A3E" w:rsidRDefault="00063ACD" w:rsidP="00776391">
            <w:r>
              <w:t>70,88%</w:t>
            </w:r>
          </w:p>
        </w:tc>
        <w:tc>
          <w:tcPr>
            <w:tcW w:w="1260" w:type="dxa"/>
            <w:hideMark/>
          </w:tcPr>
          <w:p w14:paraId="285083EE" w14:textId="77777777" w:rsidR="00063ACD" w:rsidRPr="00876A3E" w:rsidRDefault="00063ACD" w:rsidP="00776391">
            <w:r>
              <w:t>+- 2,79%</w:t>
            </w:r>
          </w:p>
        </w:tc>
        <w:tc>
          <w:tcPr>
            <w:tcW w:w="900" w:type="dxa"/>
            <w:tcBorders>
              <w:right w:val="single" w:sz="12" w:space="0" w:color="auto"/>
            </w:tcBorders>
            <w:hideMark/>
          </w:tcPr>
          <w:p w14:paraId="33E1FC0E" w14:textId="77777777" w:rsidR="00063ACD" w:rsidRPr="00876A3E" w:rsidRDefault="00063ACD" w:rsidP="00776391">
            <w:r>
              <w:t>79,60%</w:t>
            </w:r>
          </w:p>
        </w:tc>
        <w:tc>
          <w:tcPr>
            <w:tcW w:w="900" w:type="dxa"/>
            <w:tcBorders>
              <w:left w:val="single" w:sz="12" w:space="0" w:color="auto"/>
            </w:tcBorders>
            <w:hideMark/>
          </w:tcPr>
          <w:p w14:paraId="7F8F8092" w14:textId="77777777" w:rsidR="00063ACD" w:rsidRPr="00876A3E" w:rsidRDefault="00063ACD" w:rsidP="00776391">
            <w:r>
              <w:t>79,02%</w:t>
            </w:r>
          </w:p>
        </w:tc>
        <w:tc>
          <w:tcPr>
            <w:tcW w:w="1260" w:type="dxa"/>
            <w:hideMark/>
          </w:tcPr>
          <w:p w14:paraId="3F4458ED" w14:textId="77777777" w:rsidR="00063ACD" w:rsidRPr="00876A3E" w:rsidRDefault="00063ACD" w:rsidP="00776391">
            <w:r>
              <w:t>+- 2,05%</w:t>
            </w:r>
          </w:p>
        </w:tc>
        <w:tc>
          <w:tcPr>
            <w:tcW w:w="900" w:type="dxa"/>
            <w:tcBorders>
              <w:right w:val="single" w:sz="12" w:space="0" w:color="auto"/>
            </w:tcBorders>
            <w:hideMark/>
          </w:tcPr>
          <w:p w14:paraId="3C14478D" w14:textId="77777777" w:rsidR="00063ACD" w:rsidRPr="00876A3E" w:rsidRDefault="00063ACD" w:rsidP="00776391">
            <w:r>
              <w:t>87,30%</w:t>
            </w:r>
          </w:p>
        </w:tc>
      </w:tr>
      <w:tr w:rsidR="00BE68DF" w:rsidRPr="00876A3E" w14:paraId="608ACEE6" w14:textId="77777777" w:rsidTr="00CD7B01">
        <w:trPr>
          <w:trHeight w:val="341"/>
        </w:trPr>
        <w:tc>
          <w:tcPr>
            <w:tcW w:w="1222" w:type="dxa"/>
            <w:tcBorders>
              <w:left w:val="single" w:sz="12" w:space="0" w:color="auto"/>
              <w:right w:val="single" w:sz="12" w:space="0" w:color="auto"/>
            </w:tcBorders>
            <w:hideMark/>
          </w:tcPr>
          <w:p w14:paraId="1E7ECB4E" w14:textId="77777777" w:rsidR="00063ACD" w:rsidRPr="00876A3E" w:rsidRDefault="00063ACD" w:rsidP="00776391">
            <w:r>
              <w:t>AF2019</w:t>
            </w:r>
          </w:p>
        </w:tc>
        <w:tc>
          <w:tcPr>
            <w:tcW w:w="900" w:type="dxa"/>
            <w:tcBorders>
              <w:top w:val="single" w:sz="8" w:space="0" w:color="auto"/>
              <w:left w:val="single" w:sz="12" w:space="0" w:color="auto"/>
              <w:bottom w:val="single" w:sz="8" w:space="0" w:color="auto"/>
              <w:right w:val="single" w:sz="8" w:space="0" w:color="auto"/>
            </w:tcBorders>
            <w:hideMark/>
          </w:tcPr>
          <w:p w14:paraId="014A4270" w14:textId="77777777" w:rsidR="00063ACD" w:rsidRPr="00876A3E" w:rsidRDefault="00063ACD" w:rsidP="00776391">
            <w:r>
              <w:t>34,79%</w:t>
            </w:r>
          </w:p>
        </w:tc>
        <w:tc>
          <w:tcPr>
            <w:tcW w:w="1260" w:type="dxa"/>
            <w:tcBorders>
              <w:top w:val="single" w:sz="8" w:space="0" w:color="auto"/>
              <w:left w:val="single" w:sz="8" w:space="0" w:color="auto"/>
              <w:bottom w:val="single" w:sz="8" w:space="0" w:color="auto"/>
              <w:right w:val="single" w:sz="8" w:space="0" w:color="auto"/>
            </w:tcBorders>
            <w:hideMark/>
          </w:tcPr>
          <w:p w14:paraId="18E360A9" w14:textId="77777777" w:rsidR="00063ACD" w:rsidRPr="00876A3E" w:rsidRDefault="00063ACD" w:rsidP="00776391">
            <w:r>
              <w:t xml:space="preserve">+-2,16% </w:t>
            </w:r>
          </w:p>
        </w:tc>
        <w:tc>
          <w:tcPr>
            <w:tcW w:w="900" w:type="dxa"/>
            <w:tcBorders>
              <w:top w:val="single" w:sz="8" w:space="0" w:color="auto"/>
              <w:left w:val="single" w:sz="8" w:space="0" w:color="auto"/>
              <w:bottom w:val="single" w:sz="8" w:space="0" w:color="auto"/>
              <w:right w:val="single" w:sz="12" w:space="0" w:color="auto"/>
            </w:tcBorders>
            <w:hideMark/>
          </w:tcPr>
          <w:p w14:paraId="6600000C" w14:textId="77777777" w:rsidR="00063ACD" w:rsidRPr="00876A3E" w:rsidRDefault="00063ACD" w:rsidP="00776391">
            <w:r>
              <w:t>50,40%</w:t>
            </w:r>
          </w:p>
        </w:tc>
        <w:tc>
          <w:tcPr>
            <w:tcW w:w="900" w:type="dxa"/>
            <w:tcBorders>
              <w:left w:val="single" w:sz="12" w:space="0" w:color="auto"/>
            </w:tcBorders>
            <w:hideMark/>
          </w:tcPr>
          <w:p w14:paraId="290EAABC" w14:textId="77777777" w:rsidR="00063ACD" w:rsidRPr="00876A3E" w:rsidRDefault="00063ACD" w:rsidP="00776391">
            <w:r>
              <w:t>56,55%</w:t>
            </w:r>
          </w:p>
        </w:tc>
        <w:tc>
          <w:tcPr>
            <w:tcW w:w="1260" w:type="dxa"/>
            <w:hideMark/>
          </w:tcPr>
          <w:p w14:paraId="32B8AC57" w14:textId="77777777" w:rsidR="00063ACD" w:rsidRPr="00876A3E" w:rsidRDefault="00063ACD" w:rsidP="00776391">
            <w:r>
              <w:t>+- 2,76%</w:t>
            </w:r>
          </w:p>
        </w:tc>
        <w:tc>
          <w:tcPr>
            <w:tcW w:w="900" w:type="dxa"/>
            <w:tcBorders>
              <w:right w:val="single" w:sz="12" w:space="0" w:color="auto"/>
            </w:tcBorders>
            <w:hideMark/>
          </w:tcPr>
          <w:p w14:paraId="71B8485D" w14:textId="77777777" w:rsidR="00063ACD" w:rsidRPr="00876A3E" w:rsidRDefault="00063ACD" w:rsidP="00776391">
            <w:r>
              <w:t>79,80%</w:t>
            </w:r>
          </w:p>
        </w:tc>
        <w:tc>
          <w:tcPr>
            <w:tcW w:w="900" w:type="dxa"/>
            <w:tcBorders>
              <w:left w:val="single" w:sz="12" w:space="0" w:color="auto"/>
            </w:tcBorders>
            <w:hideMark/>
          </w:tcPr>
          <w:p w14:paraId="45BD11EB" w14:textId="77777777" w:rsidR="00063ACD" w:rsidRPr="00876A3E" w:rsidRDefault="00063ACD" w:rsidP="00776391">
            <w:r>
              <w:t>62,35%</w:t>
            </w:r>
          </w:p>
        </w:tc>
        <w:tc>
          <w:tcPr>
            <w:tcW w:w="1260" w:type="dxa"/>
            <w:hideMark/>
          </w:tcPr>
          <w:p w14:paraId="01654136" w14:textId="77777777" w:rsidR="00063ACD" w:rsidRPr="00876A3E" w:rsidRDefault="00063ACD" w:rsidP="00776391">
            <w:r>
              <w:t>+- 2,90%</w:t>
            </w:r>
          </w:p>
        </w:tc>
        <w:tc>
          <w:tcPr>
            <w:tcW w:w="900" w:type="dxa"/>
            <w:tcBorders>
              <w:right w:val="single" w:sz="12" w:space="0" w:color="auto"/>
            </w:tcBorders>
            <w:hideMark/>
          </w:tcPr>
          <w:p w14:paraId="24836A1E" w14:textId="77777777" w:rsidR="00063ACD" w:rsidRPr="00876A3E" w:rsidRDefault="00063ACD" w:rsidP="00776391">
            <w:r>
              <w:t>87,50%</w:t>
            </w:r>
          </w:p>
        </w:tc>
      </w:tr>
      <w:tr w:rsidR="00BE68DF" w:rsidRPr="00876A3E" w14:paraId="1E475CD3" w14:textId="77777777" w:rsidTr="00CD7B01">
        <w:trPr>
          <w:trHeight w:val="449"/>
        </w:trPr>
        <w:tc>
          <w:tcPr>
            <w:tcW w:w="1222" w:type="dxa"/>
            <w:tcBorders>
              <w:left w:val="single" w:sz="12" w:space="0" w:color="auto"/>
              <w:bottom w:val="single" w:sz="12" w:space="0" w:color="auto"/>
              <w:right w:val="single" w:sz="12" w:space="0" w:color="auto"/>
            </w:tcBorders>
            <w:hideMark/>
          </w:tcPr>
          <w:p w14:paraId="48303644" w14:textId="26F05BBD" w:rsidR="00063ACD" w:rsidRPr="00876A3E" w:rsidRDefault="00063ACD" w:rsidP="00776391">
            <w:r>
              <w:t>AF2020</w:t>
            </w:r>
          </w:p>
        </w:tc>
        <w:tc>
          <w:tcPr>
            <w:tcW w:w="900" w:type="dxa"/>
            <w:tcBorders>
              <w:top w:val="single" w:sz="8" w:space="0" w:color="auto"/>
              <w:left w:val="single" w:sz="12" w:space="0" w:color="auto"/>
              <w:bottom w:val="single" w:sz="12" w:space="0" w:color="auto"/>
              <w:right w:val="single" w:sz="8" w:space="0" w:color="auto"/>
            </w:tcBorders>
            <w:hideMark/>
          </w:tcPr>
          <w:p w14:paraId="7C9EB5A7" w14:textId="77777777" w:rsidR="00063ACD" w:rsidRPr="00876A3E" w:rsidRDefault="00063ACD" w:rsidP="00776391">
            <w:r>
              <w:t>39,91%</w:t>
            </w:r>
          </w:p>
        </w:tc>
        <w:tc>
          <w:tcPr>
            <w:tcW w:w="1260" w:type="dxa"/>
            <w:tcBorders>
              <w:top w:val="single" w:sz="8" w:space="0" w:color="auto"/>
              <w:left w:val="single" w:sz="8" w:space="0" w:color="auto"/>
              <w:bottom w:val="single" w:sz="12" w:space="0" w:color="auto"/>
              <w:right w:val="single" w:sz="8" w:space="0" w:color="auto"/>
            </w:tcBorders>
            <w:hideMark/>
          </w:tcPr>
          <w:p w14:paraId="6FABB789" w14:textId="77777777" w:rsidR="00063ACD" w:rsidRPr="00876A3E" w:rsidRDefault="00063ACD" w:rsidP="00776391">
            <w:r>
              <w:t>+-2,48%</w:t>
            </w:r>
          </w:p>
        </w:tc>
        <w:tc>
          <w:tcPr>
            <w:tcW w:w="900" w:type="dxa"/>
            <w:tcBorders>
              <w:top w:val="single" w:sz="8" w:space="0" w:color="auto"/>
              <w:left w:val="single" w:sz="8" w:space="0" w:color="auto"/>
              <w:bottom w:val="single" w:sz="12" w:space="0" w:color="auto"/>
              <w:right w:val="single" w:sz="12" w:space="0" w:color="auto"/>
            </w:tcBorders>
            <w:hideMark/>
          </w:tcPr>
          <w:p w14:paraId="29ACE3F4" w14:textId="77777777" w:rsidR="00063ACD" w:rsidRPr="00876A3E" w:rsidRDefault="00063ACD" w:rsidP="00776391">
            <w:r>
              <w:t>40,00%</w:t>
            </w:r>
          </w:p>
        </w:tc>
        <w:tc>
          <w:tcPr>
            <w:tcW w:w="900" w:type="dxa"/>
            <w:tcBorders>
              <w:left w:val="single" w:sz="12" w:space="0" w:color="auto"/>
              <w:bottom w:val="single" w:sz="12" w:space="0" w:color="auto"/>
            </w:tcBorders>
            <w:hideMark/>
          </w:tcPr>
          <w:p w14:paraId="68B1D1BE" w14:textId="77777777" w:rsidR="00063ACD" w:rsidRPr="00876A3E" w:rsidRDefault="00063ACD" w:rsidP="00776391">
            <w:r>
              <w:t>72,26%</w:t>
            </w:r>
          </w:p>
        </w:tc>
        <w:tc>
          <w:tcPr>
            <w:tcW w:w="1260" w:type="dxa"/>
            <w:tcBorders>
              <w:bottom w:val="single" w:sz="12" w:space="0" w:color="auto"/>
            </w:tcBorders>
            <w:hideMark/>
          </w:tcPr>
          <w:p w14:paraId="08C85884" w14:textId="77777777" w:rsidR="00063ACD" w:rsidRPr="00876A3E" w:rsidRDefault="00063ACD" w:rsidP="00776391">
            <w:r>
              <w:t>+-4,51%</w:t>
            </w:r>
          </w:p>
        </w:tc>
        <w:tc>
          <w:tcPr>
            <w:tcW w:w="900" w:type="dxa"/>
            <w:tcBorders>
              <w:bottom w:val="single" w:sz="12" w:space="0" w:color="auto"/>
              <w:right w:val="single" w:sz="12" w:space="0" w:color="auto"/>
            </w:tcBorders>
            <w:hideMark/>
          </w:tcPr>
          <w:p w14:paraId="08F8886A" w14:textId="77777777" w:rsidR="00063ACD" w:rsidRPr="00876A3E" w:rsidRDefault="00063ACD" w:rsidP="00776391">
            <w:r>
              <w:t>73,00%</w:t>
            </w:r>
          </w:p>
        </w:tc>
        <w:tc>
          <w:tcPr>
            <w:tcW w:w="900" w:type="dxa"/>
            <w:tcBorders>
              <w:left w:val="single" w:sz="12" w:space="0" w:color="auto"/>
              <w:bottom w:val="single" w:sz="12" w:space="0" w:color="auto"/>
            </w:tcBorders>
            <w:hideMark/>
          </w:tcPr>
          <w:p w14:paraId="4195F06C" w14:textId="77777777" w:rsidR="00063ACD" w:rsidRPr="00876A3E" w:rsidRDefault="00063ACD" w:rsidP="00776391">
            <w:r>
              <w:t>78,68%</w:t>
            </w:r>
          </w:p>
        </w:tc>
        <w:tc>
          <w:tcPr>
            <w:tcW w:w="1260" w:type="dxa"/>
            <w:tcBorders>
              <w:bottom w:val="single" w:sz="12" w:space="0" w:color="auto"/>
            </w:tcBorders>
            <w:hideMark/>
          </w:tcPr>
          <w:p w14:paraId="303535A1" w14:textId="77777777" w:rsidR="00063ACD" w:rsidRPr="00876A3E" w:rsidRDefault="00063ACD" w:rsidP="00776391">
            <w:r>
              <w:t>+-4,90%</w:t>
            </w:r>
          </w:p>
        </w:tc>
        <w:tc>
          <w:tcPr>
            <w:tcW w:w="900" w:type="dxa"/>
            <w:tcBorders>
              <w:bottom w:val="single" w:sz="12" w:space="0" w:color="auto"/>
              <w:right w:val="single" w:sz="12" w:space="0" w:color="auto"/>
            </w:tcBorders>
            <w:hideMark/>
          </w:tcPr>
          <w:p w14:paraId="04572587" w14:textId="77777777" w:rsidR="00063ACD" w:rsidRPr="00876A3E" w:rsidRDefault="00063ACD" w:rsidP="00776391">
            <w:r>
              <w:t>79,00%</w:t>
            </w:r>
          </w:p>
        </w:tc>
      </w:tr>
    </w:tbl>
    <w:p w14:paraId="32C0C7A5" w14:textId="717273C6" w:rsidR="00063ACD" w:rsidRDefault="00774EEB" w:rsidP="00774EEB">
      <w:pPr>
        <w:pStyle w:val="ListParagraph"/>
        <w:spacing w:line="276" w:lineRule="auto"/>
      </w:pPr>
      <w:r>
        <w:t>*Novo Ano Base</w:t>
      </w:r>
    </w:p>
    <w:p w14:paraId="28B7D93D" w14:textId="77777777" w:rsidR="00063ACD" w:rsidRPr="009F3900" w:rsidRDefault="00063ACD" w:rsidP="009F3900">
      <w:pPr>
        <w:spacing w:after="0" w:line="276" w:lineRule="auto"/>
        <w:rPr>
          <w:rFonts w:ascii="Segoe UI" w:hAnsi="Segoe UI" w:cs="Segoe UI"/>
          <w:b/>
          <w:bCs/>
          <w:color w:val="2E74B5" w:themeColor="accent5" w:themeShade="BF"/>
          <w:sz w:val="26"/>
          <w:szCs w:val="26"/>
        </w:rPr>
      </w:pPr>
      <w:r>
        <w:rPr>
          <w:rFonts w:ascii="Segoe UI" w:hAnsi="Segoe UI"/>
          <w:b/>
          <w:color w:val="2E74B5" w:themeColor="accent5" w:themeShade="BF"/>
          <w:sz w:val="26"/>
        </w:rPr>
        <w:t>Representatividade do Indicador 14</w:t>
      </w:r>
    </w:p>
    <w:p w14:paraId="3015B9E6" w14:textId="0588C4DF" w:rsidR="00063ACD" w:rsidRPr="00540863" w:rsidRDefault="00063ACD" w:rsidP="00063ACD">
      <w:pPr>
        <w:spacing w:line="276" w:lineRule="auto"/>
        <w:rPr>
          <w:rFonts w:ascii="Calibri" w:eastAsia="Cambria" w:hAnsi="Calibri" w:cs="Calibri"/>
          <w:color w:val="000000"/>
          <w:sz w:val="24"/>
          <w:szCs w:val="24"/>
        </w:rPr>
      </w:pPr>
      <w:r>
        <w:rPr>
          <w:rFonts w:ascii="Calibri" w:hAnsi="Calibri"/>
          <w:color w:val="000000"/>
          <w:sz w:val="24"/>
        </w:rPr>
        <w:t>O segundo indicador da qualidade dos dados da pesquisa é a representação.</w:t>
      </w:r>
      <w:r>
        <w:rPr>
          <w:rFonts w:ascii="Calibri" w:hAnsi="Calibri"/>
          <w:b/>
          <w:i/>
          <w:color w:val="000000"/>
          <w:sz w:val="24"/>
        </w:rPr>
        <w:t xml:space="preserve"> </w:t>
      </w:r>
      <w:r>
        <w:rPr>
          <w:rFonts w:ascii="Calibri" w:hAnsi="Calibri"/>
          <w:color w:val="000000"/>
          <w:sz w:val="24"/>
        </w:rPr>
        <w:t xml:space="preserve">A </w:t>
      </w:r>
      <w:r>
        <w:rPr>
          <w:rFonts w:ascii="Calibri" w:hAnsi="Calibri"/>
          <w:i/>
          <w:color w:val="000000"/>
          <w:sz w:val="24"/>
        </w:rPr>
        <w:t>Calculadora de Resposta NPSO/NTACT</w:t>
      </w:r>
      <w:r>
        <w:rPr>
          <w:rFonts w:ascii="Calibri" w:hAnsi="Calibri"/>
          <w:color w:val="000000"/>
          <w:sz w:val="24"/>
        </w:rPr>
        <w:t xml:space="preserve"> é utilizada para calcular a representatividade do grupo de respondentes nas características de: (a) tipo de deficiência, (b) etnia, (c) gênero e (d) status de saída (por exemplo, abandono) para descobrir se os jovens que responderam às entrevistas eram semelhantes ou diferentes da população total de jovens com um PEI que saíram da escola em 2019-20. De acordo com </w:t>
      </w:r>
      <w:r>
        <w:rPr>
          <w:rFonts w:ascii="Calibri" w:hAnsi="Calibri"/>
          <w:i/>
          <w:color w:val="000000"/>
          <w:sz w:val="24"/>
        </w:rPr>
        <w:t>Calculadora de Resposta NPSO/NTACT</w:t>
      </w:r>
      <w:r>
        <w:rPr>
          <w:rFonts w:ascii="Calibri" w:hAnsi="Calibri"/>
          <w:color w:val="000000"/>
          <w:sz w:val="24"/>
        </w:rPr>
        <w:t xml:space="preserve">, as diferenças de mais de ±3% entre o Grupo de Respondentes e o </w:t>
      </w:r>
      <w:r w:rsidR="00FE388B" w:rsidRPr="00FE388B">
        <w:rPr>
          <w:rFonts w:ascii="Calibri" w:hAnsi="Calibri"/>
          <w:color w:val="000000"/>
          <w:sz w:val="24"/>
        </w:rPr>
        <w:t>Grupo de Jovens que Saíram da Escola</w:t>
      </w:r>
      <w:r w:rsidR="00FE388B">
        <w:rPr>
          <w:rFonts w:ascii="Calibri" w:hAnsi="Calibri"/>
          <w:color w:val="000000"/>
          <w:sz w:val="24"/>
        </w:rPr>
        <w:t xml:space="preserve"> </w:t>
      </w:r>
      <w:r>
        <w:rPr>
          <w:rFonts w:ascii="Calibri" w:hAnsi="Calibri"/>
          <w:color w:val="000000"/>
          <w:sz w:val="24"/>
        </w:rPr>
        <w:t xml:space="preserve">são importantes, pois isso pode </w:t>
      </w:r>
      <w:r w:rsidR="009166BB">
        <w:rPr>
          <w:rFonts w:ascii="Calibri" w:hAnsi="Calibri"/>
          <w:color w:val="000000"/>
          <w:sz w:val="24"/>
        </w:rPr>
        <w:t>distorcer</w:t>
      </w:r>
      <w:r>
        <w:rPr>
          <w:rFonts w:ascii="Calibri" w:hAnsi="Calibri"/>
          <w:color w:val="000000"/>
          <w:sz w:val="24"/>
        </w:rPr>
        <w:t xml:space="preserve"> o engajamento. Diferenças negativas indicam </w:t>
      </w:r>
      <w:proofErr w:type="spellStart"/>
      <w:r>
        <w:rPr>
          <w:rFonts w:ascii="Calibri" w:hAnsi="Calibri"/>
          <w:color w:val="000000"/>
          <w:sz w:val="24"/>
        </w:rPr>
        <w:t>sub-representatividade</w:t>
      </w:r>
      <w:proofErr w:type="spellEnd"/>
      <w:r>
        <w:rPr>
          <w:rFonts w:ascii="Calibri" w:hAnsi="Calibri"/>
          <w:color w:val="000000"/>
          <w:sz w:val="24"/>
        </w:rPr>
        <w:t xml:space="preserve"> do grupo e diferenças positivas indicam </w:t>
      </w:r>
      <w:proofErr w:type="spellStart"/>
      <w:r>
        <w:rPr>
          <w:rFonts w:ascii="Calibri" w:hAnsi="Calibri"/>
          <w:color w:val="000000"/>
          <w:sz w:val="24"/>
        </w:rPr>
        <w:t>sobrerrepresentatividade</w:t>
      </w:r>
      <w:proofErr w:type="spellEnd"/>
      <w:r>
        <w:rPr>
          <w:rFonts w:ascii="Calibri" w:hAnsi="Calibri"/>
          <w:color w:val="000000"/>
          <w:sz w:val="24"/>
        </w:rPr>
        <w:t xml:space="preserve">. Na Calculadora de </w:t>
      </w:r>
      <w:r w:rsidR="00A77459">
        <w:rPr>
          <w:rFonts w:ascii="Calibri" w:hAnsi="Calibri"/>
          <w:color w:val="000000"/>
          <w:sz w:val="24"/>
        </w:rPr>
        <w:t>Resposta</w:t>
      </w:r>
      <w:r>
        <w:rPr>
          <w:rFonts w:ascii="Calibri" w:hAnsi="Calibri"/>
          <w:color w:val="000000"/>
          <w:sz w:val="24"/>
        </w:rPr>
        <w:t>,</w:t>
      </w:r>
      <w:r w:rsidR="00CA13F8">
        <w:rPr>
          <w:rFonts w:ascii="Calibri" w:hAnsi="Calibri"/>
          <w:color w:val="000000"/>
          <w:sz w:val="24"/>
        </w:rPr>
        <w:t xml:space="preserve"> o</w:t>
      </w:r>
      <w:r>
        <w:rPr>
          <w:rFonts w:ascii="Calibri" w:hAnsi="Calibri"/>
          <w:color w:val="000000"/>
          <w:sz w:val="24"/>
        </w:rPr>
        <w:t xml:space="preserve"> </w:t>
      </w:r>
      <w:r>
        <w:rPr>
          <w:rFonts w:ascii="Calibri" w:hAnsi="Calibri"/>
          <w:b/>
          <w:sz w:val="24"/>
        </w:rPr>
        <w:t>negrito</w:t>
      </w:r>
      <w:r>
        <w:rPr>
          <w:rFonts w:ascii="Calibri" w:hAnsi="Calibri"/>
          <w:sz w:val="24"/>
        </w:rPr>
        <w:t xml:space="preserve"> </w:t>
      </w:r>
      <w:r>
        <w:rPr>
          <w:rFonts w:ascii="Calibri" w:hAnsi="Calibri"/>
          <w:color w:val="000000"/>
          <w:sz w:val="24"/>
        </w:rPr>
        <w:t xml:space="preserve">é usado para indicar uma diferença que excede um intervalo de ±3%. </w:t>
      </w:r>
    </w:p>
    <w:p w14:paraId="4C8983FF" w14:textId="77777777" w:rsidR="00063ACD" w:rsidRPr="00540863" w:rsidRDefault="00063ACD" w:rsidP="00063ACD">
      <w:pPr>
        <w:pStyle w:val="ListParagraph"/>
        <w:numPr>
          <w:ilvl w:val="0"/>
          <w:numId w:val="11"/>
        </w:numPr>
        <w:spacing w:line="276" w:lineRule="auto"/>
        <w:rPr>
          <w:rFonts w:ascii="Calibri" w:hAnsi="Calibri" w:cs="Calibri"/>
          <w:sz w:val="24"/>
          <w:szCs w:val="24"/>
        </w:rPr>
      </w:pPr>
      <w:r>
        <w:rPr>
          <w:rFonts w:ascii="Calibri" w:hAnsi="Calibri"/>
          <w:b/>
          <w:sz w:val="24"/>
          <w:u w:val="single"/>
        </w:rPr>
        <w:lastRenderedPageBreak/>
        <w:t>Respondentes</w:t>
      </w:r>
      <w:r>
        <w:rPr>
          <w:rFonts w:ascii="Calibri" w:hAnsi="Calibri"/>
          <w:b/>
          <w:i/>
          <w:sz w:val="24"/>
          <w:u w:val="single"/>
        </w:rPr>
        <w:t>:</w:t>
      </w:r>
      <w:r>
        <w:rPr>
          <w:rFonts w:ascii="Calibri" w:hAnsi="Calibri"/>
          <w:sz w:val="24"/>
        </w:rPr>
        <w:t xml:space="preserve"> Jovens ou seus familiares designados que respondem às perguntas da pesquisa ou entrevista.</w:t>
      </w:r>
    </w:p>
    <w:p w14:paraId="5299A680" w14:textId="01A15B2A" w:rsidR="00063ACD" w:rsidRDefault="007D3679" w:rsidP="00063ACD">
      <w:pPr>
        <w:pStyle w:val="ListParagraph"/>
        <w:numPr>
          <w:ilvl w:val="0"/>
          <w:numId w:val="11"/>
        </w:numPr>
        <w:spacing w:line="276" w:lineRule="auto"/>
        <w:rPr>
          <w:rFonts w:ascii="Calibri" w:hAnsi="Calibri" w:cs="Calibri"/>
          <w:sz w:val="24"/>
          <w:szCs w:val="24"/>
        </w:rPr>
      </w:pPr>
      <w:r w:rsidRPr="007D3679">
        <w:rPr>
          <w:rFonts w:ascii="Calibri" w:hAnsi="Calibri"/>
          <w:b/>
          <w:sz w:val="24"/>
          <w:u w:val="single"/>
        </w:rPr>
        <w:t>Jovens que saíram da escola</w:t>
      </w:r>
      <w:r w:rsidR="00063ACD">
        <w:rPr>
          <w:rFonts w:ascii="Calibri" w:hAnsi="Calibri"/>
          <w:b/>
          <w:sz w:val="24"/>
          <w:u w:val="single"/>
        </w:rPr>
        <w:t>:</w:t>
      </w:r>
      <w:r w:rsidR="00063ACD">
        <w:rPr>
          <w:rFonts w:ascii="Calibri" w:hAnsi="Calibri"/>
          <w:sz w:val="24"/>
        </w:rPr>
        <w:t xml:space="preserve"> Jovens que saíram da escola ao terem se formado com um diploma regular ou modificado, ultrapassado a idade permitida, abandonado a escola precocemente (ou seja, desistido) ou que deveriam voltar para a escola, mas não voltaram.</w:t>
      </w:r>
    </w:p>
    <w:tbl>
      <w:tblPr>
        <w:tblStyle w:val="TableGrid"/>
        <w:tblW w:w="0" w:type="auto"/>
        <w:tblLook w:val="04A0" w:firstRow="1" w:lastRow="0" w:firstColumn="1" w:lastColumn="0" w:noHBand="0" w:noVBand="1"/>
      </w:tblPr>
      <w:tblGrid>
        <w:gridCol w:w="3685"/>
        <w:gridCol w:w="1170"/>
        <w:gridCol w:w="1080"/>
        <w:gridCol w:w="1080"/>
        <w:gridCol w:w="1170"/>
        <w:gridCol w:w="1165"/>
      </w:tblGrid>
      <w:tr w:rsidR="00E87E48" w14:paraId="1C3263ED" w14:textId="77777777" w:rsidTr="00776391">
        <w:tc>
          <w:tcPr>
            <w:tcW w:w="9350" w:type="dxa"/>
            <w:gridSpan w:val="6"/>
          </w:tcPr>
          <w:p w14:paraId="0EEFAFA7" w14:textId="140B6FA0" w:rsidR="00E87E48" w:rsidRPr="00E87E48" w:rsidRDefault="00E87E48" w:rsidP="000C178C">
            <w:pPr>
              <w:spacing w:line="276" w:lineRule="auto"/>
              <w:rPr>
                <w:rFonts w:ascii="Calibri" w:hAnsi="Calibri" w:cs="Calibri"/>
                <w:b/>
                <w:bCs/>
                <w:sz w:val="24"/>
                <w:szCs w:val="24"/>
              </w:rPr>
            </w:pPr>
            <w:r>
              <w:rPr>
                <w:rFonts w:ascii="Calibri" w:hAnsi="Calibri"/>
                <w:b/>
                <w:sz w:val="24"/>
              </w:rPr>
              <w:t>Representatividade Estadual por Porcentagem (1 de 2)</w:t>
            </w:r>
          </w:p>
        </w:tc>
      </w:tr>
      <w:tr w:rsidR="00F95086" w14:paraId="40458ED3" w14:textId="77777777" w:rsidTr="005D3C7A">
        <w:tc>
          <w:tcPr>
            <w:tcW w:w="3685" w:type="dxa"/>
          </w:tcPr>
          <w:p w14:paraId="54302ECC" w14:textId="693CBA08" w:rsidR="00F95086" w:rsidRPr="00955CA3" w:rsidRDefault="00E87E48" w:rsidP="005D3C7A">
            <w:pPr>
              <w:spacing w:line="276" w:lineRule="auto"/>
              <w:jc w:val="right"/>
              <w:rPr>
                <w:rFonts w:ascii="Calibri" w:hAnsi="Calibri" w:cs="Calibri"/>
                <w:b/>
                <w:bCs/>
                <w:sz w:val="24"/>
                <w:szCs w:val="24"/>
              </w:rPr>
            </w:pPr>
            <w:r>
              <w:rPr>
                <w:rFonts w:ascii="Calibri" w:hAnsi="Calibri"/>
                <w:b/>
                <w:sz w:val="24"/>
              </w:rPr>
              <w:t>Categorias de deficiência</w:t>
            </w:r>
          </w:p>
        </w:tc>
        <w:tc>
          <w:tcPr>
            <w:tcW w:w="1170" w:type="dxa"/>
            <w:vAlign w:val="bottom"/>
          </w:tcPr>
          <w:p w14:paraId="57802EAF" w14:textId="20E5A7C6" w:rsidR="00F95086" w:rsidRPr="00955CA3" w:rsidRDefault="00E87E48" w:rsidP="005D3C7A">
            <w:pPr>
              <w:spacing w:line="276" w:lineRule="auto"/>
              <w:jc w:val="center"/>
              <w:rPr>
                <w:rFonts w:ascii="Calibri" w:hAnsi="Calibri" w:cs="Calibri"/>
                <w:b/>
                <w:bCs/>
                <w:sz w:val="24"/>
                <w:szCs w:val="24"/>
              </w:rPr>
            </w:pPr>
            <w:r>
              <w:rPr>
                <w:rFonts w:ascii="Calibri" w:hAnsi="Calibri"/>
                <w:b/>
                <w:sz w:val="24"/>
              </w:rPr>
              <w:t>Geral</w:t>
            </w:r>
          </w:p>
        </w:tc>
        <w:tc>
          <w:tcPr>
            <w:tcW w:w="1080" w:type="dxa"/>
            <w:vAlign w:val="bottom"/>
          </w:tcPr>
          <w:p w14:paraId="6B8BE2F6" w14:textId="0555509B" w:rsidR="00F95086" w:rsidRPr="00955CA3" w:rsidRDefault="00E87E48" w:rsidP="005D3C7A">
            <w:pPr>
              <w:spacing w:line="276" w:lineRule="auto"/>
              <w:jc w:val="center"/>
              <w:rPr>
                <w:rFonts w:ascii="Calibri" w:hAnsi="Calibri" w:cs="Calibri"/>
                <w:b/>
                <w:bCs/>
                <w:sz w:val="24"/>
                <w:szCs w:val="24"/>
              </w:rPr>
            </w:pPr>
            <w:r>
              <w:rPr>
                <w:rFonts w:ascii="Calibri" w:hAnsi="Calibri"/>
                <w:b/>
                <w:sz w:val="24"/>
              </w:rPr>
              <w:t>SLD</w:t>
            </w:r>
          </w:p>
        </w:tc>
        <w:tc>
          <w:tcPr>
            <w:tcW w:w="1080" w:type="dxa"/>
            <w:vAlign w:val="bottom"/>
          </w:tcPr>
          <w:p w14:paraId="708EED14" w14:textId="25B19961" w:rsidR="00F95086" w:rsidRPr="00955CA3" w:rsidRDefault="00E87E48" w:rsidP="005D3C7A">
            <w:pPr>
              <w:spacing w:line="276" w:lineRule="auto"/>
              <w:jc w:val="center"/>
              <w:rPr>
                <w:rFonts w:ascii="Calibri" w:hAnsi="Calibri" w:cs="Calibri"/>
                <w:b/>
                <w:bCs/>
                <w:sz w:val="24"/>
                <w:szCs w:val="24"/>
              </w:rPr>
            </w:pPr>
            <w:r>
              <w:rPr>
                <w:rFonts w:ascii="Calibri" w:hAnsi="Calibri"/>
                <w:b/>
                <w:sz w:val="24"/>
              </w:rPr>
              <w:t>ED</w:t>
            </w:r>
          </w:p>
        </w:tc>
        <w:tc>
          <w:tcPr>
            <w:tcW w:w="1170" w:type="dxa"/>
            <w:vAlign w:val="bottom"/>
          </w:tcPr>
          <w:p w14:paraId="3629FFE4" w14:textId="5E1E76D9" w:rsidR="00F95086" w:rsidRPr="00955CA3" w:rsidRDefault="00E87E48" w:rsidP="005D3C7A">
            <w:pPr>
              <w:spacing w:line="276" w:lineRule="auto"/>
              <w:jc w:val="center"/>
              <w:rPr>
                <w:rFonts w:ascii="Calibri" w:hAnsi="Calibri" w:cs="Calibri"/>
                <w:b/>
                <w:bCs/>
                <w:sz w:val="24"/>
                <w:szCs w:val="24"/>
              </w:rPr>
            </w:pPr>
            <w:r>
              <w:rPr>
                <w:rFonts w:ascii="Calibri" w:hAnsi="Calibri"/>
                <w:b/>
                <w:sz w:val="24"/>
              </w:rPr>
              <w:t>ID</w:t>
            </w:r>
          </w:p>
        </w:tc>
        <w:tc>
          <w:tcPr>
            <w:tcW w:w="1165" w:type="dxa"/>
            <w:vAlign w:val="bottom"/>
          </w:tcPr>
          <w:p w14:paraId="044AAFC3" w14:textId="7258B0F0" w:rsidR="00F95086" w:rsidRPr="00955CA3" w:rsidRDefault="00E87E48" w:rsidP="005D3C7A">
            <w:pPr>
              <w:spacing w:line="276" w:lineRule="auto"/>
              <w:jc w:val="center"/>
              <w:rPr>
                <w:rFonts w:ascii="Calibri" w:hAnsi="Calibri" w:cs="Calibri"/>
                <w:b/>
                <w:bCs/>
                <w:sz w:val="24"/>
                <w:szCs w:val="24"/>
              </w:rPr>
            </w:pPr>
            <w:r>
              <w:rPr>
                <w:rFonts w:ascii="Calibri" w:hAnsi="Calibri"/>
                <w:b/>
                <w:sz w:val="24"/>
              </w:rPr>
              <w:t>Todas as outras</w:t>
            </w:r>
          </w:p>
        </w:tc>
      </w:tr>
      <w:tr w:rsidR="00F95086" w14:paraId="651A7121" w14:textId="77777777" w:rsidTr="005D3C7A">
        <w:tc>
          <w:tcPr>
            <w:tcW w:w="3685" w:type="dxa"/>
          </w:tcPr>
          <w:p w14:paraId="47851D54" w14:textId="6FFED419" w:rsidR="00F95086" w:rsidRPr="00ED17C7" w:rsidRDefault="00E87E48" w:rsidP="00ED17C7">
            <w:pPr>
              <w:spacing w:line="276" w:lineRule="auto"/>
              <w:ind w:left="-262"/>
              <w:jc w:val="right"/>
              <w:rPr>
                <w:rFonts w:ascii="Calibri" w:hAnsi="Calibri" w:cs="Calibri"/>
                <w:b/>
                <w:bCs/>
                <w:sz w:val="23"/>
                <w:szCs w:val="23"/>
              </w:rPr>
            </w:pPr>
            <w:r w:rsidRPr="00D45ACC">
              <w:rPr>
                <w:rFonts w:ascii="Calibri" w:hAnsi="Calibri"/>
                <w:b/>
                <w:sz w:val="24"/>
                <w:szCs w:val="24"/>
              </w:rPr>
              <w:t xml:space="preserve">Totais de </w:t>
            </w:r>
            <w:r w:rsidR="00ED17C7" w:rsidRPr="00D45ACC">
              <w:rPr>
                <w:rFonts w:ascii="Calibri" w:hAnsi="Calibri"/>
                <w:b/>
                <w:sz w:val="24"/>
                <w:szCs w:val="24"/>
              </w:rPr>
              <w:t>jovens que saíram da escola</w:t>
            </w:r>
          </w:p>
        </w:tc>
        <w:tc>
          <w:tcPr>
            <w:tcW w:w="1170" w:type="dxa"/>
          </w:tcPr>
          <w:p w14:paraId="58C2EFD6" w14:textId="09CED3AE" w:rsidR="00F95086" w:rsidRDefault="00E87E48" w:rsidP="001A73CE">
            <w:pPr>
              <w:spacing w:line="276" w:lineRule="auto"/>
              <w:jc w:val="center"/>
              <w:rPr>
                <w:rFonts w:ascii="Calibri" w:hAnsi="Calibri" w:cs="Calibri"/>
                <w:sz w:val="24"/>
                <w:szCs w:val="24"/>
              </w:rPr>
            </w:pPr>
            <w:r>
              <w:rPr>
                <w:rFonts w:ascii="Calibri" w:hAnsi="Calibri"/>
                <w:sz w:val="24"/>
              </w:rPr>
              <w:t>2.816</w:t>
            </w:r>
          </w:p>
        </w:tc>
        <w:tc>
          <w:tcPr>
            <w:tcW w:w="1080" w:type="dxa"/>
          </w:tcPr>
          <w:p w14:paraId="4977DA28" w14:textId="5AB1122D" w:rsidR="00F95086" w:rsidRDefault="00E87E48" w:rsidP="001A73CE">
            <w:pPr>
              <w:spacing w:line="276" w:lineRule="auto"/>
              <w:jc w:val="center"/>
              <w:rPr>
                <w:rFonts w:ascii="Calibri" w:hAnsi="Calibri" w:cs="Calibri"/>
                <w:sz w:val="24"/>
                <w:szCs w:val="24"/>
              </w:rPr>
            </w:pPr>
            <w:r>
              <w:rPr>
                <w:rFonts w:ascii="Calibri" w:hAnsi="Calibri"/>
                <w:sz w:val="24"/>
              </w:rPr>
              <w:t>786</w:t>
            </w:r>
          </w:p>
        </w:tc>
        <w:tc>
          <w:tcPr>
            <w:tcW w:w="1080" w:type="dxa"/>
          </w:tcPr>
          <w:p w14:paraId="15F8FC36" w14:textId="7CA99A58" w:rsidR="00F95086" w:rsidRDefault="00E87E48" w:rsidP="001A73CE">
            <w:pPr>
              <w:spacing w:line="276" w:lineRule="auto"/>
              <w:jc w:val="center"/>
              <w:rPr>
                <w:rFonts w:ascii="Calibri" w:hAnsi="Calibri" w:cs="Calibri"/>
                <w:sz w:val="24"/>
                <w:szCs w:val="24"/>
              </w:rPr>
            </w:pPr>
            <w:r>
              <w:rPr>
                <w:rFonts w:ascii="Calibri" w:hAnsi="Calibri"/>
                <w:sz w:val="24"/>
              </w:rPr>
              <w:t>564</w:t>
            </w:r>
          </w:p>
        </w:tc>
        <w:tc>
          <w:tcPr>
            <w:tcW w:w="1170" w:type="dxa"/>
          </w:tcPr>
          <w:p w14:paraId="0BF068A1" w14:textId="4AC19505" w:rsidR="00F95086" w:rsidRDefault="00E87E48" w:rsidP="001A73CE">
            <w:pPr>
              <w:spacing w:line="276" w:lineRule="auto"/>
              <w:jc w:val="center"/>
              <w:rPr>
                <w:rFonts w:ascii="Calibri" w:hAnsi="Calibri" w:cs="Calibri"/>
                <w:sz w:val="24"/>
                <w:szCs w:val="24"/>
              </w:rPr>
            </w:pPr>
            <w:r>
              <w:rPr>
                <w:rFonts w:ascii="Calibri" w:hAnsi="Calibri"/>
                <w:sz w:val="24"/>
              </w:rPr>
              <w:t>160</w:t>
            </w:r>
          </w:p>
        </w:tc>
        <w:tc>
          <w:tcPr>
            <w:tcW w:w="1165" w:type="dxa"/>
          </w:tcPr>
          <w:p w14:paraId="20EAA721" w14:textId="0AF15471" w:rsidR="00F95086" w:rsidRDefault="00E87E48" w:rsidP="001A73CE">
            <w:pPr>
              <w:spacing w:line="276" w:lineRule="auto"/>
              <w:jc w:val="center"/>
              <w:rPr>
                <w:rFonts w:ascii="Calibri" w:hAnsi="Calibri" w:cs="Calibri"/>
                <w:sz w:val="24"/>
                <w:szCs w:val="24"/>
              </w:rPr>
            </w:pPr>
            <w:r>
              <w:rPr>
                <w:rFonts w:ascii="Calibri" w:hAnsi="Calibri"/>
                <w:sz w:val="24"/>
              </w:rPr>
              <w:t>1.306</w:t>
            </w:r>
          </w:p>
        </w:tc>
      </w:tr>
      <w:tr w:rsidR="00F95086" w14:paraId="6525C274" w14:textId="77777777" w:rsidTr="005D3C7A">
        <w:tc>
          <w:tcPr>
            <w:tcW w:w="3685" w:type="dxa"/>
          </w:tcPr>
          <w:p w14:paraId="4272FE84" w14:textId="6D6BB000" w:rsidR="00F95086" w:rsidRPr="00955CA3" w:rsidRDefault="00E87E48" w:rsidP="005D3C7A">
            <w:pPr>
              <w:spacing w:line="276" w:lineRule="auto"/>
              <w:jc w:val="right"/>
              <w:rPr>
                <w:rFonts w:ascii="Calibri" w:hAnsi="Calibri" w:cs="Calibri"/>
                <w:b/>
                <w:bCs/>
                <w:sz w:val="24"/>
                <w:szCs w:val="24"/>
              </w:rPr>
            </w:pPr>
            <w:r>
              <w:rPr>
                <w:rFonts w:ascii="Calibri" w:hAnsi="Calibri"/>
                <w:b/>
                <w:sz w:val="24"/>
              </w:rPr>
              <w:t>Total de respostas</w:t>
            </w:r>
          </w:p>
        </w:tc>
        <w:tc>
          <w:tcPr>
            <w:tcW w:w="1170" w:type="dxa"/>
          </w:tcPr>
          <w:p w14:paraId="509AEDA3" w14:textId="5E9B67FE" w:rsidR="00F95086" w:rsidRDefault="00E87E48" w:rsidP="001A73CE">
            <w:pPr>
              <w:spacing w:line="276" w:lineRule="auto"/>
              <w:jc w:val="center"/>
              <w:rPr>
                <w:rFonts w:ascii="Calibri" w:hAnsi="Calibri" w:cs="Calibri"/>
                <w:sz w:val="24"/>
                <w:szCs w:val="24"/>
              </w:rPr>
            </w:pPr>
            <w:r>
              <w:rPr>
                <w:rFonts w:ascii="Calibri" w:hAnsi="Calibri"/>
                <w:sz w:val="24"/>
              </w:rPr>
              <w:t>1.060</w:t>
            </w:r>
          </w:p>
        </w:tc>
        <w:tc>
          <w:tcPr>
            <w:tcW w:w="1080" w:type="dxa"/>
          </w:tcPr>
          <w:p w14:paraId="629B5E54" w14:textId="4830177C" w:rsidR="00F95086" w:rsidRDefault="00E87E48" w:rsidP="001A73CE">
            <w:pPr>
              <w:spacing w:line="276" w:lineRule="auto"/>
              <w:jc w:val="center"/>
              <w:rPr>
                <w:rFonts w:ascii="Calibri" w:hAnsi="Calibri" w:cs="Calibri"/>
                <w:sz w:val="24"/>
                <w:szCs w:val="24"/>
              </w:rPr>
            </w:pPr>
            <w:r>
              <w:rPr>
                <w:rFonts w:ascii="Calibri" w:hAnsi="Calibri"/>
                <w:sz w:val="24"/>
              </w:rPr>
              <w:t>293</w:t>
            </w:r>
          </w:p>
        </w:tc>
        <w:tc>
          <w:tcPr>
            <w:tcW w:w="1080" w:type="dxa"/>
          </w:tcPr>
          <w:p w14:paraId="7D7EADBB" w14:textId="102BEE2B" w:rsidR="00F95086" w:rsidRDefault="00E87E48" w:rsidP="001A73CE">
            <w:pPr>
              <w:spacing w:line="276" w:lineRule="auto"/>
              <w:jc w:val="center"/>
              <w:rPr>
                <w:rFonts w:ascii="Calibri" w:hAnsi="Calibri" w:cs="Calibri"/>
                <w:sz w:val="24"/>
                <w:szCs w:val="24"/>
              </w:rPr>
            </w:pPr>
            <w:r>
              <w:rPr>
                <w:rFonts w:ascii="Calibri" w:hAnsi="Calibri"/>
                <w:sz w:val="24"/>
              </w:rPr>
              <w:t>187</w:t>
            </w:r>
          </w:p>
        </w:tc>
        <w:tc>
          <w:tcPr>
            <w:tcW w:w="1170" w:type="dxa"/>
          </w:tcPr>
          <w:p w14:paraId="7FDBCA61" w14:textId="7A862D76" w:rsidR="00F95086" w:rsidRDefault="00E87E48" w:rsidP="001A73CE">
            <w:pPr>
              <w:spacing w:line="276" w:lineRule="auto"/>
              <w:jc w:val="center"/>
              <w:rPr>
                <w:rFonts w:ascii="Calibri" w:hAnsi="Calibri" w:cs="Calibri"/>
                <w:sz w:val="24"/>
                <w:szCs w:val="24"/>
              </w:rPr>
            </w:pPr>
            <w:r>
              <w:rPr>
                <w:rFonts w:ascii="Calibri" w:hAnsi="Calibri"/>
                <w:sz w:val="24"/>
              </w:rPr>
              <w:t>67</w:t>
            </w:r>
          </w:p>
        </w:tc>
        <w:tc>
          <w:tcPr>
            <w:tcW w:w="1165" w:type="dxa"/>
          </w:tcPr>
          <w:p w14:paraId="2DEFD75C" w14:textId="39879709" w:rsidR="00F95086" w:rsidRDefault="00E87E48" w:rsidP="001A73CE">
            <w:pPr>
              <w:spacing w:line="276" w:lineRule="auto"/>
              <w:jc w:val="center"/>
              <w:rPr>
                <w:rFonts w:ascii="Calibri" w:hAnsi="Calibri" w:cs="Calibri"/>
                <w:sz w:val="24"/>
                <w:szCs w:val="24"/>
              </w:rPr>
            </w:pPr>
            <w:r>
              <w:rPr>
                <w:rFonts w:ascii="Calibri" w:hAnsi="Calibri"/>
                <w:sz w:val="24"/>
              </w:rPr>
              <w:t>513</w:t>
            </w:r>
          </w:p>
        </w:tc>
      </w:tr>
      <w:tr w:rsidR="00F95086" w14:paraId="4F1D8BF9" w14:textId="77777777" w:rsidTr="005D3C7A">
        <w:trPr>
          <w:trHeight w:val="233"/>
        </w:trPr>
        <w:tc>
          <w:tcPr>
            <w:tcW w:w="3685" w:type="dxa"/>
          </w:tcPr>
          <w:p w14:paraId="74A1DAC4" w14:textId="77777777" w:rsidR="00F95086" w:rsidRPr="00955CA3" w:rsidRDefault="00F95086" w:rsidP="005D3C7A">
            <w:pPr>
              <w:spacing w:line="276" w:lineRule="auto"/>
              <w:jc w:val="right"/>
              <w:rPr>
                <w:rFonts w:ascii="Calibri" w:hAnsi="Calibri" w:cs="Calibri"/>
                <w:b/>
                <w:bCs/>
                <w:sz w:val="24"/>
                <w:szCs w:val="24"/>
              </w:rPr>
            </w:pPr>
          </w:p>
        </w:tc>
        <w:tc>
          <w:tcPr>
            <w:tcW w:w="1170" w:type="dxa"/>
          </w:tcPr>
          <w:p w14:paraId="0052905C" w14:textId="77777777" w:rsidR="00F95086" w:rsidRDefault="00F95086" w:rsidP="001A73CE">
            <w:pPr>
              <w:spacing w:line="276" w:lineRule="auto"/>
              <w:jc w:val="center"/>
              <w:rPr>
                <w:rFonts w:ascii="Calibri" w:hAnsi="Calibri" w:cs="Calibri"/>
                <w:sz w:val="24"/>
                <w:szCs w:val="24"/>
              </w:rPr>
            </w:pPr>
          </w:p>
        </w:tc>
        <w:tc>
          <w:tcPr>
            <w:tcW w:w="1080" w:type="dxa"/>
          </w:tcPr>
          <w:p w14:paraId="7A78D656" w14:textId="77777777" w:rsidR="00F95086" w:rsidRDefault="00F95086" w:rsidP="001A73CE">
            <w:pPr>
              <w:spacing w:line="276" w:lineRule="auto"/>
              <w:jc w:val="center"/>
              <w:rPr>
                <w:rFonts w:ascii="Calibri" w:hAnsi="Calibri" w:cs="Calibri"/>
                <w:sz w:val="24"/>
                <w:szCs w:val="24"/>
              </w:rPr>
            </w:pPr>
          </w:p>
        </w:tc>
        <w:tc>
          <w:tcPr>
            <w:tcW w:w="1080" w:type="dxa"/>
          </w:tcPr>
          <w:p w14:paraId="08C394F0" w14:textId="77777777" w:rsidR="00F95086" w:rsidRDefault="00F95086" w:rsidP="001A73CE">
            <w:pPr>
              <w:spacing w:line="276" w:lineRule="auto"/>
              <w:jc w:val="center"/>
              <w:rPr>
                <w:rFonts w:ascii="Calibri" w:hAnsi="Calibri" w:cs="Calibri"/>
                <w:sz w:val="24"/>
                <w:szCs w:val="24"/>
              </w:rPr>
            </w:pPr>
          </w:p>
        </w:tc>
        <w:tc>
          <w:tcPr>
            <w:tcW w:w="1170" w:type="dxa"/>
          </w:tcPr>
          <w:p w14:paraId="52356812" w14:textId="77777777" w:rsidR="00F95086" w:rsidRDefault="00F95086" w:rsidP="001A73CE">
            <w:pPr>
              <w:spacing w:line="276" w:lineRule="auto"/>
              <w:jc w:val="center"/>
              <w:rPr>
                <w:rFonts w:ascii="Calibri" w:hAnsi="Calibri" w:cs="Calibri"/>
                <w:sz w:val="24"/>
                <w:szCs w:val="24"/>
              </w:rPr>
            </w:pPr>
          </w:p>
        </w:tc>
        <w:tc>
          <w:tcPr>
            <w:tcW w:w="1165" w:type="dxa"/>
          </w:tcPr>
          <w:p w14:paraId="65E64CCF" w14:textId="77777777" w:rsidR="00F95086" w:rsidRDefault="00F95086" w:rsidP="001A73CE">
            <w:pPr>
              <w:spacing w:line="276" w:lineRule="auto"/>
              <w:jc w:val="center"/>
              <w:rPr>
                <w:rFonts w:ascii="Calibri" w:hAnsi="Calibri" w:cs="Calibri"/>
                <w:sz w:val="24"/>
                <w:szCs w:val="24"/>
              </w:rPr>
            </w:pPr>
          </w:p>
        </w:tc>
      </w:tr>
      <w:tr w:rsidR="00F95086" w14:paraId="532A03D9" w14:textId="77777777" w:rsidTr="005D3C7A">
        <w:tc>
          <w:tcPr>
            <w:tcW w:w="3685" w:type="dxa"/>
          </w:tcPr>
          <w:p w14:paraId="3B8FA314" w14:textId="3DAA960C" w:rsidR="00F95086" w:rsidRPr="00955CA3" w:rsidRDefault="00E87E48" w:rsidP="005D3C7A">
            <w:pPr>
              <w:spacing w:line="276" w:lineRule="auto"/>
              <w:jc w:val="right"/>
              <w:rPr>
                <w:rFonts w:ascii="Calibri" w:hAnsi="Calibri" w:cs="Calibri"/>
                <w:b/>
                <w:bCs/>
                <w:sz w:val="24"/>
                <w:szCs w:val="24"/>
              </w:rPr>
            </w:pPr>
            <w:r>
              <w:rPr>
                <w:rFonts w:ascii="Calibri" w:hAnsi="Calibri"/>
                <w:b/>
                <w:sz w:val="24"/>
              </w:rPr>
              <w:t xml:space="preserve">Representação de </w:t>
            </w:r>
            <w:r w:rsidR="00D45ACC" w:rsidRPr="00D45ACC">
              <w:rPr>
                <w:rFonts w:ascii="Calibri" w:hAnsi="Calibri"/>
                <w:b/>
                <w:sz w:val="24"/>
              </w:rPr>
              <w:t>jovens que saíram da escola</w:t>
            </w:r>
          </w:p>
        </w:tc>
        <w:tc>
          <w:tcPr>
            <w:tcW w:w="1170" w:type="dxa"/>
          </w:tcPr>
          <w:p w14:paraId="10700505" w14:textId="77777777" w:rsidR="00F95086" w:rsidRDefault="00F95086" w:rsidP="001A73CE">
            <w:pPr>
              <w:spacing w:line="276" w:lineRule="auto"/>
              <w:jc w:val="center"/>
              <w:rPr>
                <w:rFonts w:ascii="Calibri" w:hAnsi="Calibri" w:cs="Calibri"/>
                <w:sz w:val="24"/>
                <w:szCs w:val="24"/>
              </w:rPr>
            </w:pPr>
          </w:p>
        </w:tc>
        <w:tc>
          <w:tcPr>
            <w:tcW w:w="1080" w:type="dxa"/>
          </w:tcPr>
          <w:p w14:paraId="347D409F" w14:textId="73CA24E2" w:rsidR="00E87E48" w:rsidRDefault="00E87E48" w:rsidP="001A73CE">
            <w:pPr>
              <w:spacing w:line="276" w:lineRule="auto"/>
              <w:jc w:val="center"/>
              <w:rPr>
                <w:rFonts w:ascii="Calibri" w:hAnsi="Calibri" w:cs="Calibri"/>
                <w:sz w:val="24"/>
                <w:szCs w:val="24"/>
              </w:rPr>
            </w:pPr>
            <w:r>
              <w:rPr>
                <w:rFonts w:ascii="Calibri" w:hAnsi="Calibri"/>
                <w:sz w:val="24"/>
              </w:rPr>
              <w:t>27,91%</w:t>
            </w:r>
          </w:p>
        </w:tc>
        <w:tc>
          <w:tcPr>
            <w:tcW w:w="1080" w:type="dxa"/>
          </w:tcPr>
          <w:p w14:paraId="4424E941" w14:textId="317AD095" w:rsidR="00F95086" w:rsidRDefault="00E87E48" w:rsidP="001A73CE">
            <w:pPr>
              <w:spacing w:line="276" w:lineRule="auto"/>
              <w:jc w:val="center"/>
              <w:rPr>
                <w:rFonts w:ascii="Calibri" w:hAnsi="Calibri" w:cs="Calibri"/>
                <w:sz w:val="24"/>
                <w:szCs w:val="24"/>
              </w:rPr>
            </w:pPr>
            <w:r>
              <w:rPr>
                <w:rFonts w:ascii="Calibri" w:hAnsi="Calibri"/>
                <w:sz w:val="24"/>
              </w:rPr>
              <w:t>20,03%</w:t>
            </w:r>
          </w:p>
        </w:tc>
        <w:tc>
          <w:tcPr>
            <w:tcW w:w="1170" w:type="dxa"/>
          </w:tcPr>
          <w:p w14:paraId="5715461E" w14:textId="332A0D45" w:rsidR="00F95086" w:rsidRDefault="00E87E48" w:rsidP="001A73CE">
            <w:pPr>
              <w:spacing w:line="276" w:lineRule="auto"/>
              <w:jc w:val="center"/>
              <w:rPr>
                <w:rFonts w:ascii="Calibri" w:hAnsi="Calibri" w:cs="Calibri"/>
                <w:sz w:val="24"/>
                <w:szCs w:val="24"/>
              </w:rPr>
            </w:pPr>
            <w:r>
              <w:rPr>
                <w:rFonts w:ascii="Calibri" w:hAnsi="Calibri"/>
                <w:sz w:val="24"/>
              </w:rPr>
              <w:t>5,68%</w:t>
            </w:r>
          </w:p>
        </w:tc>
        <w:tc>
          <w:tcPr>
            <w:tcW w:w="1165" w:type="dxa"/>
          </w:tcPr>
          <w:p w14:paraId="662FCF21" w14:textId="60612924" w:rsidR="00F95086" w:rsidRDefault="00E87E48" w:rsidP="001A73CE">
            <w:pPr>
              <w:spacing w:line="276" w:lineRule="auto"/>
              <w:jc w:val="center"/>
              <w:rPr>
                <w:rFonts w:ascii="Calibri" w:hAnsi="Calibri" w:cs="Calibri"/>
                <w:sz w:val="24"/>
                <w:szCs w:val="24"/>
              </w:rPr>
            </w:pPr>
            <w:r>
              <w:rPr>
                <w:rFonts w:ascii="Calibri" w:hAnsi="Calibri"/>
                <w:sz w:val="24"/>
              </w:rPr>
              <w:t>46,38%</w:t>
            </w:r>
          </w:p>
        </w:tc>
      </w:tr>
      <w:tr w:rsidR="00F95086" w14:paraId="251FC2A5" w14:textId="77777777" w:rsidTr="005D3C7A">
        <w:tc>
          <w:tcPr>
            <w:tcW w:w="3685" w:type="dxa"/>
          </w:tcPr>
          <w:p w14:paraId="0DE27407" w14:textId="0B1584C4" w:rsidR="00F95086" w:rsidRPr="00955CA3" w:rsidRDefault="00E87E48" w:rsidP="005D3C7A">
            <w:pPr>
              <w:spacing w:line="276" w:lineRule="auto"/>
              <w:jc w:val="right"/>
              <w:rPr>
                <w:rFonts w:ascii="Calibri" w:hAnsi="Calibri" w:cs="Calibri"/>
                <w:b/>
                <w:bCs/>
                <w:sz w:val="24"/>
                <w:szCs w:val="24"/>
              </w:rPr>
            </w:pPr>
            <w:r>
              <w:rPr>
                <w:rFonts w:ascii="Calibri" w:hAnsi="Calibri"/>
                <w:b/>
                <w:sz w:val="24"/>
              </w:rPr>
              <w:t>Representação de respondentes</w:t>
            </w:r>
          </w:p>
        </w:tc>
        <w:tc>
          <w:tcPr>
            <w:tcW w:w="1170" w:type="dxa"/>
          </w:tcPr>
          <w:p w14:paraId="4389DC00" w14:textId="77777777" w:rsidR="00F95086" w:rsidRDefault="00F95086" w:rsidP="001A73CE">
            <w:pPr>
              <w:spacing w:line="276" w:lineRule="auto"/>
              <w:jc w:val="center"/>
              <w:rPr>
                <w:rFonts w:ascii="Calibri" w:hAnsi="Calibri" w:cs="Calibri"/>
                <w:sz w:val="24"/>
                <w:szCs w:val="24"/>
              </w:rPr>
            </w:pPr>
          </w:p>
        </w:tc>
        <w:tc>
          <w:tcPr>
            <w:tcW w:w="1080" w:type="dxa"/>
          </w:tcPr>
          <w:p w14:paraId="1AC9D354" w14:textId="64271FB5" w:rsidR="00F95086" w:rsidRDefault="00E87E48" w:rsidP="001A73CE">
            <w:pPr>
              <w:spacing w:line="276" w:lineRule="auto"/>
              <w:jc w:val="center"/>
              <w:rPr>
                <w:rFonts w:ascii="Calibri" w:hAnsi="Calibri" w:cs="Calibri"/>
                <w:sz w:val="24"/>
                <w:szCs w:val="24"/>
              </w:rPr>
            </w:pPr>
            <w:r>
              <w:rPr>
                <w:rFonts w:ascii="Calibri" w:hAnsi="Calibri"/>
                <w:sz w:val="24"/>
              </w:rPr>
              <w:t>27,64%</w:t>
            </w:r>
          </w:p>
        </w:tc>
        <w:tc>
          <w:tcPr>
            <w:tcW w:w="1080" w:type="dxa"/>
          </w:tcPr>
          <w:p w14:paraId="4BBD0380" w14:textId="02C9967A" w:rsidR="00F95086" w:rsidRDefault="00E87E48" w:rsidP="001A73CE">
            <w:pPr>
              <w:spacing w:line="276" w:lineRule="auto"/>
              <w:jc w:val="center"/>
              <w:rPr>
                <w:rFonts w:ascii="Calibri" w:hAnsi="Calibri" w:cs="Calibri"/>
                <w:sz w:val="24"/>
                <w:szCs w:val="24"/>
              </w:rPr>
            </w:pPr>
            <w:r>
              <w:rPr>
                <w:rFonts w:ascii="Calibri" w:hAnsi="Calibri"/>
                <w:sz w:val="24"/>
              </w:rPr>
              <w:t>17,64%</w:t>
            </w:r>
          </w:p>
        </w:tc>
        <w:tc>
          <w:tcPr>
            <w:tcW w:w="1170" w:type="dxa"/>
          </w:tcPr>
          <w:p w14:paraId="2D3C1201" w14:textId="4D8C2EDB" w:rsidR="00F95086" w:rsidRDefault="00E87E48" w:rsidP="001A73CE">
            <w:pPr>
              <w:spacing w:line="276" w:lineRule="auto"/>
              <w:jc w:val="center"/>
              <w:rPr>
                <w:rFonts w:ascii="Calibri" w:hAnsi="Calibri" w:cs="Calibri"/>
                <w:sz w:val="24"/>
                <w:szCs w:val="24"/>
              </w:rPr>
            </w:pPr>
            <w:r>
              <w:rPr>
                <w:rFonts w:ascii="Calibri" w:hAnsi="Calibri"/>
                <w:sz w:val="24"/>
              </w:rPr>
              <w:t>6,32%</w:t>
            </w:r>
          </w:p>
        </w:tc>
        <w:tc>
          <w:tcPr>
            <w:tcW w:w="1165" w:type="dxa"/>
          </w:tcPr>
          <w:p w14:paraId="748B754B" w14:textId="0A1F94F9" w:rsidR="00F95086" w:rsidRDefault="00E87E48" w:rsidP="001A73CE">
            <w:pPr>
              <w:spacing w:line="276" w:lineRule="auto"/>
              <w:jc w:val="center"/>
              <w:rPr>
                <w:rFonts w:ascii="Calibri" w:hAnsi="Calibri" w:cs="Calibri"/>
                <w:sz w:val="24"/>
                <w:szCs w:val="24"/>
              </w:rPr>
            </w:pPr>
            <w:r>
              <w:rPr>
                <w:rFonts w:ascii="Calibri" w:hAnsi="Calibri"/>
                <w:sz w:val="24"/>
              </w:rPr>
              <w:t>48,40%</w:t>
            </w:r>
          </w:p>
        </w:tc>
      </w:tr>
      <w:tr w:rsidR="00F95086" w14:paraId="3C55BD8F" w14:textId="77777777" w:rsidTr="005D3C7A">
        <w:tc>
          <w:tcPr>
            <w:tcW w:w="3685" w:type="dxa"/>
          </w:tcPr>
          <w:p w14:paraId="4E7B0C48" w14:textId="1908859B" w:rsidR="00F95086" w:rsidRPr="00955CA3" w:rsidRDefault="00E87E48" w:rsidP="005D3C7A">
            <w:pPr>
              <w:spacing w:line="276" w:lineRule="auto"/>
              <w:jc w:val="right"/>
              <w:rPr>
                <w:rFonts w:ascii="Calibri" w:hAnsi="Calibri" w:cs="Calibri"/>
                <w:b/>
                <w:bCs/>
                <w:sz w:val="24"/>
                <w:szCs w:val="24"/>
              </w:rPr>
            </w:pPr>
            <w:r>
              <w:rPr>
                <w:rFonts w:ascii="Calibri" w:hAnsi="Calibri"/>
                <w:b/>
                <w:sz w:val="24"/>
              </w:rPr>
              <w:t>Diferença</w:t>
            </w:r>
          </w:p>
        </w:tc>
        <w:tc>
          <w:tcPr>
            <w:tcW w:w="1170" w:type="dxa"/>
          </w:tcPr>
          <w:p w14:paraId="619305EA" w14:textId="77777777" w:rsidR="00F95086" w:rsidRDefault="00F95086" w:rsidP="001A73CE">
            <w:pPr>
              <w:spacing w:line="276" w:lineRule="auto"/>
              <w:jc w:val="center"/>
              <w:rPr>
                <w:rFonts w:ascii="Calibri" w:hAnsi="Calibri" w:cs="Calibri"/>
                <w:sz w:val="24"/>
                <w:szCs w:val="24"/>
              </w:rPr>
            </w:pPr>
          </w:p>
        </w:tc>
        <w:tc>
          <w:tcPr>
            <w:tcW w:w="1080" w:type="dxa"/>
          </w:tcPr>
          <w:p w14:paraId="6056C117" w14:textId="139F68C7" w:rsidR="00F95086" w:rsidRDefault="00E87E48" w:rsidP="001A73CE">
            <w:pPr>
              <w:spacing w:line="276" w:lineRule="auto"/>
              <w:jc w:val="center"/>
              <w:rPr>
                <w:rFonts w:ascii="Calibri" w:hAnsi="Calibri" w:cs="Calibri"/>
                <w:sz w:val="24"/>
                <w:szCs w:val="24"/>
              </w:rPr>
            </w:pPr>
            <w:r>
              <w:rPr>
                <w:rFonts w:ascii="Calibri" w:hAnsi="Calibri"/>
                <w:sz w:val="24"/>
              </w:rPr>
              <w:t>-0,27%</w:t>
            </w:r>
          </w:p>
        </w:tc>
        <w:tc>
          <w:tcPr>
            <w:tcW w:w="1080" w:type="dxa"/>
          </w:tcPr>
          <w:p w14:paraId="7B3A7C73" w14:textId="65D2A1A4" w:rsidR="00F95086" w:rsidRDefault="00955CA3" w:rsidP="001A73CE">
            <w:pPr>
              <w:spacing w:line="276" w:lineRule="auto"/>
              <w:jc w:val="center"/>
              <w:rPr>
                <w:rFonts w:ascii="Calibri" w:hAnsi="Calibri" w:cs="Calibri"/>
                <w:sz w:val="24"/>
                <w:szCs w:val="24"/>
              </w:rPr>
            </w:pPr>
            <w:r>
              <w:rPr>
                <w:rFonts w:ascii="Calibri" w:hAnsi="Calibri"/>
                <w:sz w:val="24"/>
              </w:rPr>
              <w:t>-2,39%</w:t>
            </w:r>
          </w:p>
        </w:tc>
        <w:tc>
          <w:tcPr>
            <w:tcW w:w="1170" w:type="dxa"/>
          </w:tcPr>
          <w:p w14:paraId="0DC5339A" w14:textId="70C02FB5" w:rsidR="00F95086" w:rsidRDefault="00955CA3" w:rsidP="001A73CE">
            <w:pPr>
              <w:spacing w:line="276" w:lineRule="auto"/>
              <w:jc w:val="center"/>
              <w:rPr>
                <w:rFonts w:ascii="Calibri" w:hAnsi="Calibri" w:cs="Calibri"/>
                <w:sz w:val="24"/>
                <w:szCs w:val="24"/>
              </w:rPr>
            </w:pPr>
            <w:r>
              <w:rPr>
                <w:rFonts w:ascii="Calibri" w:hAnsi="Calibri"/>
                <w:sz w:val="24"/>
              </w:rPr>
              <w:t>0,64%</w:t>
            </w:r>
          </w:p>
        </w:tc>
        <w:tc>
          <w:tcPr>
            <w:tcW w:w="1165" w:type="dxa"/>
          </w:tcPr>
          <w:p w14:paraId="61595D1B" w14:textId="7057DDD1" w:rsidR="00F95086" w:rsidRDefault="00955CA3" w:rsidP="001A73CE">
            <w:pPr>
              <w:spacing w:line="276" w:lineRule="auto"/>
              <w:jc w:val="center"/>
              <w:rPr>
                <w:rFonts w:ascii="Calibri" w:hAnsi="Calibri" w:cs="Calibri"/>
                <w:sz w:val="24"/>
                <w:szCs w:val="24"/>
              </w:rPr>
            </w:pPr>
            <w:r>
              <w:rPr>
                <w:rFonts w:ascii="Calibri" w:hAnsi="Calibri"/>
                <w:sz w:val="24"/>
              </w:rPr>
              <w:t>2,02%</w:t>
            </w:r>
          </w:p>
        </w:tc>
      </w:tr>
    </w:tbl>
    <w:p w14:paraId="40DBF627" w14:textId="77777777" w:rsidR="000C178C" w:rsidRPr="00F030C5" w:rsidRDefault="000C178C" w:rsidP="000C178C">
      <w:pPr>
        <w:spacing w:line="276" w:lineRule="auto"/>
        <w:rPr>
          <w:rFonts w:ascii="Calibri" w:hAnsi="Calibri" w:cs="Calibri"/>
          <w:sz w:val="18"/>
          <w:szCs w:val="18"/>
        </w:rPr>
      </w:pPr>
    </w:p>
    <w:tbl>
      <w:tblPr>
        <w:tblStyle w:val="TableGrid"/>
        <w:tblW w:w="0" w:type="auto"/>
        <w:tblLook w:val="04A0" w:firstRow="1" w:lastRow="0" w:firstColumn="1" w:lastColumn="0" w:noHBand="0" w:noVBand="1"/>
      </w:tblPr>
      <w:tblGrid>
        <w:gridCol w:w="2803"/>
        <w:gridCol w:w="1372"/>
        <w:gridCol w:w="1943"/>
        <w:gridCol w:w="1113"/>
        <w:gridCol w:w="1117"/>
        <w:gridCol w:w="1002"/>
      </w:tblGrid>
      <w:tr w:rsidR="00955CA3" w:rsidRPr="00E87E48" w14:paraId="0A924847" w14:textId="77777777" w:rsidTr="00776391">
        <w:tc>
          <w:tcPr>
            <w:tcW w:w="9350" w:type="dxa"/>
            <w:gridSpan w:val="6"/>
          </w:tcPr>
          <w:p w14:paraId="30E6352A" w14:textId="0014BCA9" w:rsidR="00955CA3" w:rsidRPr="00E87E48" w:rsidRDefault="00955CA3" w:rsidP="00776391">
            <w:pPr>
              <w:spacing w:line="276" w:lineRule="auto"/>
              <w:rPr>
                <w:rFonts w:ascii="Calibri" w:hAnsi="Calibri" w:cs="Calibri"/>
                <w:b/>
                <w:bCs/>
                <w:sz w:val="24"/>
                <w:szCs w:val="24"/>
              </w:rPr>
            </w:pPr>
            <w:r>
              <w:rPr>
                <w:rFonts w:ascii="Calibri" w:hAnsi="Calibri"/>
                <w:b/>
                <w:sz w:val="24"/>
              </w:rPr>
              <w:t>Representatividade Estadual por Porcentagem (2 de 2)</w:t>
            </w:r>
          </w:p>
        </w:tc>
      </w:tr>
      <w:tr w:rsidR="003D1A3F" w:rsidRPr="00955CA3" w14:paraId="472E2478" w14:textId="77777777" w:rsidTr="005D3C7A">
        <w:tc>
          <w:tcPr>
            <w:tcW w:w="3230" w:type="dxa"/>
            <w:vAlign w:val="bottom"/>
          </w:tcPr>
          <w:p w14:paraId="28EB923A" w14:textId="031C062C" w:rsidR="00955CA3" w:rsidRPr="00955CA3" w:rsidRDefault="003D1A3F" w:rsidP="005D3C7A">
            <w:pPr>
              <w:spacing w:line="276" w:lineRule="auto"/>
              <w:jc w:val="right"/>
              <w:rPr>
                <w:rFonts w:ascii="Calibri" w:hAnsi="Calibri" w:cs="Calibri"/>
                <w:b/>
                <w:bCs/>
                <w:sz w:val="24"/>
                <w:szCs w:val="24"/>
              </w:rPr>
            </w:pPr>
            <w:r>
              <w:rPr>
                <w:rFonts w:ascii="Calibri" w:hAnsi="Calibri"/>
                <w:b/>
                <w:sz w:val="24"/>
              </w:rPr>
              <w:t>Categorias demográficas</w:t>
            </w:r>
          </w:p>
        </w:tc>
        <w:tc>
          <w:tcPr>
            <w:tcW w:w="1142" w:type="dxa"/>
            <w:vAlign w:val="bottom"/>
          </w:tcPr>
          <w:p w14:paraId="70558B04" w14:textId="09F10D6F" w:rsidR="00955CA3" w:rsidRPr="00955CA3" w:rsidRDefault="003D1A3F" w:rsidP="005D3C7A">
            <w:pPr>
              <w:spacing w:line="276" w:lineRule="auto"/>
              <w:jc w:val="center"/>
              <w:rPr>
                <w:rFonts w:ascii="Calibri" w:hAnsi="Calibri" w:cs="Calibri"/>
                <w:b/>
                <w:bCs/>
                <w:sz w:val="24"/>
                <w:szCs w:val="24"/>
              </w:rPr>
            </w:pPr>
            <w:r>
              <w:rPr>
                <w:rFonts w:ascii="Calibri" w:hAnsi="Calibri"/>
                <w:b/>
                <w:sz w:val="24"/>
              </w:rPr>
              <w:t>Desistentes</w:t>
            </w:r>
          </w:p>
        </w:tc>
        <w:tc>
          <w:tcPr>
            <w:tcW w:w="1696" w:type="dxa"/>
            <w:vAlign w:val="bottom"/>
          </w:tcPr>
          <w:p w14:paraId="1CC31164" w14:textId="268663AD" w:rsidR="00955CA3" w:rsidRPr="00955CA3" w:rsidRDefault="003D1A3F" w:rsidP="005D3C7A">
            <w:pPr>
              <w:spacing w:line="276" w:lineRule="auto"/>
              <w:jc w:val="center"/>
              <w:rPr>
                <w:rFonts w:ascii="Calibri" w:hAnsi="Calibri" w:cs="Calibri"/>
                <w:b/>
                <w:bCs/>
                <w:sz w:val="24"/>
                <w:szCs w:val="24"/>
              </w:rPr>
            </w:pPr>
            <w:r>
              <w:rPr>
                <w:rFonts w:ascii="Calibri" w:hAnsi="Calibri"/>
                <w:b/>
                <w:sz w:val="24"/>
              </w:rPr>
              <w:t>Economicamente desfavorecidos</w:t>
            </w:r>
          </w:p>
        </w:tc>
        <w:tc>
          <w:tcPr>
            <w:tcW w:w="1047" w:type="dxa"/>
            <w:vAlign w:val="bottom"/>
          </w:tcPr>
          <w:p w14:paraId="027EE367" w14:textId="55237C3D" w:rsidR="00955CA3" w:rsidRPr="00955CA3" w:rsidRDefault="003D1A3F" w:rsidP="005D3C7A">
            <w:pPr>
              <w:spacing w:line="276" w:lineRule="auto"/>
              <w:jc w:val="center"/>
              <w:rPr>
                <w:rFonts w:ascii="Calibri" w:hAnsi="Calibri" w:cs="Calibri"/>
                <w:b/>
                <w:bCs/>
                <w:sz w:val="24"/>
                <w:szCs w:val="24"/>
              </w:rPr>
            </w:pPr>
            <w:r>
              <w:rPr>
                <w:rFonts w:ascii="Calibri" w:hAnsi="Calibri"/>
                <w:b/>
                <w:sz w:val="24"/>
              </w:rPr>
              <w:t>Sexo feminino</w:t>
            </w:r>
          </w:p>
        </w:tc>
        <w:tc>
          <w:tcPr>
            <w:tcW w:w="1160" w:type="dxa"/>
            <w:vAlign w:val="bottom"/>
          </w:tcPr>
          <w:p w14:paraId="58E69120" w14:textId="6F8B2B75" w:rsidR="00955CA3" w:rsidRPr="00955CA3" w:rsidRDefault="003D1A3F" w:rsidP="005D3C7A">
            <w:pPr>
              <w:spacing w:line="276" w:lineRule="auto"/>
              <w:jc w:val="center"/>
              <w:rPr>
                <w:rFonts w:ascii="Calibri" w:hAnsi="Calibri" w:cs="Calibri"/>
                <w:b/>
                <w:bCs/>
                <w:sz w:val="24"/>
                <w:szCs w:val="24"/>
              </w:rPr>
            </w:pPr>
            <w:r>
              <w:rPr>
                <w:rFonts w:ascii="Calibri" w:hAnsi="Calibri"/>
                <w:b/>
                <w:sz w:val="24"/>
              </w:rPr>
              <w:t>Minoria</w:t>
            </w:r>
          </w:p>
        </w:tc>
        <w:tc>
          <w:tcPr>
            <w:tcW w:w="1075" w:type="dxa"/>
            <w:vAlign w:val="bottom"/>
          </w:tcPr>
          <w:p w14:paraId="205A6700" w14:textId="122B2954" w:rsidR="00955CA3" w:rsidRPr="00955CA3" w:rsidRDefault="007074AE" w:rsidP="005D3C7A">
            <w:pPr>
              <w:spacing w:line="276" w:lineRule="auto"/>
              <w:jc w:val="center"/>
              <w:rPr>
                <w:rFonts w:ascii="Calibri" w:hAnsi="Calibri" w:cs="Calibri"/>
                <w:b/>
                <w:bCs/>
                <w:sz w:val="24"/>
                <w:szCs w:val="24"/>
              </w:rPr>
            </w:pPr>
            <w:r>
              <w:rPr>
                <w:rFonts w:ascii="Calibri" w:hAnsi="Calibri"/>
                <w:b/>
                <w:sz w:val="24"/>
              </w:rPr>
              <w:t>EL</w:t>
            </w:r>
          </w:p>
        </w:tc>
      </w:tr>
      <w:tr w:rsidR="003D1A3F" w14:paraId="28065D57" w14:textId="77777777" w:rsidTr="005D3C7A">
        <w:tc>
          <w:tcPr>
            <w:tcW w:w="3230" w:type="dxa"/>
            <w:vAlign w:val="bottom"/>
          </w:tcPr>
          <w:p w14:paraId="5039F5A5" w14:textId="3834BC5B" w:rsidR="00955CA3" w:rsidRPr="00955CA3" w:rsidRDefault="00771524" w:rsidP="005D3C7A">
            <w:pPr>
              <w:spacing w:line="276" w:lineRule="auto"/>
              <w:jc w:val="right"/>
              <w:rPr>
                <w:rFonts w:ascii="Calibri" w:hAnsi="Calibri" w:cs="Calibri"/>
                <w:b/>
                <w:bCs/>
                <w:sz w:val="24"/>
                <w:szCs w:val="24"/>
              </w:rPr>
            </w:pPr>
            <w:r w:rsidRPr="00D45ACC">
              <w:rPr>
                <w:rFonts w:ascii="Calibri" w:hAnsi="Calibri"/>
                <w:b/>
                <w:sz w:val="24"/>
                <w:szCs w:val="24"/>
              </w:rPr>
              <w:t>Totais de jovens que saíram da escola</w:t>
            </w:r>
          </w:p>
        </w:tc>
        <w:tc>
          <w:tcPr>
            <w:tcW w:w="1142" w:type="dxa"/>
          </w:tcPr>
          <w:p w14:paraId="5A91A3EA" w14:textId="7C588AE4" w:rsidR="00955CA3" w:rsidRDefault="007074AE" w:rsidP="001A73CE">
            <w:pPr>
              <w:spacing w:line="276" w:lineRule="auto"/>
              <w:jc w:val="center"/>
              <w:rPr>
                <w:rFonts w:ascii="Calibri" w:hAnsi="Calibri" w:cs="Calibri"/>
                <w:sz w:val="24"/>
                <w:szCs w:val="24"/>
              </w:rPr>
            </w:pPr>
            <w:r>
              <w:rPr>
                <w:rFonts w:ascii="Calibri" w:hAnsi="Calibri"/>
                <w:sz w:val="24"/>
              </w:rPr>
              <w:t>218</w:t>
            </w:r>
          </w:p>
        </w:tc>
        <w:tc>
          <w:tcPr>
            <w:tcW w:w="1696" w:type="dxa"/>
          </w:tcPr>
          <w:p w14:paraId="204A3435" w14:textId="67412C5E" w:rsidR="00955CA3" w:rsidRDefault="007074AE" w:rsidP="001A73CE">
            <w:pPr>
              <w:spacing w:line="276" w:lineRule="auto"/>
              <w:jc w:val="center"/>
              <w:rPr>
                <w:rFonts w:ascii="Calibri" w:hAnsi="Calibri" w:cs="Calibri"/>
                <w:sz w:val="24"/>
                <w:szCs w:val="24"/>
              </w:rPr>
            </w:pPr>
            <w:r>
              <w:rPr>
                <w:rFonts w:ascii="Calibri" w:hAnsi="Calibri"/>
                <w:sz w:val="24"/>
              </w:rPr>
              <w:t>1.079</w:t>
            </w:r>
          </w:p>
        </w:tc>
        <w:tc>
          <w:tcPr>
            <w:tcW w:w="1047" w:type="dxa"/>
          </w:tcPr>
          <w:p w14:paraId="59C193D1" w14:textId="4A5010A1" w:rsidR="00955CA3" w:rsidRDefault="007074AE" w:rsidP="001A73CE">
            <w:pPr>
              <w:spacing w:line="276" w:lineRule="auto"/>
              <w:jc w:val="center"/>
              <w:rPr>
                <w:rFonts w:ascii="Calibri" w:hAnsi="Calibri" w:cs="Calibri"/>
                <w:sz w:val="24"/>
                <w:szCs w:val="24"/>
              </w:rPr>
            </w:pPr>
            <w:r>
              <w:rPr>
                <w:rFonts w:ascii="Calibri" w:hAnsi="Calibri"/>
                <w:sz w:val="24"/>
              </w:rPr>
              <w:t>1.052</w:t>
            </w:r>
          </w:p>
        </w:tc>
        <w:tc>
          <w:tcPr>
            <w:tcW w:w="1160" w:type="dxa"/>
          </w:tcPr>
          <w:p w14:paraId="7250AC76" w14:textId="7C9ABB57" w:rsidR="00955CA3" w:rsidRDefault="007074AE" w:rsidP="001A73CE">
            <w:pPr>
              <w:spacing w:line="276" w:lineRule="auto"/>
              <w:jc w:val="center"/>
              <w:rPr>
                <w:rFonts w:ascii="Calibri" w:hAnsi="Calibri" w:cs="Calibri"/>
                <w:sz w:val="24"/>
                <w:szCs w:val="24"/>
              </w:rPr>
            </w:pPr>
            <w:r>
              <w:rPr>
                <w:rFonts w:ascii="Calibri" w:hAnsi="Calibri"/>
                <w:sz w:val="24"/>
              </w:rPr>
              <w:t>1.050</w:t>
            </w:r>
          </w:p>
        </w:tc>
        <w:tc>
          <w:tcPr>
            <w:tcW w:w="1075" w:type="dxa"/>
          </w:tcPr>
          <w:p w14:paraId="1BF52E85" w14:textId="2D4B1524" w:rsidR="00955CA3" w:rsidRDefault="007074AE" w:rsidP="001A73CE">
            <w:pPr>
              <w:spacing w:line="276" w:lineRule="auto"/>
              <w:jc w:val="center"/>
              <w:rPr>
                <w:rFonts w:ascii="Calibri" w:hAnsi="Calibri" w:cs="Calibri"/>
                <w:sz w:val="24"/>
                <w:szCs w:val="24"/>
              </w:rPr>
            </w:pPr>
            <w:r>
              <w:rPr>
                <w:rFonts w:ascii="Calibri" w:hAnsi="Calibri"/>
                <w:sz w:val="24"/>
              </w:rPr>
              <w:t>133</w:t>
            </w:r>
          </w:p>
        </w:tc>
      </w:tr>
      <w:tr w:rsidR="003D1A3F" w14:paraId="3295025E" w14:textId="77777777" w:rsidTr="005D3C7A">
        <w:tc>
          <w:tcPr>
            <w:tcW w:w="3230" w:type="dxa"/>
            <w:vAlign w:val="bottom"/>
          </w:tcPr>
          <w:p w14:paraId="17378EDA" w14:textId="77777777" w:rsidR="00955CA3" w:rsidRPr="00955CA3" w:rsidRDefault="00955CA3" w:rsidP="005D3C7A">
            <w:pPr>
              <w:spacing w:line="276" w:lineRule="auto"/>
              <w:jc w:val="right"/>
              <w:rPr>
                <w:rFonts w:ascii="Calibri" w:hAnsi="Calibri" w:cs="Calibri"/>
                <w:b/>
                <w:bCs/>
                <w:sz w:val="24"/>
                <w:szCs w:val="24"/>
              </w:rPr>
            </w:pPr>
            <w:r>
              <w:rPr>
                <w:rFonts w:ascii="Calibri" w:hAnsi="Calibri"/>
                <w:b/>
                <w:sz w:val="24"/>
              </w:rPr>
              <w:t>Total de respostas</w:t>
            </w:r>
          </w:p>
        </w:tc>
        <w:tc>
          <w:tcPr>
            <w:tcW w:w="1142" w:type="dxa"/>
          </w:tcPr>
          <w:p w14:paraId="496FF62B" w14:textId="4D2326F1" w:rsidR="00955CA3" w:rsidRDefault="007074AE" w:rsidP="001A73CE">
            <w:pPr>
              <w:spacing w:line="276" w:lineRule="auto"/>
              <w:jc w:val="center"/>
              <w:rPr>
                <w:rFonts w:ascii="Calibri" w:hAnsi="Calibri" w:cs="Calibri"/>
                <w:sz w:val="24"/>
                <w:szCs w:val="24"/>
              </w:rPr>
            </w:pPr>
            <w:r>
              <w:rPr>
                <w:rFonts w:ascii="Calibri" w:hAnsi="Calibri"/>
                <w:sz w:val="24"/>
              </w:rPr>
              <w:t>38</w:t>
            </w:r>
          </w:p>
        </w:tc>
        <w:tc>
          <w:tcPr>
            <w:tcW w:w="1696" w:type="dxa"/>
          </w:tcPr>
          <w:p w14:paraId="6743B991" w14:textId="61A9ADCD" w:rsidR="00955CA3" w:rsidRDefault="007074AE" w:rsidP="001A73CE">
            <w:pPr>
              <w:spacing w:line="276" w:lineRule="auto"/>
              <w:jc w:val="center"/>
              <w:rPr>
                <w:rFonts w:ascii="Calibri" w:hAnsi="Calibri" w:cs="Calibri"/>
                <w:sz w:val="24"/>
                <w:szCs w:val="24"/>
              </w:rPr>
            </w:pPr>
            <w:r>
              <w:rPr>
                <w:rFonts w:ascii="Calibri" w:hAnsi="Calibri"/>
                <w:sz w:val="24"/>
              </w:rPr>
              <w:t>367</w:t>
            </w:r>
          </w:p>
        </w:tc>
        <w:tc>
          <w:tcPr>
            <w:tcW w:w="1047" w:type="dxa"/>
          </w:tcPr>
          <w:p w14:paraId="2C32E9BC" w14:textId="728D90AD" w:rsidR="00955CA3" w:rsidRDefault="007074AE" w:rsidP="001A73CE">
            <w:pPr>
              <w:spacing w:line="276" w:lineRule="auto"/>
              <w:jc w:val="center"/>
              <w:rPr>
                <w:rFonts w:ascii="Calibri" w:hAnsi="Calibri" w:cs="Calibri"/>
                <w:sz w:val="24"/>
                <w:szCs w:val="24"/>
              </w:rPr>
            </w:pPr>
            <w:r>
              <w:rPr>
                <w:rFonts w:ascii="Calibri" w:hAnsi="Calibri"/>
                <w:sz w:val="24"/>
              </w:rPr>
              <w:t>400</w:t>
            </w:r>
          </w:p>
        </w:tc>
        <w:tc>
          <w:tcPr>
            <w:tcW w:w="1160" w:type="dxa"/>
          </w:tcPr>
          <w:p w14:paraId="383DA704" w14:textId="4EC3C1D1" w:rsidR="00955CA3" w:rsidRDefault="007074AE" w:rsidP="001A73CE">
            <w:pPr>
              <w:spacing w:line="276" w:lineRule="auto"/>
              <w:jc w:val="center"/>
              <w:rPr>
                <w:rFonts w:ascii="Calibri" w:hAnsi="Calibri" w:cs="Calibri"/>
                <w:sz w:val="24"/>
                <w:szCs w:val="24"/>
              </w:rPr>
            </w:pPr>
            <w:r>
              <w:rPr>
                <w:rFonts w:ascii="Calibri" w:hAnsi="Calibri"/>
                <w:sz w:val="24"/>
              </w:rPr>
              <w:t>391</w:t>
            </w:r>
          </w:p>
        </w:tc>
        <w:tc>
          <w:tcPr>
            <w:tcW w:w="1075" w:type="dxa"/>
          </w:tcPr>
          <w:p w14:paraId="303D1680" w14:textId="64D89819" w:rsidR="00955CA3" w:rsidRDefault="007074AE" w:rsidP="001A73CE">
            <w:pPr>
              <w:spacing w:line="276" w:lineRule="auto"/>
              <w:jc w:val="center"/>
              <w:rPr>
                <w:rFonts w:ascii="Calibri" w:hAnsi="Calibri" w:cs="Calibri"/>
                <w:sz w:val="24"/>
                <w:szCs w:val="24"/>
              </w:rPr>
            </w:pPr>
            <w:r>
              <w:rPr>
                <w:rFonts w:ascii="Calibri" w:hAnsi="Calibri"/>
                <w:sz w:val="24"/>
              </w:rPr>
              <w:t>56</w:t>
            </w:r>
          </w:p>
        </w:tc>
      </w:tr>
      <w:tr w:rsidR="003D1A3F" w14:paraId="0D5FBE9F" w14:textId="77777777" w:rsidTr="005D3C7A">
        <w:trPr>
          <w:trHeight w:val="233"/>
        </w:trPr>
        <w:tc>
          <w:tcPr>
            <w:tcW w:w="3230" w:type="dxa"/>
            <w:vAlign w:val="bottom"/>
          </w:tcPr>
          <w:p w14:paraId="1988B022" w14:textId="77777777" w:rsidR="00955CA3" w:rsidRPr="00955CA3" w:rsidRDefault="00955CA3" w:rsidP="005D3C7A">
            <w:pPr>
              <w:spacing w:line="276" w:lineRule="auto"/>
              <w:jc w:val="right"/>
              <w:rPr>
                <w:rFonts w:ascii="Calibri" w:hAnsi="Calibri" w:cs="Calibri"/>
                <w:b/>
                <w:bCs/>
                <w:sz w:val="24"/>
                <w:szCs w:val="24"/>
              </w:rPr>
            </w:pPr>
          </w:p>
        </w:tc>
        <w:tc>
          <w:tcPr>
            <w:tcW w:w="1142" w:type="dxa"/>
          </w:tcPr>
          <w:p w14:paraId="2BD9D5FB" w14:textId="77777777" w:rsidR="00955CA3" w:rsidRDefault="00955CA3" w:rsidP="001A73CE">
            <w:pPr>
              <w:spacing w:line="276" w:lineRule="auto"/>
              <w:jc w:val="center"/>
              <w:rPr>
                <w:rFonts w:ascii="Calibri" w:hAnsi="Calibri" w:cs="Calibri"/>
                <w:sz w:val="24"/>
                <w:szCs w:val="24"/>
              </w:rPr>
            </w:pPr>
          </w:p>
        </w:tc>
        <w:tc>
          <w:tcPr>
            <w:tcW w:w="1696" w:type="dxa"/>
          </w:tcPr>
          <w:p w14:paraId="5EF2B88D" w14:textId="77777777" w:rsidR="00955CA3" w:rsidRDefault="00955CA3" w:rsidP="001A73CE">
            <w:pPr>
              <w:spacing w:line="276" w:lineRule="auto"/>
              <w:jc w:val="center"/>
              <w:rPr>
                <w:rFonts w:ascii="Calibri" w:hAnsi="Calibri" w:cs="Calibri"/>
                <w:sz w:val="24"/>
                <w:szCs w:val="24"/>
              </w:rPr>
            </w:pPr>
          </w:p>
        </w:tc>
        <w:tc>
          <w:tcPr>
            <w:tcW w:w="1047" w:type="dxa"/>
          </w:tcPr>
          <w:p w14:paraId="209EE62C" w14:textId="77777777" w:rsidR="00955CA3" w:rsidRDefault="00955CA3" w:rsidP="001A73CE">
            <w:pPr>
              <w:spacing w:line="276" w:lineRule="auto"/>
              <w:jc w:val="center"/>
              <w:rPr>
                <w:rFonts w:ascii="Calibri" w:hAnsi="Calibri" w:cs="Calibri"/>
                <w:sz w:val="24"/>
                <w:szCs w:val="24"/>
              </w:rPr>
            </w:pPr>
          </w:p>
        </w:tc>
        <w:tc>
          <w:tcPr>
            <w:tcW w:w="1160" w:type="dxa"/>
          </w:tcPr>
          <w:p w14:paraId="0AF0DD83" w14:textId="77777777" w:rsidR="00955CA3" w:rsidRDefault="00955CA3" w:rsidP="001A73CE">
            <w:pPr>
              <w:spacing w:line="276" w:lineRule="auto"/>
              <w:jc w:val="center"/>
              <w:rPr>
                <w:rFonts w:ascii="Calibri" w:hAnsi="Calibri" w:cs="Calibri"/>
                <w:sz w:val="24"/>
                <w:szCs w:val="24"/>
              </w:rPr>
            </w:pPr>
          </w:p>
        </w:tc>
        <w:tc>
          <w:tcPr>
            <w:tcW w:w="1075" w:type="dxa"/>
          </w:tcPr>
          <w:p w14:paraId="556E8E8E" w14:textId="77777777" w:rsidR="00955CA3" w:rsidRDefault="00955CA3" w:rsidP="001A73CE">
            <w:pPr>
              <w:spacing w:line="276" w:lineRule="auto"/>
              <w:jc w:val="center"/>
              <w:rPr>
                <w:rFonts w:ascii="Calibri" w:hAnsi="Calibri" w:cs="Calibri"/>
                <w:sz w:val="24"/>
                <w:szCs w:val="24"/>
              </w:rPr>
            </w:pPr>
          </w:p>
        </w:tc>
      </w:tr>
      <w:tr w:rsidR="003D1A3F" w14:paraId="4DC5B4F7" w14:textId="77777777" w:rsidTr="005D3C7A">
        <w:tc>
          <w:tcPr>
            <w:tcW w:w="3230" w:type="dxa"/>
            <w:vAlign w:val="bottom"/>
          </w:tcPr>
          <w:p w14:paraId="2D2095DB" w14:textId="5859CAFE" w:rsidR="00955CA3" w:rsidRPr="00955CA3" w:rsidRDefault="00771524" w:rsidP="005D3C7A">
            <w:pPr>
              <w:spacing w:line="276" w:lineRule="auto"/>
              <w:jc w:val="right"/>
              <w:rPr>
                <w:rFonts w:ascii="Calibri" w:hAnsi="Calibri" w:cs="Calibri"/>
                <w:b/>
                <w:bCs/>
                <w:sz w:val="24"/>
                <w:szCs w:val="24"/>
              </w:rPr>
            </w:pPr>
            <w:r>
              <w:rPr>
                <w:rFonts w:ascii="Calibri" w:hAnsi="Calibri"/>
                <w:b/>
                <w:sz w:val="24"/>
              </w:rPr>
              <w:t xml:space="preserve">Representação de </w:t>
            </w:r>
            <w:r w:rsidRPr="00D45ACC">
              <w:rPr>
                <w:rFonts w:ascii="Calibri" w:hAnsi="Calibri"/>
                <w:b/>
                <w:sz w:val="24"/>
              </w:rPr>
              <w:t>jovens que saíram da escola</w:t>
            </w:r>
          </w:p>
        </w:tc>
        <w:tc>
          <w:tcPr>
            <w:tcW w:w="1142" w:type="dxa"/>
          </w:tcPr>
          <w:p w14:paraId="5621BFF5" w14:textId="64A0E450" w:rsidR="00955CA3" w:rsidRDefault="007074AE" w:rsidP="001A73CE">
            <w:pPr>
              <w:spacing w:line="276" w:lineRule="auto"/>
              <w:jc w:val="center"/>
              <w:rPr>
                <w:rFonts w:ascii="Calibri" w:hAnsi="Calibri" w:cs="Calibri"/>
                <w:sz w:val="24"/>
                <w:szCs w:val="24"/>
              </w:rPr>
            </w:pPr>
            <w:r>
              <w:rPr>
                <w:rFonts w:ascii="Calibri" w:hAnsi="Calibri"/>
                <w:sz w:val="24"/>
              </w:rPr>
              <w:t>7,74%</w:t>
            </w:r>
          </w:p>
        </w:tc>
        <w:tc>
          <w:tcPr>
            <w:tcW w:w="1696" w:type="dxa"/>
          </w:tcPr>
          <w:p w14:paraId="67CE0C31" w14:textId="781D30B6" w:rsidR="00955CA3" w:rsidRDefault="007074AE" w:rsidP="001A73CE">
            <w:pPr>
              <w:spacing w:line="276" w:lineRule="auto"/>
              <w:jc w:val="center"/>
              <w:rPr>
                <w:rFonts w:ascii="Calibri" w:hAnsi="Calibri" w:cs="Calibri"/>
                <w:sz w:val="24"/>
                <w:szCs w:val="24"/>
              </w:rPr>
            </w:pPr>
            <w:r>
              <w:rPr>
                <w:rFonts w:ascii="Calibri" w:hAnsi="Calibri"/>
                <w:sz w:val="24"/>
              </w:rPr>
              <w:t>38,32%</w:t>
            </w:r>
          </w:p>
        </w:tc>
        <w:tc>
          <w:tcPr>
            <w:tcW w:w="1047" w:type="dxa"/>
          </w:tcPr>
          <w:p w14:paraId="66B6AD1C" w14:textId="71228E76" w:rsidR="00955CA3" w:rsidRDefault="007074AE" w:rsidP="001A73CE">
            <w:pPr>
              <w:spacing w:line="276" w:lineRule="auto"/>
              <w:jc w:val="center"/>
              <w:rPr>
                <w:rFonts w:ascii="Calibri" w:hAnsi="Calibri" w:cs="Calibri"/>
                <w:sz w:val="24"/>
                <w:szCs w:val="24"/>
              </w:rPr>
            </w:pPr>
            <w:r>
              <w:rPr>
                <w:rFonts w:ascii="Calibri" w:hAnsi="Calibri"/>
                <w:sz w:val="24"/>
              </w:rPr>
              <w:t>37,36%</w:t>
            </w:r>
          </w:p>
        </w:tc>
        <w:tc>
          <w:tcPr>
            <w:tcW w:w="1160" w:type="dxa"/>
          </w:tcPr>
          <w:p w14:paraId="091BE7F0" w14:textId="097CE525" w:rsidR="00955CA3" w:rsidRDefault="007074AE" w:rsidP="001A73CE">
            <w:pPr>
              <w:spacing w:line="276" w:lineRule="auto"/>
              <w:jc w:val="center"/>
              <w:rPr>
                <w:rFonts w:ascii="Calibri" w:hAnsi="Calibri" w:cs="Calibri"/>
                <w:sz w:val="24"/>
                <w:szCs w:val="24"/>
              </w:rPr>
            </w:pPr>
            <w:r>
              <w:rPr>
                <w:rFonts w:ascii="Calibri" w:hAnsi="Calibri"/>
                <w:sz w:val="24"/>
              </w:rPr>
              <w:t>37,29%</w:t>
            </w:r>
          </w:p>
        </w:tc>
        <w:tc>
          <w:tcPr>
            <w:tcW w:w="1075" w:type="dxa"/>
          </w:tcPr>
          <w:p w14:paraId="0E9D90B9" w14:textId="39A8E490" w:rsidR="00955CA3" w:rsidRDefault="007074AE" w:rsidP="001A73CE">
            <w:pPr>
              <w:spacing w:line="276" w:lineRule="auto"/>
              <w:jc w:val="center"/>
              <w:rPr>
                <w:rFonts w:ascii="Calibri" w:hAnsi="Calibri" w:cs="Calibri"/>
                <w:sz w:val="24"/>
                <w:szCs w:val="24"/>
              </w:rPr>
            </w:pPr>
            <w:r>
              <w:rPr>
                <w:rFonts w:ascii="Calibri" w:hAnsi="Calibri"/>
                <w:sz w:val="24"/>
              </w:rPr>
              <w:t>4,72%</w:t>
            </w:r>
          </w:p>
        </w:tc>
      </w:tr>
      <w:tr w:rsidR="003D1A3F" w14:paraId="6B9415AE" w14:textId="77777777" w:rsidTr="005D3C7A">
        <w:tc>
          <w:tcPr>
            <w:tcW w:w="3230" w:type="dxa"/>
            <w:vAlign w:val="bottom"/>
          </w:tcPr>
          <w:p w14:paraId="34BC4491" w14:textId="77777777" w:rsidR="00955CA3" w:rsidRPr="00955CA3" w:rsidRDefault="00955CA3" w:rsidP="005D3C7A">
            <w:pPr>
              <w:spacing w:line="276" w:lineRule="auto"/>
              <w:jc w:val="right"/>
              <w:rPr>
                <w:rFonts w:ascii="Calibri" w:hAnsi="Calibri" w:cs="Calibri"/>
                <w:b/>
                <w:bCs/>
                <w:sz w:val="24"/>
                <w:szCs w:val="24"/>
              </w:rPr>
            </w:pPr>
            <w:r>
              <w:rPr>
                <w:rFonts w:ascii="Calibri" w:hAnsi="Calibri"/>
                <w:b/>
                <w:sz w:val="24"/>
              </w:rPr>
              <w:t>Representação de respondentes</w:t>
            </w:r>
          </w:p>
        </w:tc>
        <w:tc>
          <w:tcPr>
            <w:tcW w:w="1142" w:type="dxa"/>
          </w:tcPr>
          <w:p w14:paraId="359F4A8A" w14:textId="5AB729EC" w:rsidR="00955CA3" w:rsidRDefault="007074AE" w:rsidP="001A73CE">
            <w:pPr>
              <w:spacing w:line="276" w:lineRule="auto"/>
              <w:jc w:val="center"/>
              <w:rPr>
                <w:rFonts w:ascii="Calibri" w:hAnsi="Calibri" w:cs="Calibri"/>
                <w:sz w:val="24"/>
                <w:szCs w:val="24"/>
              </w:rPr>
            </w:pPr>
            <w:r>
              <w:rPr>
                <w:rFonts w:ascii="Calibri" w:hAnsi="Calibri"/>
                <w:sz w:val="24"/>
              </w:rPr>
              <w:t>3,58%</w:t>
            </w:r>
          </w:p>
        </w:tc>
        <w:tc>
          <w:tcPr>
            <w:tcW w:w="1696" w:type="dxa"/>
          </w:tcPr>
          <w:p w14:paraId="3AFB5E22" w14:textId="7FB83170" w:rsidR="00955CA3" w:rsidRDefault="007074AE" w:rsidP="001A73CE">
            <w:pPr>
              <w:spacing w:line="276" w:lineRule="auto"/>
              <w:jc w:val="center"/>
              <w:rPr>
                <w:rFonts w:ascii="Calibri" w:hAnsi="Calibri" w:cs="Calibri"/>
                <w:sz w:val="24"/>
                <w:szCs w:val="24"/>
              </w:rPr>
            </w:pPr>
            <w:r>
              <w:rPr>
                <w:rFonts w:ascii="Calibri" w:hAnsi="Calibri"/>
                <w:sz w:val="24"/>
              </w:rPr>
              <w:t>34,62%</w:t>
            </w:r>
          </w:p>
        </w:tc>
        <w:tc>
          <w:tcPr>
            <w:tcW w:w="1047" w:type="dxa"/>
          </w:tcPr>
          <w:p w14:paraId="58571B90" w14:textId="2329A6D2" w:rsidR="00955CA3" w:rsidRDefault="007074AE" w:rsidP="001A73CE">
            <w:pPr>
              <w:spacing w:line="276" w:lineRule="auto"/>
              <w:jc w:val="center"/>
              <w:rPr>
                <w:rFonts w:ascii="Calibri" w:hAnsi="Calibri" w:cs="Calibri"/>
                <w:sz w:val="24"/>
                <w:szCs w:val="24"/>
              </w:rPr>
            </w:pPr>
            <w:r>
              <w:rPr>
                <w:rFonts w:ascii="Calibri" w:hAnsi="Calibri"/>
                <w:sz w:val="24"/>
              </w:rPr>
              <w:t>37,74%</w:t>
            </w:r>
          </w:p>
        </w:tc>
        <w:tc>
          <w:tcPr>
            <w:tcW w:w="1160" w:type="dxa"/>
          </w:tcPr>
          <w:p w14:paraId="20C93BA8" w14:textId="43FF492C" w:rsidR="00955CA3" w:rsidRDefault="007074AE" w:rsidP="001A73CE">
            <w:pPr>
              <w:spacing w:line="276" w:lineRule="auto"/>
              <w:jc w:val="center"/>
              <w:rPr>
                <w:rFonts w:ascii="Calibri" w:hAnsi="Calibri" w:cs="Calibri"/>
                <w:sz w:val="24"/>
                <w:szCs w:val="24"/>
              </w:rPr>
            </w:pPr>
            <w:r>
              <w:rPr>
                <w:rFonts w:ascii="Calibri" w:hAnsi="Calibri"/>
                <w:sz w:val="24"/>
              </w:rPr>
              <w:t>36,89%</w:t>
            </w:r>
          </w:p>
        </w:tc>
        <w:tc>
          <w:tcPr>
            <w:tcW w:w="1075" w:type="dxa"/>
          </w:tcPr>
          <w:p w14:paraId="6302556D" w14:textId="7CDF7C62" w:rsidR="00955CA3" w:rsidRDefault="007074AE" w:rsidP="001A73CE">
            <w:pPr>
              <w:spacing w:line="276" w:lineRule="auto"/>
              <w:jc w:val="center"/>
              <w:rPr>
                <w:rFonts w:ascii="Calibri" w:hAnsi="Calibri" w:cs="Calibri"/>
                <w:sz w:val="24"/>
                <w:szCs w:val="24"/>
              </w:rPr>
            </w:pPr>
            <w:r>
              <w:rPr>
                <w:rFonts w:ascii="Calibri" w:hAnsi="Calibri"/>
                <w:sz w:val="24"/>
              </w:rPr>
              <w:t>5,28%</w:t>
            </w:r>
          </w:p>
        </w:tc>
      </w:tr>
      <w:tr w:rsidR="003D1A3F" w14:paraId="0C715F37" w14:textId="77777777" w:rsidTr="005D3C7A">
        <w:tc>
          <w:tcPr>
            <w:tcW w:w="3230" w:type="dxa"/>
            <w:vAlign w:val="bottom"/>
          </w:tcPr>
          <w:p w14:paraId="2B10A14F" w14:textId="77777777" w:rsidR="00955CA3" w:rsidRPr="00955CA3" w:rsidRDefault="00955CA3" w:rsidP="005D3C7A">
            <w:pPr>
              <w:spacing w:line="276" w:lineRule="auto"/>
              <w:jc w:val="right"/>
              <w:rPr>
                <w:rFonts w:ascii="Calibri" w:hAnsi="Calibri" w:cs="Calibri"/>
                <w:b/>
                <w:bCs/>
                <w:sz w:val="24"/>
                <w:szCs w:val="24"/>
              </w:rPr>
            </w:pPr>
            <w:r>
              <w:rPr>
                <w:rFonts w:ascii="Calibri" w:hAnsi="Calibri"/>
                <w:b/>
                <w:sz w:val="24"/>
              </w:rPr>
              <w:t>Diferença</w:t>
            </w:r>
          </w:p>
        </w:tc>
        <w:tc>
          <w:tcPr>
            <w:tcW w:w="1142" w:type="dxa"/>
          </w:tcPr>
          <w:p w14:paraId="38091929" w14:textId="534690C1" w:rsidR="00955CA3" w:rsidRPr="005D3C7A" w:rsidRDefault="00381F8D" w:rsidP="001A73CE">
            <w:pPr>
              <w:spacing w:line="276" w:lineRule="auto"/>
              <w:jc w:val="center"/>
              <w:rPr>
                <w:rFonts w:ascii="Calibri" w:hAnsi="Calibri" w:cs="Calibri"/>
                <w:b/>
                <w:bCs/>
                <w:sz w:val="24"/>
                <w:szCs w:val="24"/>
              </w:rPr>
            </w:pPr>
            <w:r>
              <w:rPr>
                <w:rFonts w:ascii="Calibri" w:hAnsi="Calibri"/>
                <w:b/>
                <w:sz w:val="24"/>
              </w:rPr>
              <w:t>-4,16%</w:t>
            </w:r>
          </w:p>
        </w:tc>
        <w:tc>
          <w:tcPr>
            <w:tcW w:w="1696" w:type="dxa"/>
          </w:tcPr>
          <w:p w14:paraId="5016FBFB" w14:textId="6FD708DD" w:rsidR="00955CA3" w:rsidRPr="005D3C7A" w:rsidRDefault="005D3C7A" w:rsidP="001A73CE">
            <w:pPr>
              <w:spacing w:line="276" w:lineRule="auto"/>
              <w:jc w:val="center"/>
              <w:rPr>
                <w:rFonts w:ascii="Calibri" w:hAnsi="Calibri" w:cs="Calibri"/>
                <w:b/>
                <w:bCs/>
                <w:sz w:val="24"/>
                <w:szCs w:val="24"/>
              </w:rPr>
            </w:pPr>
            <w:r>
              <w:rPr>
                <w:rFonts w:ascii="Calibri" w:hAnsi="Calibri"/>
                <w:b/>
                <w:sz w:val="24"/>
              </w:rPr>
              <w:t>-3,69%</w:t>
            </w:r>
          </w:p>
        </w:tc>
        <w:tc>
          <w:tcPr>
            <w:tcW w:w="1047" w:type="dxa"/>
          </w:tcPr>
          <w:p w14:paraId="1CCDADF8" w14:textId="7B3C7F3B" w:rsidR="00955CA3" w:rsidRDefault="005D3C7A" w:rsidP="001A73CE">
            <w:pPr>
              <w:spacing w:line="276" w:lineRule="auto"/>
              <w:jc w:val="center"/>
              <w:rPr>
                <w:rFonts w:ascii="Calibri" w:hAnsi="Calibri" w:cs="Calibri"/>
                <w:sz w:val="24"/>
                <w:szCs w:val="24"/>
              </w:rPr>
            </w:pPr>
            <w:r>
              <w:rPr>
                <w:rFonts w:ascii="Calibri" w:hAnsi="Calibri"/>
                <w:sz w:val="24"/>
              </w:rPr>
              <w:t>0,38%</w:t>
            </w:r>
          </w:p>
        </w:tc>
        <w:tc>
          <w:tcPr>
            <w:tcW w:w="1160" w:type="dxa"/>
          </w:tcPr>
          <w:p w14:paraId="1997B825" w14:textId="2B97C32C" w:rsidR="00955CA3" w:rsidRDefault="005D3C7A" w:rsidP="001A73CE">
            <w:pPr>
              <w:spacing w:line="276" w:lineRule="auto"/>
              <w:jc w:val="center"/>
              <w:rPr>
                <w:rFonts w:ascii="Calibri" w:hAnsi="Calibri" w:cs="Calibri"/>
                <w:sz w:val="24"/>
                <w:szCs w:val="24"/>
              </w:rPr>
            </w:pPr>
            <w:r>
              <w:rPr>
                <w:rFonts w:ascii="Calibri" w:hAnsi="Calibri"/>
                <w:sz w:val="24"/>
              </w:rPr>
              <w:t>-0,40%</w:t>
            </w:r>
          </w:p>
        </w:tc>
        <w:tc>
          <w:tcPr>
            <w:tcW w:w="1075" w:type="dxa"/>
          </w:tcPr>
          <w:p w14:paraId="6C802DFE" w14:textId="311793B9" w:rsidR="00955CA3" w:rsidRDefault="005D3C7A" w:rsidP="001A73CE">
            <w:pPr>
              <w:spacing w:line="276" w:lineRule="auto"/>
              <w:jc w:val="center"/>
              <w:rPr>
                <w:rFonts w:ascii="Calibri" w:hAnsi="Calibri" w:cs="Calibri"/>
                <w:sz w:val="24"/>
                <w:szCs w:val="24"/>
              </w:rPr>
            </w:pPr>
            <w:r>
              <w:rPr>
                <w:rFonts w:ascii="Calibri" w:hAnsi="Calibri"/>
                <w:sz w:val="24"/>
              </w:rPr>
              <w:t>0,56%</w:t>
            </w:r>
          </w:p>
        </w:tc>
      </w:tr>
    </w:tbl>
    <w:p w14:paraId="72412DA8" w14:textId="77777777" w:rsidR="00955CA3" w:rsidRPr="00F030C5" w:rsidRDefault="00955CA3" w:rsidP="000C178C">
      <w:pPr>
        <w:spacing w:line="276" w:lineRule="auto"/>
        <w:rPr>
          <w:rFonts w:ascii="Calibri" w:hAnsi="Calibri" w:cs="Calibri"/>
          <w:sz w:val="10"/>
          <w:szCs w:val="10"/>
        </w:rPr>
      </w:pPr>
    </w:p>
    <w:p w14:paraId="5D90BD15" w14:textId="1F92CFAB" w:rsidR="00063ACD" w:rsidRDefault="00063ACD" w:rsidP="00063ACD">
      <w:pPr>
        <w:rPr>
          <w:rFonts w:ascii="Calibri" w:eastAsia="Calibri" w:hAnsi="Calibri" w:cs="Calibri"/>
          <w:color w:val="212529"/>
          <w:sz w:val="24"/>
          <w:szCs w:val="24"/>
        </w:rPr>
      </w:pPr>
      <w:r>
        <w:rPr>
          <w:rFonts w:ascii="Calibri" w:hAnsi="Calibri"/>
          <w:color w:val="212529"/>
          <w:sz w:val="24"/>
        </w:rPr>
        <w:t>Recursos do Indicador 14</w:t>
      </w:r>
    </w:p>
    <w:p w14:paraId="3D114B48" w14:textId="640C2227" w:rsidR="001A73CE" w:rsidRPr="001A73CE" w:rsidRDefault="00B21AA2" w:rsidP="00B21AA2">
      <w:pPr>
        <w:pStyle w:val="NoSpacing"/>
        <w:numPr>
          <w:ilvl w:val="0"/>
          <w:numId w:val="10"/>
        </w:numPr>
        <w:ind w:left="567"/>
        <w:rPr>
          <w:color w:val="0563C1"/>
        </w:rPr>
      </w:pPr>
      <w:hyperlink r:id="rId8" w:history="1">
        <w:r w:rsidR="001A73CE" w:rsidRPr="004136D6">
          <w:rPr>
            <w:rStyle w:val="Hyperlink"/>
          </w:rPr>
          <w:t>PowerPoint do Indicador 14</w:t>
        </w:r>
      </w:hyperlink>
      <w:r w:rsidR="001A73CE">
        <w:rPr>
          <w:color w:val="0563C1"/>
        </w:rPr>
        <w:t xml:space="preserve"> </w:t>
      </w:r>
    </w:p>
    <w:p w14:paraId="283D2F81" w14:textId="3442D25C" w:rsidR="00063ACD" w:rsidRPr="00306ABB" w:rsidRDefault="00306ABB" w:rsidP="001D22C6">
      <w:pPr>
        <w:pStyle w:val="NoSpacing"/>
        <w:numPr>
          <w:ilvl w:val="0"/>
          <w:numId w:val="10"/>
        </w:numPr>
        <w:ind w:left="567"/>
        <w:rPr>
          <w:rStyle w:val="Hyperlink"/>
        </w:rPr>
      </w:pPr>
      <w:r>
        <w:fldChar w:fldCharType="begin"/>
      </w:r>
      <w:r>
        <w:instrText xml:space="preserve"> HYPERLINK "https://www.doe.mass.edu/sped/secondary-transition/indicator14.html" </w:instrText>
      </w:r>
      <w:r>
        <w:fldChar w:fldCharType="separate"/>
      </w:r>
      <w:r>
        <w:rPr>
          <w:rStyle w:val="Hyperlink"/>
        </w:rPr>
        <w:t>Indicador 14 de Massachusetts</w:t>
      </w:r>
    </w:p>
    <w:p w14:paraId="4E54332A" w14:textId="35D64DEF" w:rsidR="00063ACD" w:rsidRDefault="00306ABB" w:rsidP="001D22C6">
      <w:pPr>
        <w:pStyle w:val="NoSpacing"/>
        <w:numPr>
          <w:ilvl w:val="0"/>
          <w:numId w:val="10"/>
        </w:numPr>
        <w:ind w:left="567"/>
        <w:rPr>
          <w:color w:val="0563C1"/>
        </w:rPr>
      </w:pPr>
      <w:r>
        <w:fldChar w:fldCharType="end"/>
      </w:r>
      <w:hyperlink r:id="rId9">
        <w:r>
          <w:rPr>
            <w:rStyle w:val="Hyperlink"/>
          </w:rPr>
          <w:t xml:space="preserve">Dados do </w:t>
        </w:r>
        <w:r w:rsidR="00202E3C">
          <w:rPr>
            <w:rStyle w:val="Hyperlink"/>
          </w:rPr>
          <w:t xml:space="preserve">indicador </w:t>
        </w:r>
        <w:r>
          <w:rPr>
            <w:rStyle w:val="Hyperlink"/>
          </w:rPr>
          <w:t>estadual</w:t>
        </w:r>
      </w:hyperlink>
    </w:p>
    <w:p w14:paraId="1159109D" w14:textId="3A08DA61" w:rsidR="009C05ED" w:rsidRPr="007367AA" w:rsidRDefault="00B21AA2" w:rsidP="009C05ED">
      <w:pPr>
        <w:pStyle w:val="NoSpacing"/>
        <w:numPr>
          <w:ilvl w:val="0"/>
          <w:numId w:val="10"/>
        </w:numPr>
        <w:ind w:left="567" w:right="4"/>
        <w:rPr>
          <w:color w:val="0563C1"/>
        </w:rPr>
      </w:pPr>
      <w:hyperlink r:id="rId10">
        <w:r w:rsidR="00063ACD">
          <w:rPr>
            <w:rStyle w:val="Hyperlink"/>
          </w:rPr>
          <w:t xml:space="preserve">Cartas de SPP/APR do Departamento de Programas de Educação Especial dos </w:t>
        </w:r>
        <w:r w:rsidR="00FB5DEB">
          <w:rPr>
            <w:rStyle w:val="Hyperlink"/>
          </w:rPr>
          <w:t xml:space="preserve">EUA </w:t>
        </w:r>
        <w:r w:rsidR="00063ACD">
          <w:rPr>
            <w:rStyle w:val="Hyperlink"/>
          </w:rPr>
          <w:t>(OSEP)</w:t>
        </w:r>
      </w:hyperlink>
    </w:p>
    <w:sectPr w:rsidR="009C05ED" w:rsidRPr="007367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468CC"/>
    <w:multiLevelType w:val="hybridMultilevel"/>
    <w:tmpl w:val="59F6913C"/>
    <w:lvl w:ilvl="0" w:tplc="4598297C">
      <w:start w:val="1"/>
      <w:numFmt w:val="bullet"/>
      <w:lvlText w:val=""/>
      <w:lvlJc w:val="left"/>
      <w:pPr>
        <w:ind w:left="720" w:hanging="360"/>
      </w:pPr>
      <w:rPr>
        <w:rFonts w:ascii="Symbol" w:hAnsi="Symbol" w:hint="default"/>
      </w:rPr>
    </w:lvl>
    <w:lvl w:ilvl="1" w:tplc="D84698CE">
      <w:start w:val="1"/>
      <w:numFmt w:val="bullet"/>
      <w:lvlText w:val="o"/>
      <w:lvlJc w:val="left"/>
      <w:pPr>
        <w:ind w:left="1440" w:hanging="360"/>
      </w:pPr>
      <w:rPr>
        <w:rFonts w:ascii="Courier New" w:hAnsi="Courier New" w:hint="default"/>
      </w:rPr>
    </w:lvl>
    <w:lvl w:ilvl="2" w:tplc="9ED84922">
      <w:start w:val="1"/>
      <w:numFmt w:val="bullet"/>
      <w:lvlText w:val=""/>
      <w:lvlJc w:val="left"/>
      <w:pPr>
        <w:ind w:left="2160" w:hanging="360"/>
      </w:pPr>
      <w:rPr>
        <w:rFonts w:ascii="Wingdings" w:hAnsi="Wingdings" w:hint="default"/>
      </w:rPr>
    </w:lvl>
    <w:lvl w:ilvl="3" w:tplc="0DCEF960">
      <w:start w:val="1"/>
      <w:numFmt w:val="bullet"/>
      <w:lvlText w:val=""/>
      <w:lvlJc w:val="left"/>
      <w:pPr>
        <w:ind w:left="2880" w:hanging="360"/>
      </w:pPr>
      <w:rPr>
        <w:rFonts w:ascii="Symbol" w:hAnsi="Symbol" w:hint="default"/>
      </w:rPr>
    </w:lvl>
    <w:lvl w:ilvl="4" w:tplc="683E7C46">
      <w:start w:val="1"/>
      <w:numFmt w:val="bullet"/>
      <w:lvlText w:val="o"/>
      <w:lvlJc w:val="left"/>
      <w:pPr>
        <w:ind w:left="3600" w:hanging="360"/>
      </w:pPr>
      <w:rPr>
        <w:rFonts w:ascii="Courier New" w:hAnsi="Courier New" w:hint="default"/>
      </w:rPr>
    </w:lvl>
    <w:lvl w:ilvl="5" w:tplc="10305D64">
      <w:start w:val="1"/>
      <w:numFmt w:val="bullet"/>
      <w:lvlText w:val=""/>
      <w:lvlJc w:val="left"/>
      <w:pPr>
        <w:ind w:left="4320" w:hanging="360"/>
      </w:pPr>
      <w:rPr>
        <w:rFonts w:ascii="Wingdings" w:hAnsi="Wingdings" w:hint="default"/>
      </w:rPr>
    </w:lvl>
    <w:lvl w:ilvl="6" w:tplc="1EC6E472">
      <w:start w:val="1"/>
      <w:numFmt w:val="bullet"/>
      <w:lvlText w:val=""/>
      <w:lvlJc w:val="left"/>
      <w:pPr>
        <w:ind w:left="5040" w:hanging="360"/>
      </w:pPr>
      <w:rPr>
        <w:rFonts w:ascii="Symbol" w:hAnsi="Symbol" w:hint="default"/>
      </w:rPr>
    </w:lvl>
    <w:lvl w:ilvl="7" w:tplc="7B40BDE2">
      <w:start w:val="1"/>
      <w:numFmt w:val="bullet"/>
      <w:lvlText w:val="o"/>
      <w:lvlJc w:val="left"/>
      <w:pPr>
        <w:ind w:left="5760" w:hanging="360"/>
      </w:pPr>
      <w:rPr>
        <w:rFonts w:ascii="Courier New" w:hAnsi="Courier New" w:hint="default"/>
      </w:rPr>
    </w:lvl>
    <w:lvl w:ilvl="8" w:tplc="0074E136">
      <w:start w:val="1"/>
      <w:numFmt w:val="bullet"/>
      <w:lvlText w:val=""/>
      <w:lvlJc w:val="left"/>
      <w:pPr>
        <w:ind w:left="6480" w:hanging="360"/>
      </w:pPr>
      <w:rPr>
        <w:rFonts w:ascii="Wingdings" w:hAnsi="Wingdings" w:hint="default"/>
      </w:rPr>
    </w:lvl>
  </w:abstractNum>
  <w:abstractNum w:abstractNumId="1" w15:restartNumberingAfterBreak="0">
    <w:nsid w:val="0E3C3AC6"/>
    <w:multiLevelType w:val="hybridMultilevel"/>
    <w:tmpl w:val="4B3A4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B6D7E"/>
    <w:multiLevelType w:val="hybridMultilevel"/>
    <w:tmpl w:val="A1D86C94"/>
    <w:lvl w:ilvl="0" w:tplc="08005008">
      <w:start w:val="1"/>
      <w:numFmt w:val="bullet"/>
      <w:lvlText w:val=""/>
      <w:lvlJc w:val="left"/>
      <w:pPr>
        <w:ind w:left="720" w:hanging="360"/>
      </w:pPr>
      <w:rPr>
        <w:rFonts w:ascii="Symbol" w:hAnsi="Symbol" w:hint="default"/>
      </w:rPr>
    </w:lvl>
    <w:lvl w:ilvl="1" w:tplc="B824EE6C">
      <w:start w:val="1"/>
      <w:numFmt w:val="bullet"/>
      <w:lvlText w:val="o"/>
      <w:lvlJc w:val="left"/>
      <w:pPr>
        <w:ind w:left="1440" w:hanging="360"/>
      </w:pPr>
      <w:rPr>
        <w:rFonts w:ascii="Courier New" w:hAnsi="Courier New" w:hint="default"/>
      </w:rPr>
    </w:lvl>
    <w:lvl w:ilvl="2" w:tplc="2402B5A8">
      <w:start w:val="1"/>
      <w:numFmt w:val="bullet"/>
      <w:lvlText w:val=""/>
      <w:lvlJc w:val="left"/>
      <w:pPr>
        <w:ind w:left="2160" w:hanging="360"/>
      </w:pPr>
      <w:rPr>
        <w:rFonts w:ascii="Wingdings" w:hAnsi="Wingdings" w:hint="default"/>
      </w:rPr>
    </w:lvl>
    <w:lvl w:ilvl="3" w:tplc="8AA8D410">
      <w:start w:val="1"/>
      <w:numFmt w:val="bullet"/>
      <w:lvlText w:val=""/>
      <w:lvlJc w:val="left"/>
      <w:pPr>
        <w:ind w:left="2880" w:hanging="360"/>
      </w:pPr>
      <w:rPr>
        <w:rFonts w:ascii="Symbol" w:hAnsi="Symbol" w:hint="default"/>
      </w:rPr>
    </w:lvl>
    <w:lvl w:ilvl="4" w:tplc="244E0640">
      <w:start w:val="1"/>
      <w:numFmt w:val="bullet"/>
      <w:lvlText w:val="o"/>
      <w:lvlJc w:val="left"/>
      <w:pPr>
        <w:ind w:left="3600" w:hanging="360"/>
      </w:pPr>
      <w:rPr>
        <w:rFonts w:ascii="Courier New" w:hAnsi="Courier New" w:hint="default"/>
      </w:rPr>
    </w:lvl>
    <w:lvl w:ilvl="5" w:tplc="2220AB2C">
      <w:start w:val="1"/>
      <w:numFmt w:val="bullet"/>
      <w:lvlText w:val=""/>
      <w:lvlJc w:val="left"/>
      <w:pPr>
        <w:ind w:left="4320" w:hanging="360"/>
      </w:pPr>
      <w:rPr>
        <w:rFonts w:ascii="Wingdings" w:hAnsi="Wingdings" w:hint="default"/>
      </w:rPr>
    </w:lvl>
    <w:lvl w:ilvl="6" w:tplc="53926490">
      <w:start w:val="1"/>
      <w:numFmt w:val="bullet"/>
      <w:lvlText w:val=""/>
      <w:lvlJc w:val="left"/>
      <w:pPr>
        <w:ind w:left="5040" w:hanging="360"/>
      </w:pPr>
      <w:rPr>
        <w:rFonts w:ascii="Symbol" w:hAnsi="Symbol" w:hint="default"/>
      </w:rPr>
    </w:lvl>
    <w:lvl w:ilvl="7" w:tplc="7604ECA0">
      <w:start w:val="1"/>
      <w:numFmt w:val="bullet"/>
      <w:lvlText w:val="o"/>
      <w:lvlJc w:val="left"/>
      <w:pPr>
        <w:ind w:left="5760" w:hanging="360"/>
      </w:pPr>
      <w:rPr>
        <w:rFonts w:ascii="Courier New" w:hAnsi="Courier New" w:hint="default"/>
      </w:rPr>
    </w:lvl>
    <w:lvl w:ilvl="8" w:tplc="547203EE">
      <w:start w:val="1"/>
      <w:numFmt w:val="bullet"/>
      <w:lvlText w:val=""/>
      <w:lvlJc w:val="left"/>
      <w:pPr>
        <w:ind w:left="6480" w:hanging="360"/>
      </w:pPr>
      <w:rPr>
        <w:rFonts w:ascii="Wingdings" w:hAnsi="Wingdings" w:hint="default"/>
      </w:rPr>
    </w:lvl>
  </w:abstractNum>
  <w:abstractNum w:abstractNumId="3" w15:restartNumberingAfterBreak="0">
    <w:nsid w:val="32D97E46"/>
    <w:multiLevelType w:val="hybridMultilevel"/>
    <w:tmpl w:val="3C0E6E02"/>
    <w:lvl w:ilvl="0" w:tplc="B2FE3F3E">
      <w:start w:val="1"/>
      <w:numFmt w:val="upperLetter"/>
      <w:lvlText w:val="%1."/>
      <w:lvlJc w:val="left"/>
      <w:pPr>
        <w:ind w:left="720" w:hanging="360"/>
      </w:pPr>
    </w:lvl>
    <w:lvl w:ilvl="1" w:tplc="84808E58">
      <w:start w:val="1"/>
      <w:numFmt w:val="lowerLetter"/>
      <w:lvlText w:val="%2."/>
      <w:lvlJc w:val="left"/>
      <w:pPr>
        <w:ind w:left="1440" w:hanging="360"/>
      </w:pPr>
    </w:lvl>
    <w:lvl w:ilvl="2" w:tplc="38B85106">
      <w:start w:val="1"/>
      <w:numFmt w:val="lowerRoman"/>
      <w:lvlText w:val="%3."/>
      <w:lvlJc w:val="right"/>
      <w:pPr>
        <w:ind w:left="2160" w:hanging="180"/>
      </w:pPr>
    </w:lvl>
    <w:lvl w:ilvl="3" w:tplc="C32CE154">
      <w:start w:val="1"/>
      <w:numFmt w:val="decimal"/>
      <w:lvlText w:val="%4."/>
      <w:lvlJc w:val="left"/>
      <w:pPr>
        <w:ind w:left="2880" w:hanging="360"/>
      </w:pPr>
    </w:lvl>
    <w:lvl w:ilvl="4" w:tplc="FD3EF874">
      <w:start w:val="1"/>
      <w:numFmt w:val="lowerLetter"/>
      <w:lvlText w:val="%5."/>
      <w:lvlJc w:val="left"/>
      <w:pPr>
        <w:ind w:left="3600" w:hanging="360"/>
      </w:pPr>
    </w:lvl>
    <w:lvl w:ilvl="5" w:tplc="13920FF6">
      <w:start w:val="1"/>
      <w:numFmt w:val="lowerRoman"/>
      <w:lvlText w:val="%6."/>
      <w:lvlJc w:val="right"/>
      <w:pPr>
        <w:ind w:left="4320" w:hanging="180"/>
      </w:pPr>
    </w:lvl>
    <w:lvl w:ilvl="6" w:tplc="CC1AAE88">
      <w:start w:val="1"/>
      <w:numFmt w:val="decimal"/>
      <w:lvlText w:val="%7."/>
      <w:lvlJc w:val="left"/>
      <w:pPr>
        <w:ind w:left="5040" w:hanging="360"/>
      </w:pPr>
    </w:lvl>
    <w:lvl w:ilvl="7" w:tplc="2E8C2220">
      <w:start w:val="1"/>
      <w:numFmt w:val="lowerLetter"/>
      <w:lvlText w:val="%8."/>
      <w:lvlJc w:val="left"/>
      <w:pPr>
        <w:ind w:left="5760" w:hanging="360"/>
      </w:pPr>
    </w:lvl>
    <w:lvl w:ilvl="8" w:tplc="876223F8">
      <w:start w:val="1"/>
      <w:numFmt w:val="lowerRoman"/>
      <w:lvlText w:val="%9."/>
      <w:lvlJc w:val="right"/>
      <w:pPr>
        <w:ind w:left="6480" w:hanging="180"/>
      </w:pPr>
    </w:lvl>
  </w:abstractNum>
  <w:abstractNum w:abstractNumId="4" w15:restartNumberingAfterBreak="0">
    <w:nsid w:val="42031E4D"/>
    <w:multiLevelType w:val="hybridMultilevel"/>
    <w:tmpl w:val="70FA9F96"/>
    <w:lvl w:ilvl="0" w:tplc="1BBC48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5D08E9"/>
    <w:multiLevelType w:val="hybridMultilevel"/>
    <w:tmpl w:val="DC1A7EBC"/>
    <w:lvl w:ilvl="0" w:tplc="25AEFF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C40AE8"/>
    <w:multiLevelType w:val="hybridMultilevel"/>
    <w:tmpl w:val="405EDC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485D59EF"/>
    <w:multiLevelType w:val="hybridMultilevel"/>
    <w:tmpl w:val="B22E16DE"/>
    <w:lvl w:ilvl="0" w:tplc="12D49D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7722BB"/>
    <w:multiLevelType w:val="hybridMultilevel"/>
    <w:tmpl w:val="2A22BCF6"/>
    <w:lvl w:ilvl="0" w:tplc="18D620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8D3051"/>
    <w:multiLevelType w:val="multilevel"/>
    <w:tmpl w:val="7CF0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4600F3"/>
    <w:multiLevelType w:val="hybridMultilevel"/>
    <w:tmpl w:val="33BE4D8E"/>
    <w:lvl w:ilvl="0" w:tplc="25AEFF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E221E0"/>
    <w:multiLevelType w:val="hybridMultilevel"/>
    <w:tmpl w:val="2F08B964"/>
    <w:lvl w:ilvl="0" w:tplc="BC30F6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31740659">
    <w:abstractNumId w:val="1"/>
  </w:num>
  <w:num w:numId="2" w16cid:durableId="485050883">
    <w:abstractNumId w:val="11"/>
  </w:num>
  <w:num w:numId="3" w16cid:durableId="501238396">
    <w:abstractNumId w:val="4"/>
  </w:num>
  <w:num w:numId="4" w16cid:durableId="374542579">
    <w:abstractNumId w:val="7"/>
  </w:num>
  <w:num w:numId="5" w16cid:durableId="1069041033">
    <w:abstractNumId w:val="10"/>
  </w:num>
  <w:num w:numId="6" w16cid:durableId="1711494536">
    <w:abstractNumId w:val="5"/>
  </w:num>
  <w:num w:numId="7" w16cid:durableId="1992102743">
    <w:abstractNumId w:val="8"/>
  </w:num>
  <w:num w:numId="8" w16cid:durableId="164246638">
    <w:abstractNumId w:val="9"/>
  </w:num>
  <w:num w:numId="9" w16cid:durableId="1095172200">
    <w:abstractNumId w:val="6"/>
  </w:num>
  <w:num w:numId="10" w16cid:durableId="411241998">
    <w:abstractNumId w:val="0"/>
  </w:num>
  <w:num w:numId="11" w16cid:durableId="1406218411">
    <w:abstractNumId w:val="2"/>
  </w:num>
  <w:num w:numId="12" w16cid:durableId="3279437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7FC"/>
    <w:rsid w:val="00004674"/>
    <w:rsid w:val="00047FB3"/>
    <w:rsid w:val="00063ACD"/>
    <w:rsid w:val="000C178C"/>
    <w:rsid w:val="000D4F15"/>
    <w:rsid w:val="000F6BF8"/>
    <w:rsid w:val="00137A4E"/>
    <w:rsid w:val="00172C45"/>
    <w:rsid w:val="00187B3E"/>
    <w:rsid w:val="00196231"/>
    <w:rsid w:val="001A73CE"/>
    <w:rsid w:val="001D22C6"/>
    <w:rsid w:val="001D3729"/>
    <w:rsid w:val="001F240D"/>
    <w:rsid w:val="00202E3C"/>
    <w:rsid w:val="002043E0"/>
    <w:rsid w:val="0021614E"/>
    <w:rsid w:val="00251C1D"/>
    <w:rsid w:val="00265080"/>
    <w:rsid w:val="002A5196"/>
    <w:rsid w:val="002C28DE"/>
    <w:rsid w:val="002C42D2"/>
    <w:rsid w:val="002C5716"/>
    <w:rsid w:val="00306ABB"/>
    <w:rsid w:val="00326486"/>
    <w:rsid w:val="00336791"/>
    <w:rsid w:val="00381F8D"/>
    <w:rsid w:val="003873B1"/>
    <w:rsid w:val="003C2826"/>
    <w:rsid w:val="003C7207"/>
    <w:rsid w:val="003D1A3F"/>
    <w:rsid w:val="004136D6"/>
    <w:rsid w:val="00447069"/>
    <w:rsid w:val="00464AA3"/>
    <w:rsid w:val="00481B5A"/>
    <w:rsid w:val="00491E26"/>
    <w:rsid w:val="004A57FC"/>
    <w:rsid w:val="004E4D6D"/>
    <w:rsid w:val="00543237"/>
    <w:rsid w:val="00563673"/>
    <w:rsid w:val="005A3A44"/>
    <w:rsid w:val="005A501B"/>
    <w:rsid w:val="005D3C7A"/>
    <w:rsid w:val="005F1D77"/>
    <w:rsid w:val="006D0686"/>
    <w:rsid w:val="006E19DB"/>
    <w:rsid w:val="006E767E"/>
    <w:rsid w:val="007074AE"/>
    <w:rsid w:val="007367AA"/>
    <w:rsid w:val="00771524"/>
    <w:rsid w:val="00774EEB"/>
    <w:rsid w:val="00776391"/>
    <w:rsid w:val="00785A9F"/>
    <w:rsid w:val="007D3679"/>
    <w:rsid w:val="007F222E"/>
    <w:rsid w:val="007F5F2B"/>
    <w:rsid w:val="00812294"/>
    <w:rsid w:val="00812E09"/>
    <w:rsid w:val="008250E9"/>
    <w:rsid w:val="00830DAA"/>
    <w:rsid w:val="00837A93"/>
    <w:rsid w:val="00852E50"/>
    <w:rsid w:val="008B1869"/>
    <w:rsid w:val="008C05A2"/>
    <w:rsid w:val="008F1927"/>
    <w:rsid w:val="009166BB"/>
    <w:rsid w:val="00955CA3"/>
    <w:rsid w:val="0096117B"/>
    <w:rsid w:val="00991F09"/>
    <w:rsid w:val="009C05ED"/>
    <w:rsid w:val="009F3900"/>
    <w:rsid w:val="00A06DF3"/>
    <w:rsid w:val="00A25109"/>
    <w:rsid w:val="00A57B27"/>
    <w:rsid w:val="00A719CF"/>
    <w:rsid w:val="00A77459"/>
    <w:rsid w:val="00AB4D36"/>
    <w:rsid w:val="00AF6290"/>
    <w:rsid w:val="00B20D71"/>
    <w:rsid w:val="00B21AA2"/>
    <w:rsid w:val="00B3032C"/>
    <w:rsid w:val="00B66E4C"/>
    <w:rsid w:val="00B77FEC"/>
    <w:rsid w:val="00BA68EE"/>
    <w:rsid w:val="00BE68DF"/>
    <w:rsid w:val="00BE7B45"/>
    <w:rsid w:val="00C302E7"/>
    <w:rsid w:val="00C603EA"/>
    <w:rsid w:val="00C64402"/>
    <w:rsid w:val="00C727AA"/>
    <w:rsid w:val="00C857BE"/>
    <w:rsid w:val="00CA13F8"/>
    <w:rsid w:val="00CD0566"/>
    <w:rsid w:val="00CD7B01"/>
    <w:rsid w:val="00D41ED8"/>
    <w:rsid w:val="00D45ACC"/>
    <w:rsid w:val="00D732FF"/>
    <w:rsid w:val="00E01E7C"/>
    <w:rsid w:val="00E144DE"/>
    <w:rsid w:val="00E36FDD"/>
    <w:rsid w:val="00E83114"/>
    <w:rsid w:val="00E87E48"/>
    <w:rsid w:val="00EA55CD"/>
    <w:rsid w:val="00EB7394"/>
    <w:rsid w:val="00ED17C7"/>
    <w:rsid w:val="00ED33FF"/>
    <w:rsid w:val="00F030C5"/>
    <w:rsid w:val="00F10545"/>
    <w:rsid w:val="00F33B39"/>
    <w:rsid w:val="00F55201"/>
    <w:rsid w:val="00F75AAA"/>
    <w:rsid w:val="00F93ACF"/>
    <w:rsid w:val="00F95086"/>
    <w:rsid w:val="00F96D1C"/>
    <w:rsid w:val="00F97299"/>
    <w:rsid w:val="00FB5DEB"/>
    <w:rsid w:val="00FB6BBC"/>
    <w:rsid w:val="00FE388B"/>
    <w:rsid w:val="00FF5F79"/>
    <w:rsid w:val="3BACBA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9763B"/>
  <w15:chartTrackingRefBased/>
  <w15:docId w15:val="{1D499A38-570B-4F09-8719-80CA7E031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0D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C57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566"/>
    <w:pPr>
      <w:ind w:left="720"/>
      <w:contextualSpacing/>
    </w:pPr>
  </w:style>
  <w:style w:type="character" w:customStyle="1" w:styleId="Heading1Char">
    <w:name w:val="Heading 1 Char"/>
    <w:basedOn w:val="DefaultParagraphFont"/>
    <w:link w:val="Heading1"/>
    <w:uiPriority w:val="9"/>
    <w:rsid w:val="00B20D7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C05ED"/>
    <w:rPr>
      <w:color w:val="0563C1" w:themeColor="hyperlink"/>
      <w:u w:val="single"/>
    </w:rPr>
  </w:style>
  <w:style w:type="character" w:styleId="UnresolvedMention">
    <w:name w:val="Unresolved Mention"/>
    <w:basedOn w:val="DefaultParagraphFont"/>
    <w:uiPriority w:val="99"/>
    <w:semiHidden/>
    <w:unhideWhenUsed/>
    <w:rsid w:val="009C05ED"/>
    <w:rPr>
      <w:color w:val="605E5C"/>
      <w:shd w:val="clear" w:color="auto" w:fill="E1DFDD"/>
    </w:rPr>
  </w:style>
  <w:style w:type="character" w:customStyle="1" w:styleId="Heading2Char">
    <w:name w:val="Heading 2 Char"/>
    <w:basedOn w:val="DefaultParagraphFont"/>
    <w:link w:val="Heading2"/>
    <w:uiPriority w:val="9"/>
    <w:rsid w:val="002C5716"/>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7F5F2B"/>
    <w:pPr>
      <w:spacing w:after="0" w:line="240" w:lineRule="auto"/>
    </w:pPr>
    <w:rPr>
      <w:rFonts w:eastAsiaTheme="minorEastAsia"/>
      <w:sz w:val="24"/>
      <w:lang w:bidi="en-US"/>
    </w:rPr>
  </w:style>
  <w:style w:type="character" w:styleId="CommentReference">
    <w:name w:val="annotation reference"/>
    <w:basedOn w:val="DefaultParagraphFont"/>
    <w:uiPriority w:val="99"/>
    <w:semiHidden/>
    <w:unhideWhenUsed/>
    <w:rsid w:val="002C28DE"/>
    <w:rPr>
      <w:sz w:val="16"/>
      <w:szCs w:val="16"/>
    </w:rPr>
  </w:style>
  <w:style w:type="paragraph" w:styleId="CommentText">
    <w:name w:val="annotation text"/>
    <w:basedOn w:val="Normal"/>
    <w:link w:val="CommentTextChar"/>
    <w:uiPriority w:val="99"/>
    <w:unhideWhenUsed/>
    <w:rsid w:val="002C28DE"/>
    <w:pPr>
      <w:spacing w:line="240" w:lineRule="auto"/>
    </w:pPr>
    <w:rPr>
      <w:sz w:val="20"/>
      <w:szCs w:val="20"/>
    </w:rPr>
  </w:style>
  <w:style w:type="character" w:customStyle="1" w:styleId="CommentTextChar">
    <w:name w:val="Comment Text Char"/>
    <w:basedOn w:val="DefaultParagraphFont"/>
    <w:link w:val="CommentText"/>
    <w:uiPriority w:val="99"/>
    <w:rsid w:val="002C28DE"/>
    <w:rPr>
      <w:sz w:val="20"/>
      <w:szCs w:val="20"/>
    </w:rPr>
  </w:style>
  <w:style w:type="paragraph" w:styleId="CommentSubject">
    <w:name w:val="annotation subject"/>
    <w:basedOn w:val="CommentText"/>
    <w:next w:val="CommentText"/>
    <w:link w:val="CommentSubjectChar"/>
    <w:uiPriority w:val="99"/>
    <w:semiHidden/>
    <w:unhideWhenUsed/>
    <w:rsid w:val="002C28DE"/>
    <w:rPr>
      <w:b/>
      <w:bCs/>
    </w:rPr>
  </w:style>
  <w:style w:type="character" w:customStyle="1" w:styleId="CommentSubjectChar">
    <w:name w:val="Comment Subject Char"/>
    <w:basedOn w:val="CommentTextChar"/>
    <w:link w:val="CommentSubject"/>
    <w:uiPriority w:val="99"/>
    <w:semiHidden/>
    <w:rsid w:val="002C28DE"/>
    <w:rPr>
      <w:b/>
      <w:bCs/>
      <w:sz w:val="20"/>
      <w:szCs w:val="20"/>
    </w:rPr>
  </w:style>
  <w:style w:type="character" w:styleId="FollowedHyperlink">
    <w:name w:val="FollowedHyperlink"/>
    <w:basedOn w:val="DefaultParagraphFont"/>
    <w:uiPriority w:val="99"/>
    <w:semiHidden/>
    <w:unhideWhenUsed/>
    <w:rsid w:val="002C28DE"/>
    <w:rPr>
      <w:color w:val="954F72" w:themeColor="followedHyperlink"/>
      <w:u w:val="single"/>
    </w:rPr>
  </w:style>
  <w:style w:type="table" w:styleId="TableGrid">
    <w:name w:val="Table Grid"/>
    <w:basedOn w:val="TableNormal"/>
    <w:uiPriority w:val="39"/>
    <w:rsid w:val="00F10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Normal"/>
    <w:rsid w:val="009F39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070">
      <w:bodyDiv w:val="1"/>
      <w:marLeft w:val="0"/>
      <w:marRight w:val="0"/>
      <w:marTop w:val="0"/>
      <w:marBottom w:val="0"/>
      <w:divBdr>
        <w:top w:val="none" w:sz="0" w:space="0" w:color="auto"/>
        <w:left w:val="none" w:sz="0" w:space="0" w:color="auto"/>
        <w:bottom w:val="none" w:sz="0" w:space="0" w:color="auto"/>
        <w:right w:val="none" w:sz="0" w:space="0" w:color="auto"/>
      </w:divBdr>
    </w:div>
    <w:div w:id="1132285351">
      <w:bodyDiv w:val="1"/>
      <w:marLeft w:val="0"/>
      <w:marRight w:val="0"/>
      <w:marTop w:val="0"/>
      <w:marBottom w:val="0"/>
      <w:divBdr>
        <w:top w:val="none" w:sz="0" w:space="0" w:color="auto"/>
        <w:left w:val="none" w:sz="0" w:space="0" w:color="auto"/>
        <w:bottom w:val="none" w:sz="0" w:space="0" w:color="auto"/>
        <w:right w:val="none" w:sz="0" w:space="0" w:color="auto"/>
      </w:divBdr>
    </w:div>
    <w:div w:id="1206407040">
      <w:bodyDiv w:val="1"/>
      <w:marLeft w:val="0"/>
      <w:marRight w:val="0"/>
      <w:marTop w:val="0"/>
      <w:marBottom w:val="0"/>
      <w:divBdr>
        <w:top w:val="none" w:sz="0" w:space="0" w:color="auto"/>
        <w:left w:val="none" w:sz="0" w:space="0" w:color="auto"/>
        <w:bottom w:val="none" w:sz="0" w:space="0" w:color="auto"/>
        <w:right w:val="none" w:sz="0" w:space="0" w:color="auto"/>
      </w:divBdr>
    </w:div>
    <w:div w:id="1541895481">
      <w:bodyDiv w:val="1"/>
      <w:marLeft w:val="0"/>
      <w:marRight w:val="0"/>
      <w:marTop w:val="0"/>
      <w:marBottom w:val="0"/>
      <w:divBdr>
        <w:top w:val="none" w:sz="0" w:space="0" w:color="auto"/>
        <w:left w:val="none" w:sz="0" w:space="0" w:color="auto"/>
        <w:bottom w:val="none" w:sz="0" w:space="0" w:color="auto"/>
        <w:right w:val="none" w:sz="0" w:space="0" w:color="auto"/>
      </w:divBdr>
    </w:div>
    <w:div w:id="1610703719">
      <w:bodyDiv w:val="1"/>
      <w:marLeft w:val="0"/>
      <w:marRight w:val="0"/>
      <w:marTop w:val="0"/>
      <w:marBottom w:val="0"/>
      <w:divBdr>
        <w:top w:val="none" w:sz="0" w:space="0" w:color="auto"/>
        <w:left w:val="none" w:sz="0" w:space="0" w:color="auto"/>
        <w:bottom w:val="none" w:sz="0" w:space="0" w:color="auto"/>
        <w:right w:val="none" w:sz="0" w:space="0" w:color="auto"/>
      </w:divBdr>
    </w:div>
    <w:div w:id="1905678275">
      <w:bodyDiv w:val="1"/>
      <w:marLeft w:val="0"/>
      <w:marRight w:val="0"/>
      <w:marTop w:val="0"/>
      <w:marBottom w:val="0"/>
      <w:divBdr>
        <w:top w:val="none" w:sz="0" w:space="0" w:color="auto"/>
        <w:left w:val="none" w:sz="0" w:space="0" w:color="auto"/>
        <w:bottom w:val="none" w:sz="0" w:space="0" w:color="auto"/>
        <w:right w:val="none" w:sz="0" w:space="0" w:color="auto"/>
      </w:divBdr>
    </w:div>
    <w:div w:id="1939213579">
      <w:bodyDiv w:val="1"/>
      <w:marLeft w:val="0"/>
      <w:marRight w:val="0"/>
      <w:marTop w:val="0"/>
      <w:marBottom w:val="0"/>
      <w:divBdr>
        <w:top w:val="none" w:sz="0" w:space="0" w:color="auto"/>
        <w:left w:val="none" w:sz="0" w:space="0" w:color="auto"/>
        <w:bottom w:val="none" w:sz="0" w:space="0" w:color="auto"/>
        <w:right w:val="none" w:sz="0" w:space="0" w:color="auto"/>
      </w:divBdr>
    </w:div>
    <w:div w:id="206047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sped/spp/indicators/indicator14/indicator14-slides-portuguese.ppt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sites.ed.gov/idea/spp-apr-letters?selected-category=&amp;selected-year=&amp;state=Massachusetts" TargetMode="External"/><Relationship Id="rId4" Type="http://schemas.openxmlformats.org/officeDocument/2006/relationships/numbering" Target="numbering.xml"/><Relationship Id="rId9" Type="http://schemas.openxmlformats.org/officeDocument/2006/relationships/hyperlink" Target="https://profiles.doe.mass.edu/statereport/special_educa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966e0c-939d-4bbf-90b4-42061a5e5694" xsi:nil="true"/>
    <lcf76f155ced4ddcb4097134ff3c332f xmlns="cc23f7d9-a29c-42d6-b193-fa0a263dd66f">
      <Terms xmlns="http://schemas.microsoft.com/office/infopath/2007/PartnerControls"/>
    </lcf76f155ced4ddcb4097134ff3c332f>
    <SharedWithUsers xmlns="55966e0c-939d-4bbf-90b4-42061a5e5694">
      <UserInfo>
        <DisplayName>Hanafin, Bob (DESE)</DisplayName>
        <AccountId>25</AccountId>
        <AccountType/>
      </UserInfo>
      <UserInfo>
        <DisplayName>Tobey, Gregory (DESE)</DisplayName>
        <AccountId>325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4" ma:contentTypeDescription="Create a new document." ma:contentTypeScope="" ma:versionID="bf85bd3fa92504208f7da9b570c34793">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a600b848613c7fd4d4fa1d13c9abdf2b"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ca9679-bb29-4b29-84a6-2bd5bf46006f}" ma:internalName="TaxCatchAll" ma:showField="CatchAllData" ma:web="55966e0c-939d-4bbf-90b4-42061a5e5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95F6EA-54F8-4569-830B-F9C8BD953539}">
  <ds:schemaRefs>
    <ds:schemaRef ds:uri="http://schemas.microsoft.com/office/2006/metadata/properties"/>
    <ds:schemaRef ds:uri="http://schemas.microsoft.com/office/infopath/2007/PartnerControls"/>
    <ds:schemaRef ds:uri="55966e0c-939d-4bbf-90b4-42061a5e5694"/>
    <ds:schemaRef ds:uri="cc23f7d9-a29c-42d6-b193-fa0a263dd66f"/>
  </ds:schemaRefs>
</ds:datastoreItem>
</file>

<file path=customXml/itemProps2.xml><?xml version="1.0" encoding="utf-8"?>
<ds:datastoreItem xmlns:ds="http://schemas.openxmlformats.org/officeDocument/2006/customXml" ds:itemID="{88957DCB-5547-49A7-A6A2-0BD359890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ADCA00-8912-43AC-9D89-1B1C453D99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Indicator 14: Post-school Outcomes for Students with IEPs — Portuguese</vt:lpstr>
    </vt:vector>
  </TitlesOfParts>
  <Company/>
  <LinksUpToDate>false</LinksUpToDate>
  <CharactersWithSpaces>7033</CharactersWithSpaces>
  <SharedDoc>false</SharedDoc>
  <HLinks>
    <vt:vector size="84" baseType="variant">
      <vt:variant>
        <vt:i4>3866742</vt:i4>
      </vt:variant>
      <vt:variant>
        <vt:i4>36</vt:i4>
      </vt:variant>
      <vt:variant>
        <vt:i4>0</vt:i4>
      </vt:variant>
      <vt:variant>
        <vt:i4>5</vt:i4>
      </vt:variant>
      <vt:variant>
        <vt:lpwstr>https://sites.ed.gov/idea/spp-apr-letters?selected-category=&amp;selected-year=&amp;state=Massachusetts</vt:lpwstr>
      </vt:variant>
      <vt:variant>
        <vt:lpwstr/>
      </vt:variant>
      <vt:variant>
        <vt:i4>2818115</vt:i4>
      </vt:variant>
      <vt:variant>
        <vt:i4>33</vt:i4>
      </vt:variant>
      <vt:variant>
        <vt:i4>0</vt:i4>
      </vt:variant>
      <vt:variant>
        <vt:i4>5</vt:i4>
      </vt:variant>
      <vt:variant>
        <vt:lpwstr>https://profiles.doe.mass.edu/statereport/special_education.aspx</vt:lpwstr>
      </vt:variant>
      <vt:variant>
        <vt:lpwstr/>
      </vt:variant>
      <vt:variant>
        <vt:i4>2621560</vt:i4>
      </vt:variant>
      <vt:variant>
        <vt:i4>30</vt:i4>
      </vt:variant>
      <vt:variant>
        <vt:i4>0</vt:i4>
      </vt:variant>
      <vt:variant>
        <vt:i4>5</vt:i4>
      </vt:variant>
      <vt:variant>
        <vt:lpwstr>https://www.doe.mass.edu/sped/secondary-transition/indicator14.html</vt:lpwstr>
      </vt:variant>
      <vt:variant>
        <vt:lpwstr/>
      </vt:variant>
      <vt:variant>
        <vt:i4>4849734</vt:i4>
      </vt:variant>
      <vt:variant>
        <vt:i4>27</vt:i4>
      </vt:variant>
      <vt:variant>
        <vt:i4>0</vt:i4>
      </vt:variant>
      <vt:variant>
        <vt:i4>5</vt:i4>
      </vt:variant>
      <vt:variant>
        <vt:lpwstr>https://www.doe.mass.edu/sped/spp/maspp.html</vt:lpwstr>
      </vt:variant>
      <vt:variant>
        <vt:lpwstr/>
      </vt:variant>
      <vt:variant>
        <vt:i4>4915282</vt:i4>
      </vt:variant>
      <vt:variant>
        <vt:i4>24</vt:i4>
      </vt:variant>
      <vt:variant>
        <vt:i4>0</vt:i4>
      </vt:variant>
      <vt:variant>
        <vt:i4>5</vt:i4>
      </vt:variant>
      <vt:variant>
        <vt:lpwstr>https://www.doe.mass.edu/sped/spp/indicators/indicator14/</vt:lpwstr>
      </vt:variant>
      <vt:variant>
        <vt:lpwstr/>
      </vt:variant>
      <vt:variant>
        <vt:i4>5242971</vt:i4>
      </vt:variant>
      <vt:variant>
        <vt:i4>21</vt:i4>
      </vt:variant>
      <vt:variant>
        <vt:i4>0</vt:i4>
      </vt:variant>
      <vt:variant>
        <vt:i4>5</vt:i4>
      </vt:variant>
      <vt:variant>
        <vt:lpwstr>https://www.doe.mass.edu/sped/spp/indicators/indicator8/</vt:lpwstr>
      </vt:variant>
      <vt:variant>
        <vt:lpwstr/>
      </vt:variant>
      <vt:variant>
        <vt:i4>851991</vt:i4>
      </vt:variant>
      <vt:variant>
        <vt:i4>18</vt:i4>
      </vt:variant>
      <vt:variant>
        <vt:i4>0</vt:i4>
      </vt:variant>
      <vt:variant>
        <vt:i4>5</vt:i4>
      </vt:variant>
      <vt:variant>
        <vt:lpwstr>https://www.doe.mass.edu/sped/ecse/StrategicAreas.html</vt:lpwstr>
      </vt:variant>
      <vt:variant>
        <vt:lpwstr>outcome)%20removed</vt:lpwstr>
      </vt:variant>
      <vt:variant>
        <vt:i4>5242964</vt:i4>
      </vt:variant>
      <vt:variant>
        <vt:i4>15</vt:i4>
      </vt:variant>
      <vt:variant>
        <vt:i4>0</vt:i4>
      </vt:variant>
      <vt:variant>
        <vt:i4>5</vt:i4>
      </vt:variant>
      <vt:variant>
        <vt:lpwstr>https://www.doe.mass.edu/sped/spp/indicators/indicator7/</vt:lpwstr>
      </vt:variant>
      <vt:variant>
        <vt:lpwstr/>
      </vt:variant>
      <vt:variant>
        <vt:i4>5242965</vt:i4>
      </vt:variant>
      <vt:variant>
        <vt:i4>12</vt:i4>
      </vt:variant>
      <vt:variant>
        <vt:i4>0</vt:i4>
      </vt:variant>
      <vt:variant>
        <vt:i4>5</vt:i4>
      </vt:variant>
      <vt:variant>
        <vt:lpwstr>https://www.doe.mass.edu/sped/spp/indicators/indicator6/</vt:lpwstr>
      </vt:variant>
      <vt:variant>
        <vt:lpwstr/>
      </vt:variant>
      <vt:variant>
        <vt:i4>5242966</vt:i4>
      </vt:variant>
      <vt:variant>
        <vt:i4>9</vt:i4>
      </vt:variant>
      <vt:variant>
        <vt:i4>0</vt:i4>
      </vt:variant>
      <vt:variant>
        <vt:i4>5</vt:i4>
      </vt:variant>
      <vt:variant>
        <vt:lpwstr>https://www.doe.mass.edu/sped/spp/indicators/indicator5/</vt:lpwstr>
      </vt:variant>
      <vt:variant>
        <vt:lpwstr/>
      </vt:variant>
      <vt:variant>
        <vt:i4>5242961</vt:i4>
      </vt:variant>
      <vt:variant>
        <vt:i4>6</vt:i4>
      </vt:variant>
      <vt:variant>
        <vt:i4>0</vt:i4>
      </vt:variant>
      <vt:variant>
        <vt:i4>5</vt:i4>
      </vt:variant>
      <vt:variant>
        <vt:lpwstr>https://www.doe.mass.edu/sped/spp/indicators/indicator2/</vt:lpwstr>
      </vt:variant>
      <vt:variant>
        <vt:lpwstr/>
      </vt:variant>
      <vt:variant>
        <vt:i4>6094872</vt:i4>
      </vt:variant>
      <vt:variant>
        <vt:i4>3</vt:i4>
      </vt:variant>
      <vt:variant>
        <vt:i4>0</vt:i4>
      </vt:variant>
      <vt:variant>
        <vt:i4>5</vt:i4>
      </vt:variant>
      <vt:variant>
        <vt:lpwstr>https://www.doe.mass.edu/mcas/graduation.html</vt:lpwstr>
      </vt:variant>
      <vt:variant>
        <vt:lpwstr/>
      </vt:variant>
      <vt:variant>
        <vt:i4>5242962</vt:i4>
      </vt:variant>
      <vt:variant>
        <vt:i4>0</vt:i4>
      </vt:variant>
      <vt:variant>
        <vt:i4>0</vt:i4>
      </vt:variant>
      <vt:variant>
        <vt:i4>5</vt:i4>
      </vt:variant>
      <vt:variant>
        <vt:lpwstr>https://www.doe.mass.edu/sped/spp/indicators/indicator1/</vt:lpwstr>
      </vt:variant>
      <vt:variant>
        <vt:lpwstr/>
      </vt:variant>
      <vt:variant>
        <vt:i4>2621560</vt:i4>
      </vt:variant>
      <vt:variant>
        <vt:i4>0</vt:i4>
      </vt:variant>
      <vt:variant>
        <vt:i4>0</vt:i4>
      </vt:variant>
      <vt:variant>
        <vt:i4>5</vt:i4>
      </vt:variant>
      <vt:variant>
        <vt:lpwstr>https://www.doe.mass.edu/sped/secondary-transition/indicator14.html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14: Post-school Outcomes for Students with IEPs — Portuguese</dc:title>
  <dc:subject/>
  <dc:creator>DESE</dc:creator>
  <cp:keywords/>
  <dc:description/>
  <cp:lastModifiedBy>Zou, Dong (EOE)</cp:lastModifiedBy>
  <cp:revision>11</cp:revision>
  <cp:lastPrinted>2023-02-24T18:45:00Z</cp:lastPrinted>
  <dcterms:created xsi:type="dcterms:W3CDTF">2023-02-24T21:50:00Z</dcterms:created>
  <dcterms:modified xsi:type="dcterms:W3CDTF">2024-05-13T17:49:00Z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3 2023 12:00AM</vt:lpwstr>
  </property>
</Properties>
</file>