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FD46" w14:textId="395BD38B" w:rsidR="009F3900" w:rsidRDefault="00592E6F" w:rsidP="009F3900">
      <w:pPr>
        <w:pStyle w:val="lead"/>
        <w:shd w:val="clear" w:color="auto" w:fill="FFFFFF"/>
        <w:spacing w:before="0" w:beforeAutospacing="0"/>
        <w:rPr>
          <w:rFonts w:ascii="Segoe UI" w:hAnsi="Segoe UI" w:cs="Segoe UI"/>
          <w:color w:val="222222"/>
        </w:rPr>
      </w:pPr>
      <w:r>
        <w:fldChar w:fldCharType="begin"/>
      </w:r>
      <w:r>
        <w:instrText>HYPERLINK "https://www.doe.mass.edu/sped/spp/indicators/indicator14/"</w:instrText>
      </w:r>
      <w:r>
        <w:fldChar w:fldCharType="separate"/>
      </w:r>
      <w:r w:rsidR="009F3900" w:rsidRPr="00FA2B4C">
        <w:rPr>
          <w:rStyle w:val="Hyperlink"/>
          <w:rFonts w:ascii="Segoe UI" w:hAnsi="Segoe UI"/>
          <w:b/>
        </w:rPr>
        <w:t>English</w:t>
      </w:r>
      <w:r>
        <w:rPr>
          <w:rStyle w:val="Hyperlink"/>
          <w:rFonts w:ascii="Segoe UI" w:hAnsi="Segoe UI"/>
          <w:b/>
        </w:rPr>
        <w:fldChar w:fldCharType="end"/>
      </w:r>
      <w:r w:rsidR="009F3900">
        <w:rPr>
          <w:rFonts w:ascii="Segoe UI" w:hAnsi="Segoe UI"/>
          <w:b/>
          <w:color w:val="222222"/>
        </w:rPr>
        <w:t xml:space="preserve"> | </w:t>
      </w:r>
      <w:proofErr w:type="spellStart"/>
      <w:r>
        <w:fldChar w:fldCharType="begin"/>
      </w:r>
      <w:r>
        <w:instrText>HYPERLINK "https://www.doe.mass.edu/sped/spp/indicators/indicator14/indicator14-chinese.docx" \o "下载Word文件"</w:instrText>
      </w:r>
      <w:r>
        <w:fldChar w:fldCharType="separate"/>
      </w:r>
      <w:r w:rsidR="009F3900" w:rsidRPr="00FA2B4C">
        <w:rPr>
          <w:rStyle w:val="Hyperlink"/>
          <w:rFonts w:ascii="MS Gothic" w:hAnsi="MS Gothic"/>
          <w:b/>
          <w:color w:val="0060C7"/>
        </w:rPr>
        <w:t>繁體中文</w:t>
      </w:r>
      <w:proofErr w:type="spellEnd"/>
      <w:r w:rsidR="009F3900">
        <w:rPr>
          <w:rStyle w:val="Hyperlink"/>
          <w:rFonts w:ascii="Segoe UI" w:hAnsi="Segoe UI"/>
          <w:b/>
          <w:color w:val="0060C7"/>
          <w:u w:val="none"/>
        </w:rPr>
        <w:t> </w:t>
      </w:r>
      <w:r>
        <w:rPr>
          <w:rStyle w:val="Hyperlink"/>
          <w:rFonts w:ascii="Segoe UI" w:hAnsi="Segoe UI"/>
          <w:b/>
          <w:color w:val="0060C7"/>
          <w:u w:val="none"/>
        </w:rPr>
        <w:fldChar w:fldCharType="end"/>
      </w:r>
      <w:r w:rsidR="009F3900">
        <w:rPr>
          <w:rFonts w:ascii="Segoe UI" w:hAnsi="Segoe UI"/>
          <w:b/>
          <w:color w:val="222222"/>
        </w:rPr>
        <w:t>| </w:t>
      </w:r>
      <w:proofErr w:type="spellStart"/>
      <w:r>
        <w:fldChar w:fldCharType="begin"/>
      </w:r>
      <w:r>
        <w:instrText>HYPERLINK "https://www.doe.mass.edu/sped/spp/indicators/indicator14/indicator14-haitiancreole.docx" \o "Telechaje dosye Word"</w:instrText>
      </w:r>
      <w:r>
        <w:fldChar w:fldCharType="separate"/>
      </w:r>
      <w:r w:rsidR="009F3900" w:rsidRPr="00FA2B4C">
        <w:rPr>
          <w:rStyle w:val="Hyperlink"/>
          <w:rFonts w:ascii="Segoe UI" w:hAnsi="Segoe UI"/>
          <w:b/>
          <w:color w:val="0060C7"/>
        </w:rPr>
        <w:t>Kreyòl</w:t>
      </w:r>
      <w:proofErr w:type="spellEnd"/>
      <w:r w:rsidR="009F3900" w:rsidRPr="00FA2B4C">
        <w:rPr>
          <w:rStyle w:val="Hyperlink"/>
          <w:rFonts w:ascii="Segoe UI" w:hAnsi="Segoe UI"/>
          <w:b/>
          <w:color w:val="0060C7"/>
        </w:rPr>
        <w:t xml:space="preserve"> </w:t>
      </w:r>
      <w:proofErr w:type="spellStart"/>
      <w:r w:rsidR="009F3900" w:rsidRPr="00FA2B4C">
        <w:rPr>
          <w:rStyle w:val="Hyperlink"/>
          <w:rFonts w:ascii="Segoe UI" w:hAnsi="Segoe UI"/>
          <w:b/>
          <w:color w:val="0060C7"/>
        </w:rPr>
        <w:t>Ayisyen</w:t>
      </w:r>
      <w:proofErr w:type="spellEnd"/>
      <w:r w:rsidR="009F3900">
        <w:rPr>
          <w:rStyle w:val="Hyperlink"/>
          <w:rFonts w:ascii="Segoe UI" w:hAnsi="Segoe UI"/>
          <w:b/>
          <w:color w:val="0060C7"/>
          <w:u w:val="none"/>
        </w:rPr>
        <w:t> </w:t>
      </w:r>
      <w:r>
        <w:rPr>
          <w:rStyle w:val="Hyperlink"/>
          <w:rFonts w:ascii="Segoe UI" w:hAnsi="Segoe UI"/>
          <w:b/>
          <w:color w:val="0060C7"/>
          <w:u w:val="none"/>
        </w:rPr>
        <w:fldChar w:fldCharType="end"/>
      </w:r>
      <w:r w:rsidR="009F3900">
        <w:rPr>
          <w:rFonts w:ascii="Segoe UI" w:hAnsi="Segoe UI"/>
          <w:b/>
          <w:color w:val="222222"/>
        </w:rPr>
        <w:t>| </w:t>
      </w:r>
      <w:proofErr w:type="spellStart"/>
      <w:r>
        <w:fldChar w:fldCharType="begin"/>
      </w:r>
      <w:r>
        <w:instrText>HYPERLINK "https://www.doe.mass.edu/sped/spp/indicators/indicator14/indicator14-portuguese.docx" \o "Baixar arquivo do Word"</w:instrText>
      </w:r>
      <w:r>
        <w:fldChar w:fldCharType="separate"/>
      </w:r>
      <w:r w:rsidR="009F3900" w:rsidRPr="00FA2B4C">
        <w:rPr>
          <w:rStyle w:val="Hyperlink"/>
          <w:rFonts w:ascii="Segoe UI" w:hAnsi="Segoe UI"/>
          <w:b/>
          <w:color w:val="0060C7"/>
        </w:rPr>
        <w:t>português</w:t>
      </w:r>
      <w:proofErr w:type="spellEnd"/>
      <w:r>
        <w:rPr>
          <w:rStyle w:val="Hyperlink"/>
          <w:rFonts w:ascii="Segoe UI" w:hAnsi="Segoe UI"/>
          <w:b/>
          <w:color w:val="0060C7"/>
        </w:rPr>
        <w:fldChar w:fldCharType="end"/>
      </w:r>
      <w:r w:rsidR="009F3900">
        <w:rPr>
          <w:rFonts w:ascii="Segoe UI" w:hAnsi="Segoe UI"/>
          <w:b/>
          <w:color w:val="222222"/>
        </w:rPr>
        <w:t> | </w:t>
      </w:r>
      <w:r w:rsidR="009F3900" w:rsidRPr="00FA2B4C">
        <w:rPr>
          <w:rFonts w:ascii="Segoe UI" w:hAnsi="Segoe UI"/>
          <w:b/>
        </w:rPr>
        <w:t>español</w:t>
      </w:r>
      <w:r w:rsidR="009F3900">
        <w:rPr>
          <w:rFonts w:ascii="Segoe UI" w:hAnsi="Segoe UI"/>
          <w:b/>
          <w:color w:val="222222"/>
        </w:rPr>
        <w:t> | </w:t>
      </w:r>
      <w:proofErr w:type="spellStart"/>
      <w:r>
        <w:fldChar w:fldCharType="begin"/>
      </w:r>
      <w:r>
        <w:instrText>HYPERLINK "https://www.doe.mass.edu/sped/spp/indicators/indicator14/indicator14-vietnamese.docx" \o "Tải xuống tệp Word"</w:instrText>
      </w:r>
      <w:r>
        <w:fldChar w:fldCharType="separate"/>
      </w:r>
      <w:r w:rsidR="00FA2B4C">
        <w:rPr>
          <w:rStyle w:val="Hyperlink"/>
          <w:rFonts w:ascii="Segoe UI" w:hAnsi="Segoe UI"/>
          <w:b/>
          <w:color w:val="0060C7"/>
          <w:u w:val="none"/>
        </w:rPr>
        <w:t>Việt</w:t>
      </w:r>
      <w:proofErr w:type="spellEnd"/>
      <w:r>
        <w:rPr>
          <w:rStyle w:val="Hyperlink"/>
          <w:rFonts w:ascii="Segoe UI" w:hAnsi="Segoe UI"/>
          <w:b/>
          <w:color w:val="0060C7"/>
          <w:u w:val="none"/>
        </w:rPr>
        <w:fldChar w:fldCharType="end"/>
      </w:r>
    </w:p>
    <w:p w14:paraId="4E6C2A3D" w14:textId="77777777" w:rsidR="009F3900" w:rsidRPr="00C1296A" w:rsidRDefault="009F3900" w:rsidP="00C1296A">
      <w:pPr>
        <w:pStyle w:val="Heading1"/>
        <w:shd w:val="clear" w:color="auto" w:fill="FFFFFF"/>
        <w:ind w:right="-563"/>
        <w:rPr>
          <w:rFonts w:ascii="Segoe UI" w:hAnsi="Segoe UI" w:cs="Segoe UI"/>
          <w:color w:val="222222"/>
          <w:sz w:val="28"/>
          <w:szCs w:val="28"/>
        </w:rPr>
      </w:pPr>
      <w:r w:rsidRPr="00C1296A">
        <w:rPr>
          <w:rFonts w:ascii="Segoe UI" w:hAnsi="Segoe UI"/>
          <w:b/>
          <w:color w:val="222222"/>
          <w:sz w:val="28"/>
          <w:szCs w:val="28"/>
        </w:rPr>
        <w:t>Indicador 14: Resultados posteriores a la escuela para estudiantes con IEP</w:t>
      </w:r>
    </w:p>
    <w:p w14:paraId="171FB970" w14:textId="77777777" w:rsidR="009F3900" w:rsidRPr="00C1296A" w:rsidRDefault="009F3900" w:rsidP="009C05ED">
      <w:pPr>
        <w:rPr>
          <w:sz w:val="20"/>
          <w:szCs w:val="20"/>
        </w:rPr>
      </w:pPr>
    </w:p>
    <w:p w14:paraId="378562F8" w14:textId="77777777" w:rsidR="009F3900" w:rsidRPr="00C1296A" w:rsidRDefault="009F3900" w:rsidP="009F3900">
      <w:pPr>
        <w:pStyle w:val="Heading2"/>
        <w:shd w:val="clear" w:color="auto" w:fill="FFFFFF"/>
        <w:rPr>
          <w:rFonts w:ascii="Segoe UI" w:hAnsi="Segoe UI" w:cs="Segoe UI"/>
          <w:color w:val="0C7580"/>
          <w:spacing w:val="12"/>
          <w:sz w:val="24"/>
          <w:szCs w:val="24"/>
        </w:rPr>
      </w:pPr>
      <w:r w:rsidRPr="00C1296A">
        <w:rPr>
          <w:rFonts w:ascii="Segoe UI" w:hAnsi="Segoe UI"/>
          <w:b/>
          <w:color w:val="0C7580"/>
          <w:sz w:val="24"/>
          <w:szCs w:val="24"/>
        </w:rPr>
        <w:t>¿Qué es el Indicador 14?</w:t>
      </w:r>
    </w:p>
    <w:p w14:paraId="44CAD373" w14:textId="35778CFF" w:rsidR="00063ACD" w:rsidRPr="00C1296A" w:rsidRDefault="00063ACD" w:rsidP="00063ACD">
      <w:pPr>
        <w:rPr>
          <w:sz w:val="20"/>
          <w:szCs w:val="20"/>
        </w:rPr>
      </w:pPr>
      <w:r w:rsidRPr="00C1296A">
        <w:rPr>
          <w:rFonts w:ascii="Calibri" w:hAnsi="Calibri"/>
          <w:color w:val="222222"/>
          <w:szCs w:val="20"/>
        </w:rPr>
        <w:t>El Indicador 14 es uno de los 17 indicadores que la Oficina de Programas de Educación Especial (OSEP) de los Estados Unidos usa para ver si los distritos escolares están siguiendo la ley de educación especial y si la educación especial está mejorando los resultados de los</w:t>
      </w:r>
      <w:r w:rsidR="0019015A">
        <w:rPr>
          <w:rFonts w:ascii="Calibri" w:hAnsi="Calibri"/>
          <w:color w:val="222222"/>
          <w:szCs w:val="20"/>
        </w:rPr>
        <w:t>/las</w:t>
      </w:r>
      <w:r w:rsidRPr="00C1296A">
        <w:rPr>
          <w:rFonts w:ascii="Calibri" w:hAnsi="Calibri"/>
          <w:color w:val="222222"/>
          <w:szCs w:val="20"/>
        </w:rPr>
        <w:t xml:space="preserve"> estudiantes con discapacidades.  </w:t>
      </w:r>
    </w:p>
    <w:p w14:paraId="341EB520" w14:textId="4668F072" w:rsidR="00063ACD" w:rsidRPr="00C1296A" w:rsidRDefault="00063ACD" w:rsidP="00063ACD">
      <w:pPr>
        <w:rPr>
          <w:rFonts w:ascii="Calibri" w:eastAsia="Calibri" w:hAnsi="Calibri" w:cs="Calibri"/>
          <w:color w:val="222222"/>
        </w:rPr>
      </w:pPr>
      <w:r w:rsidRPr="00C1296A">
        <w:rPr>
          <w:rFonts w:ascii="Calibri" w:hAnsi="Calibri"/>
          <w:color w:val="222222"/>
          <w:szCs w:val="20"/>
        </w:rPr>
        <w:t>El indicador 14 informa si nuestros</w:t>
      </w:r>
      <w:r w:rsidR="0019015A">
        <w:rPr>
          <w:rFonts w:ascii="Calibri" w:hAnsi="Calibri"/>
          <w:color w:val="222222"/>
          <w:szCs w:val="20"/>
        </w:rPr>
        <w:t>(as)</w:t>
      </w:r>
      <w:r w:rsidRPr="00C1296A">
        <w:rPr>
          <w:rFonts w:ascii="Calibri" w:hAnsi="Calibri"/>
          <w:color w:val="222222"/>
          <w:szCs w:val="20"/>
        </w:rPr>
        <w:t xml:space="preserve"> estudiantes con Programas Educativos Individualizados (IEP) están en la escuela o tienen un trabajo un año después de terminar la escuela secundaria al graduarse, cumplir la edad de 22 años o abandonar la escuela.</w:t>
      </w:r>
    </w:p>
    <w:p w14:paraId="00BB43C6" w14:textId="77777777" w:rsidR="009F3900" w:rsidRPr="00C1296A" w:rsidRDefault="009F3900" w:rsidP="009F3900">
      <w:pPr>
        <w:pStyle w:val="Heading2"/>
        <w:shd w:val="clear" w:color="auto" w:fill="FFFFFF"/>
        <w:rPr>
          <w:rFonts w:ascii="Segoe UI" w:hAnsi="Segoe UI" w:cs="Segoe UI"/>
          <w:color w:val="0C7580"/>
          <w:spacing w:val="12"/>
          <w:sz w:val="24"/>
          <w:szCs w:val="24"/>
        </w:rPr>
      </w:pPr>
      <w:r w:rsidRPr="00C1296A">
        <w:rPr>
          <w:rFonts w:ascii="Segoe UI" w:hAnsi="Segoe UI"/>
          <w:b/>
          <w:color w:val="0C7580"/>
          <w:sz w:val="24"/>
          <w:szCs w:val="24"/>
        </w:rPr>
        <w:t>¿Por qué es importante el Indicador 14?</w:t>
      </w:r>
    </w:p>
    <w:p w14:paraId="2F97EDDD" w14:textId="42DD2F23" w:rsidR="00063ACD" w:rsidRPr="00C1296A" w:rsidRDefault="00063ACD" w:rsidP="00063ACD">
      <w:pPr>
        <w:rPr>
          <w:sz w:val="20"/>
          <w:szCs w:val="20"/>
        </w:rPr>
      </w:pPr>
      <w:r w:rsidRPr="00C1296A">
        <w:rPr>
          <w:rFonts w:ascii="Calibri" w:hAnsi="Calibri"/>
          <w:color w:val="222222"/>
          <w:szCs w:val="20"/>
        </w:rPr>
        <w:t>El indicador 14 describe la vida de nuestros</w:t>
      </w:r>
      <w:r w:rsidR="0019015A">
        <w:rPr>
          <w:rFonts w:ascii="Calibri" w:hAnsi="Calibri"/>
          <w:color w:val="222222"/>
          <w:szCs w:val="20"/>
        </w:rPr>
        <w:t>(as)</w:t>
      </w:r>
      <w:r w:rsidRPr="00C1296A">
        <w:rPr>
          <w:rFonts w:ascii="Calibri" w:hAnsi="Calibri"/>
          <w:color w:val="222222"/>
          <w:szCs w:val="20"/>
        </w:rPr>
        <w:t xml:space="preserve"> estudiantes con IEP un año después de haber salido de la escuela secundaria. Es una forma de ayudarnos a comprender si la educación de los estudiantes los preparó para la vida adulta.</w:t>
      </w:r>
    </w:p>
    <w:p w14:paraId="01CF8E54" w14:textId="77777777" w:rsidR="009F3900" w:rsidRPr="00C1296A" w:rsidRDefault="009F3900" w:rsidP="009F3900">
      <w:pPr>
        <w:pStyle w:val="Heading2"/>
        <w:shd w:val="clear" w:color="auto" w:fill="FFFFFF"/>
        <w:rPr>
          <w:rFonts w:ascii="Segoe UI" w:hAnsi="Segoe UI" w:cs="Segoe UI"/>
          <w:color w:val="0C7580"/>
          <w:spacing w:val="12"/>
          <w:sz w:val="24"/>
          <w:szCs w:val="24"/>
        </w:rPr>
      </w:pPr>
      <w:r w:rsidRPr="00C1296A">
        <w:rPr>
          <w:rFonts w:ascii="Segoe UI" w:hAnsi="Segoe UI"/>
          <w:b/>
          <w:color w:val="0C7580"/>
          <w:sz w:val="24"/>
          <w:szCs w:val="24"/>
        </w:rPr>
        <w:t>¿Cómo recopila Massachusetts los datos del Indicador 14?</w:t>
      </w:r>
    </w:p>
    <w:p w14:paraId="273BBCCB" w14:textId="29ACC2E5" w:rsidR="00063ACD" w:rsidRPr="00C1296A" w:rsidRDefault="00063ACD" w:rsidP="00063ACD">
      <w:pPr>
        <w:rPr>
          <w:rFonts w:ascii="Calibri" w:eastAsia="Calibri" w:hAnsi="Calibri" w:cs="Calibri"/>
          <w:color w:val="222222"/>
        </w:rPr>
      </w:pPr>
      <w:r w:rsidRPr="00C1296A">
        <w:rPr>
          <w:rFonts w:ascii="Calibri" w:hAnsi="Calibri"/>
          <w:color w:val="222222"/>
          <w:szCs w:val="20"/>
        </w:rPr>
        <w:t>A partir de 2023, Massachusetts pasará a la recopilación de datos en todo el estado. Esto nos dará una imagen más completa de la vida de nuestros</w:t>
      </w:r>
      <w:r w:rsidR="0019015A">
        <w:rPr>
          <w:rFonts w:ascii="Calibri" w:hAnsi="Calibri"/>
          <w:color w:val="222222"/>
          <w:szCs w:val="20"/>
        </w:rPr>
        <w:t>(as)</w:t>
      </w:r>
      <w:r w:rsidRPr="00C1296A">
        <w:rPr>
          <w:rFonts w:ascii="Calibri" w:hAnsi="Calibri"/>
          <w:color w:val="222222"/>
          <w:szCs w:val="20"/>
        </w:rPr>
        <w:t xml:space="preserve"> estudiantes con IEP un año después de haber terminado la escuela secundaria.  Este cambio en la recopilación de datos de todos los estados mejorará la capacidad de Massachusetts para desglosar y analizar datos de una manera estadísticamente significativa y para comparar mejor los datos del Indicador 14 con los datos de graduación (Indicador 1) y los datos de deserción escolar (Indicador 2).</w:t>
      </w:r>
    </w:p>
    <w:p w14:paraId="39C678B6" w14:textId="7E53C4BA" w:rsidR="00063ACD" w:rsidRPr="00C1296A" w:rsidRDefault="00063ACD" w:rsidP="00063ACD">
      <w:pPr>
        <w:rPr>
          <w:sz w:val="20"/>
          <w:szCs w:val="20"/>
        </w:rPr>
      </w:pPr>
      <w:r w:rsidRPr="00C1296A">
        <w:rPr>
          <w:rFonts w:ascii="Calibri" w:hAnsi="Calibri"/>
          <w:color w:val="222222"/>
          <w:szCs w:val="20"/>
        </w:rPr>
        <w:t xml:space="preserve">La recolección de datos se lleva a cabo durante el verano y principios del otoño. Los distritos encuestan a cada exestudiante con un IEP utilizando la </w:t>
      </w:r>
      <w:r w:rsidRPr="00C1296A">
        <w:rPr>
          <w:rFonts w:ascii="Calibri" w:hAnsi="Calibri"/>
          <w:i/>
          <w:color w:val="222222"/>
          <w:szCs w:val="20"/>
        </w:rPr>
        <w:t>Encuesta sobre la vida después de la escuela secundaria de Massachusetts</w:t>
      </w:r>
      <w:r w:rsidRPr="00C1296A">
        <w:rPr>
          <w:rFonts w:ascii="Calibri" w:hAnsi="Calibri"/>
          <w:color w:val="222222"/>
          <w:szCs w:val="20"/>
        </w:rPr>
        <w:t>. El Departamento de Educación Primaria y Secundaria (DESE) ofrece la encuesta en línea en seis idiomas, inglés, español, portugués, chino, criollo haitiano y vietnamita.</w:t>
      </w:r>
    </w:p>
    <w:p w14:paraId="1A46FAB3" w14:textId="77777777" w:rsidR="009F3900" w:rsidRPr="00C1296A" w:rsidRDefault="009F3900" w:rsidP="009F3900">
      <w:pPr>
        <w:pStyle w:val="Heading2"/>
        <w:shd w:val="clear" w:color="auto" w:fill="FFFFFF"/>
        <w:rPr>
          <w:rFonts w:ascii="Segoe UI" w:hAnsi="Segoe UI" w:cs="Segoe UI"/>
          <w:color w:val="0C7580"/>
          <w:spacing w:val="12"/>
          <w:sz w:val="24"/>
          <w:szCs w:val="24"/>
        </w:rPr>
      </w:pPr>
      <w:r w:rsidRPr="00C1296A">
        <w:rPr>
          <w:rFonts w:ascii="Segoe UI" w:hAnsi="Segoe UI"/>
          <w:b/>
          <w:color w:val="0C7580"/>
          <w:sz w:val="24"/>
          <w:szCs w:val="24"/>
        </w:rPr>
        <w:t>¿Cuáles son las tres medidas del Indicador 14?</w:t>
      </w:r>
    </w:p>
    <w:p w14:paraId="55D145F2" w14:textId="77777777" w:rsidR="00063ACD" w:rsidRPr="00C1296A" w:rsidRDefault="00063ACD" w:rsidP="00063ACD">
      <w:pPr>
        <w:rPr>
          <w:sz w:val="20"/>
          <w:szCs w:val="20"/>
        </w:rPr>
      </w:pPr>
      <w:r w:rsidRPr="00C1296A">
        <w:rPr>
          <w:rFonts w:ascii="Calibri" w:hAnsi="Calibri"/>
          <w:color w:val="222222"/>
          <w:szCs w:val="20"/>
        </w:rPr>
        <w:t>La Oficina de Programas de Educación Especial (OSEP) de EE. UU. requiere que informemos "el porcentaje de jóvenes que ya no están en la escuela secundaria, tenían un IEP vigente en el momento en que terminaron la escuela y dentro de un año de haber terminado la escuela secundaria estaban:</w:t>
      </w:r>
    </w:p>
    <w:p w14:paraId="58754036" w14:textId="77777777" w:rsidR="00063ACD" w:rsidRPr="00C1296A" w:rsidRDefault="00063ACD" w:rsidP="00063ACD">
      <w:pPr>
        <w:pStyle w:val="ListParagraph"/>
        <w:numPr>
          <w:ilvl w:val="0"/>
          <w:numId w:val="12"/>
        </w:numPr>
        <w:rPr>
          <w:rFonts w:eastAsiaTheme="minorEastAsia"/>
          <w:color w:val="212529"/>
        </w:rPr>
      </w:pPr>
      <w:r w:rsidRPr="00C1296A">
        <w:rPr>
          <w:rFonts w:ascii="Calibri" w:hAnsi="Calibri"/>
          <w:color w:val="212529"/>
          <w:szCs w:val="20"/>
        </w:rPr>
        <w:t>Inscritos en educación superior</w:t>
      </w:r>
    </w:p>
    <w:p w14:paraId="252D35A7" w14:textId="77777777" w:rsidR="00063ACD" w:rsidRPr="00C1296A" w:rsidRDefault="00063ACD" w:rsidP="00063ACD">
      <w:pPr>
        <w:pStyle w:val="ListParagraph"/>
        <w:numPr>
          <w:ilvl w:val="0"/>
          <w:numId w:val="12"/>
        </w:numPr>
        <w:rPr>
          <w:rFonts w:eastAsiaTheme="minorEastAsia"/>
          <w:color w:val="212529"/>
        </w:rPr>
      </w:pPr>
      <w:r w:rsidRPr="00C1296A">
        <w:rPr>
          <w:rFonts w:ascii="Calibri" w:hAnsi="Calibri"/>
          <w:color w:val="212529"/>
          <w:szCs w:val="20"/>
        </w:rPr>
        <w:t>Inscritos en educación superior o contratados para un puesto de trabajo competitivo</w:t>
      </w:r>
    </w:p>
    <w:p w14:paraId="52701FEF" w14:textId="77777777" w:rsidR="00063ACD" w:rsidRPr="00C1296A" w:rsidRDefault="00063ACD" w:rsidP="00063ACD">
      <w:pPr>
        <w:pStyle w:val="ListParagraph"/>
        <w:numPr>
          <w:ilvl w:val="0"/>
          <w:numId w:val="12"/>
        </w:numPr>
        <w:rPr>
          <w:rFonts w:eastAsiaTheme="minorEastAsia"/>
          <w:color w:val="212529"/>
        </w:rPr>
      </w:pPr>
      <w:r w:rsidRPr="00C1296A">
        <w:rPr>
          <w:rFonts w:ascii="Calibri" w:hAnsi="Calibri"/>
          <w:color w:val="212529"/>
          <w:szCs w:val="20"/>
        </w:rPr>
        <w:t>Inscritos en educación superior o en algún otro programa de educación o capacitación postsecundaria o contratados para un puesto de trabajo competitivo o en algún otro empleo"</w:t>
      </w:r>
    </w:p>
    <w:p w14:paraId="0F44892F" w14:textId="1F129676" w:rsidR="009F3900" w:rsidRPr="00C1296A" w:rsidRDefault="009F3900" w:rsidP="009F3900">
      <w:pPr>
        <w:pStyle w:val="Heading2"/>
        <w:shd w:val="clear" w:color="auto" w:fill="FFFFFF"/>
        <w:rPr>
          <w:rFonts w:ascii="Segoe UI" w:hAnsi="Segoe UI" w:cs="Segoe UI"/>
          <w:b/>
          <w:bCs/>
          <w:color w:val="0C7580"/>
          <w:spacing w:val="12"/>
          <w:sz w:val="24"/>
          <w:szCs w:val="24"/>
        </w:rPr>
      </w:pPr>
      <w:r w:rsidRPr="00C1296A">
        <w:rPr>
          <w:rFonts w:ascii="Segoe UI" w:hAnsi="Segoe UI"/>
          <w:b/>
          <w:color w:val="0C7580"/>
          <w:sz w:val="24"/>
          <w:szCs w:val="24"/>
        </w:rPr>
        <w:t>¿Qué factores afectan los resultados del Indicador 14?</w:t>
      </w:r>
    </w:p>
    <w:p w14:paraId="56D3263D" w14:textId="7791E994" w:rsidR="00063ACD" w:rsidRPr="00C1296A" w:rsidRDefault="00063ACD" w:rsidP="00063ACD">
      <w:pPr>
        <w:pStyle w:val="ListParagraph"/>
        <w:numPr>
          <w:ilvl w:val="0"/>
          <w:numId w:val="11"/>
        </w:numPr>
        <w:rPr>
          <w:rFonts w:eastAsiaTheme="minorEastAsia"/>
          <w:color w:val="212529"/>
          <w:sz w:val="20"/>
          <w:szCs w:val="20"/>
        </w:rPr>
      </w:pPr>
      <w:r w:rsidRPr="00C1296A">
        <w:rPr>
          <w:rFonts w:ascii="Calibri" w:hAnsi="Calibri"/>
          <w:color w:val="212529"/>
          <w:szCs w:val="20"/>
        </w:rPr>
        <w:t>La pandemia de COVID-19 ha influido en que nuestros</w:t>
      </w:r>
      <w:r w:rsidR="0019015A">
        <w:rPr>
          <w:rFonts w:ascii="Calibri" w:hAnsi="Calibri"/>
          <w:color w:val="212529"/>
          <w:szCs w:val="20"/>
        </w:rPr>
        <w:t>(as)</w:t>
      </w:r>
      <w:r w:rsidRPr="00C1296A">
        <w:rPr>
          <w:rFonts w:ascii="Calibri" w:hAnsi="Calibri"/>
          <w:color w:val="212529"/>
          <w:szCs w:val="20"/>
        </w:rPr>
        <w:t xml:space="preserve"> exestudiantes con IEP vayan a la escuela y/o trabajen después de la escuela secundaria.  </w:t>
      </w:r>
    </w:p>
    <w:p w14:paraId="7D6EDEE1" w14:textId="6EAF0ADB" w:rsidR="00063ACD" w:rsidRPr="00C1296A" w:rsidRDefault="00063ACD" w:rsidP="00063ACD">
      <w:pPr>
        <w:pStyle w:val="ListParagraph"/>
        <w:numPr>
          <w:ilvl w:val="0"/>
          <w:numId w:val="11"/>
        </w:numPr>
        <w:rPr>
          <w:rFonts w:eastAsiaTheme="minorEastAsia"/>
          <w:sz w:val="20"/>
          <w:szCs w:val="20"/>
        </w:rPr>
      </w:pPr>
      <w:r w:rsidRPr="00C1296A">
        <w:rPr>
          <w:sz w:val="20"/>
          <w:szCs w:val="20"/>
        </w:rPr>
        <w:t xml:space="preserve">Si los grupos están infrarrepresentados o sobrerrepresentados en la encuesta (por ejemplo, estudiantes </w:t>
      </w:r>
      <w:proofErr w:type="spellStart"/>
      <w:r w:rsidRPr="00C1296A">
        <w:rPr>
          <w:sz w:val="20"/>
          <w:szCs w:val="20"/>
        </w:rPr>
        <w:t>latinxs</w:t>
      </w:r>
      <w:proofErr w:type="spellEnd"/>
      <w:r w:rsidRPr="00C1296A">
        <w:rPr>
          <w:sz w:val="20"/>
          <w:szCs w:val="20"/>
        </w:rPr>
        <w:t xml:space="preserve">, estudiantes con discapacidades intelectuales o estudiantes que abandonaron la escuela), los datos </w:t>
      </w:r>
      <w:r w:rsidRPr="00C1296A">
        <w:rPr>
          <w:sz w:val="20"/>
          <w:szCs w:val="20"/>
        </w:rPr>
        <w:lastRenderedPageBreak/>
        <w:t xml:space="preserve">pueden mostrar que nuestros exestudiantes con IEP están más o menos involucrados en la escuela o el trabajo de lo que realmente lo están.  </w:t>
      </w:r>
    </w:p>
    <w:p w14:paraId="21694D15" w14:textId="5AE3086B" w:rsidR="00063ACD" w:rsidRPr="00C1296A" w:rsidRDefault="00063ACD" w:rsidP="00063ACD">
      <w:pPr>
        <w:pStyle w:val="ListParagraph"/>
        <w:numPr>
          <w:ilvl w:val="0"/>
          <w:numId w:val="11"/>
        </w:numPr>
        <w:rPr>
          <w:rFonts w:eastAsiaTheme="minorEastAsia"/>
          <w:sz w:val="20"/>
          <w:szCs w:val="20"/>
        </w:rPr>
      </w:pPr>
      <w:r w:rsidRPr="00C1296A">
        <w:rPr>
          <w:sz w:val="20"/>
          <w:szCs w:val="20"/>
        </w:rPr>
        <w:t>Tanto los entrevistadores como los</w:t>
      </w:r>
      <w:r w:rsidR="0019015A">
        <w:rPr>
          <w:sz w:val="20"/>
          <w:szCs w:val="20"/>
        </w:rPr>
        <w:t>/las</w:t>
      </w:r>
      <w:r w:rsidRPr="00C1296A">
        <w:rPr>
          <w:sz w:val="20"/>
          <w:szCs w:val="20"/>
        </w:rPr>
        <w:t xml:space="preserve"> exestudiantes pueden ser parciales. </w:t>
      </w:r>
    </w:p>
    <w:p w14:paraId="5FBEF578" w14:textId="77777777" w:rsidR="00063ACD" w:rsidRPr="00C1296A" w:rsidRDefault="00063ACD" w:rsidP="00063ACD">
      <w:pPr>
        <w:pStyle w:val="ListParagraph"/>
        <w:numPr>
          <w:ilvl w:val="0"/>
          <w:numId w:val="11"/>
        </w:numPr>
        <w:rPr>
          <w:rFonts w:eastAsiaTheme="minorEastAsia"/>
          <w:sz w:val="20"/>
          <w:szCs w:val="20"/>
        </w:rPr>
      </w:pPr>
      <w:r w:rsidRPr="00C1296A">
        <w:rPr>
          <w:sz w:val="20"/>
          <w:szCs w:val="20"/>
        </w:rPr>
        <w:t>Según el tamaño del grupo de respuesta para las Medidas A, B y C, existe un margen de error de aproximadamente más o menos un tres por ciento.</w:t>
      </w:r>
    </w:p>
    <w:p w14:paraId="3BDBEA70" w14:textId="77777777" w:rsidR="00063ACD" w:rsidRPr="00C1296A" w:rsidRDefault="00063ACD" w:rsidP="009F3900">
      <w:pPr>
        <w:spacing w:after="0" w:line="276" w:lineRule="auto"/>
        <w:rPr>
          <w:rFonts w:ascii="Segoe UI" w:hAnsi="Segoe UI" w:cs="Segoe UI"/>
          <w:b/>
          <w:bCs/>
          <w:color w:val="2E74B5" w:themeColor="accent5" w:themeShade="BF"/>
          <w:sz w:val="24"/>
          <w:szCs w:val="24"/>
        </w:rPr>
      </w:pPr>
      <w:r w:rsidRPr="00C1296A">
        <w:rPr>
          <w:rFonts w:ascii="Segoe UI" w:hAnsi="Segoe UI"/>
          <w:b/>
          <w:color w:val="2E74B5" w:themeColor="accent5" w:themeShade="BF"/>
          <w:sz w:val="24"/>
          <w:szCs w:val="20"/>
        </w:rPr>
        <w:t>Historial de resultados del Indicador 14</w:t>
      </w:r>
    </w:p>
    <w:p w14:paraId="7EBDAF76" w14:textId="77777777" w:rsidR="00063ACD" w:rsidRPr="00C1296A" w:rsidRDefault="00063ACD" w:rsidP="00063ACD">
      <w:pPr>
        <w:spacing w:line="276" w:lineRule="auto"/>
        <w:rPr>
          <w:rFonts w:ascii="Calibri" w:hAnsi="Calibri" w:cs="Calibri"/>
        </w:rPr>
      </w:pPr>
      <w:r w:rsidRPr="00C1296A">
        <w:rPr>
          <w:rFonts w:ascii="Calibri" w:hAnsi="Calibri"/>
          <w:szCs w:val="20"/>
        </w:rPr>
        <w:t xml:space="preserve">La siguiente tabla incluye datos de cuatro años según lo informado en el APR para el año fiscal federal (FFY) 2020 de MA que se envió a OSEP a principios de febrero de 2022. </w:t>
      </w:r>
    </w:p>
    <w:tbl>
      <w:tblPr>
        <w:tblStyle w:val="TableGrid"/>
        <w:tblW w:w="10350" w:type="dxa"/>
        <w:tblInd w:w="-105" w:type="dxa"/>
        <w:tblLayout w:type="fixed"/>
        <w:tblLook w:val="04A0" w:firstRow="1" w:lastRow="0" w:firstColumn="1" w:lastColumn="0" w:noHBand="0" w:noVBand="1"/>
      </w:tblPr>
      <w:tblGrid>
        <w:gridCol w:w="1170"/>
        <w:gridCol w:w="900"/>
        <w:gridCol w:w="1260"/>
        <w:gridCol w:w="900"/>
        <w:gridCol w:w="900"/>
        <w:gridCol w:w="1260"/>
        <w:gridCol w:w="900"/>
        <w:gridCol w:w="900"/>
        <w:gridCol w:w="1260"/>
        <w:gridCol w:w="900"/>
      </w:tblGrid>
      <w:tr w:rsidR="00063ACD" w:rsidRPr="00C1296A" w14:paraId="5CD49253" w14:textId="77777777" w:rsidTr="000F6BF8">
        <w:tc>
          <w:tcPr>
            <w:tcW w:w="1170" w:type="dxa"/>
            <w:tcBorders>
              <w:top w:val="single" w:sz="12" w:space="0" w:color="auto"/>
              <w:left w:val="single" w:sz="12" w:space="0" w:color="auto"/>
              <w:bottom w:val="nil"/>
              <w:right w:val="single" w:sz="12" w:space="0" w:color="auto"/>
            </w:tcBorders>
          </w:tcPr>
          <w:p w14:paraId="4E014DD5" w14:textId="77777777" w:rsidR="00063ACD" w:rsidRPr="00C1296A" w:rsidRDefault="00063ACD" w:rsidP="00776391">
            <w:pPr>
              <w:rPr>
                <w:sz w:val="20"/>
                <w:szCs w:val="20"/>
              </w:rPr>
            </w:pPr>
          </w:p>
        </w:tc>
        <w:tc>
          <w:tcPr>
            <w:tcW w:w="3060" w:type="dxa"/>
            <w:gridSpan w:val="3"/>
            <w:tcBorders>
              <w:top w:val="single" w:sz="12" w:space="0" w:color="auto"/>
              <w:left w:val="single" w:sz="12" w:space="0" w:color="auto"/>
              <w:bottom w:val="single" w:sz="8" w:space="0" w:color="auto"/>
              <w:right w:val="single" w:sz="12" w:space="0" w:color="auto"/>
            </w:tcBorders>
            <w:vAlign w:val="center"/>
          </w:tcPr>
          <w:p w14:paraId="2313C9E9" w14:textId="77777777" w:rsidR="00063ACD" w:rsidRPr="00C1296A" w:rsidRDefault="00063ACD" w:rsidP="00776391">
            <w:pPr>
              <w:jc w:val="center"/>
              <w:rPr>
                <w:sz w:val="18"/>
                <w:szCs w:val="18"/>
              </w:rPr>
            </w:pPr>
            <w:r w:rsidRPr="00C1296A">
              <w:rPr>
                <w:sz w:val="18"/>
                <w:szCs w:val="18"/>
              </w:rPr>
              <w:t>Medida A</w:t>
            </w:r>
          </w:p>
        </w:tc>
        <w:tc>
          <w:tcPr>
            <w:tcW w:w="3060" w:type="dxa"/>
            <w:gridSpan w:val="3"/>
            <w:tcBorders>
              <w:top w:val="single" w:sz="12" w:space="0" w:color="auto"/>
              <w:left w:val="single" w:sz="12" w:space="0" w:color="auto"/>
              <w:right w:val="single" w:sz="12" w:space="0" w:color="auto"/>
            </w:tcBorders>
            <w:vAlign w:val="center"/>
          </w:tcPr>
          <w:p w14:paraId="4935A7D7" w14:textId="77777777" w:rsidR="00063ACD" w:rsidRPr="00C1296A" w:rsidRDefault="00063ACD" w:rsidP="00776391">
            <w:pPr>
              <w:jc w:val="center"/>
              <w:rPr>
                <w:sz w:val="18"/>
                <w:szCs w:val="18"/>
              </w:rPr>
            </w:pPr>
            <w:r w:rsidRPr="00C1296A">
              <w:rPr>
                <w:sz w:val="18"/>
                <w:szCs w:val="18"/>
              </w:rPr>
              <w:t>Medida B</w:t>
            </w:r>
          </w:p>
        </w:tc>
        <w:tc>
          <w:tcPr>
            <w:tcW w:w="3060" w:type="dxa"/>
            <w:gridSpan w:val="3"/>
            <w:tcBorders>
              <w:top w:val="single" w:sz="12" w:space="0" w:color="auto"/>
              <w:left w:val="single" w:sz="12" w:space="0" w:color="auto"/>
              <w:right w:val="single" w:sz="12" w:space="0" w:color="auto"/>
            </w:tcBorders>
            <w:vAlign w:val="center"/>
          </w:tcPr>
          <w:p w14:paraId="2A74C5CA" w14:textId="77777777" w:rsidR="00063ACD" w:rsidRPr="00C1296A" w:rsidRDefault="00063ACD" w:rsidP="00776391">
            <w:pPr>
              <w:jc w:val="center"/>
              <w:rPr>
                <w:sz w:val="18"/>
                <w:szCs w:val="18"/>
              </w:rPr>
            </w:pPr>
            <w:r w:rsidRPr="00C1296A">
              <w:rPr>
                <w:sz w:val="18"/>
                <w:szCs w:val="18"/>
              </w:rPr>
              <w:t>Medida C</w:t>
            </w:r>
          </w:p>
        </w:tc>
      </w:tr>
      <w:tr w:rsidR="00BE68DF" w:rsidRPr="00C1296A" w14:paraId="33A525EC" w14:textId="77777777" w:rsidTr="000F6BF8">
        <w:trPr>
          <w:trHeight w:val="553"/>
        </w:trPr>
        <w:tc>
          <w:tcPr>
            <w:tcW w:w="1170" w:type="dxa"/>
            <w:tcBorders>
              <w:top w:val="nil"/>
              <w:left w:val="single" w:sz="12" w:space="0" w:color="auto"/>
              <w:right w:val="single" w:sz="12" w:space="0" w:color="auto"/>
            </w:tcBorders>
            <w:hideMark/>
          </w:tcPr>
          <w:p w14:paraId="61FE5FFA" w14:textId="77777777" w:rsidR="00063ACD" w:rsidRPr="00C1296A" w:rsidRDefault="00063ACD" w:rsidP="00776391">
            <w:pPr>
              <w:rPr>
                <w:b/>
                <w:bCs/>
                <w:sz w:val="20"/>
                <w:szCs w:val="20"/>
              </w:rPr>
            </w:pPr>
            <w:r w:rsidRPr="00C1296A">
              <w:rPr>
                <w:b/>
                <w:sz w:val="18"/>
                <w:szCs w:val="16"/>
              </w:rPr>
              <w:t>Datos orientativos</w:t>
            </w:r>
          </w:p>
        </w:tc>
        <w:tc>
          <w:tcPr>
            <w:tcW w:w="900" w:type="dxa"/>
            <w:tcBorders>
              <w:top w:val="single" w:sz="8" w:space="0" w:color="auto"/>
              <w:left w:val="single" w:sz="12" w:space="0" w:color="auto"/>
              <w:bottom w:val="single" w:sz="8" w:space="0" w:color="auto"/>
              <w:right w:val="single" w:sz="8" w:space="0" w:color="auto"/>
            </w:tcBorders>
            <w:hideMark/>
          </w:tcPr>
          <w:p w14:paraId="76B4F440" w14:textId="77777777" w:rsidR="00063ACD" w:rsidRPr="00C1296A" w:rsidRDefault="00063ACD" w:rsidP="00776391">
            <w:pPr>
              <w:rPr>
                <w:sz w:val="18"/>
                <w:szCs w:val="18"/>
              </w:rPr>
            </w:pPr>
            <w:r w:rsidRPr="00C1296A">
              <w:rPr>
                <w:sz w:val="18"/>
                <w:szCs w:val="18"/>
              </w:rPr>
              <w:t>Datos</w:t>
            </w:r>
          </w:p>
        </w:tc>
        <w:tc>
          <w:tcPr>
            <w:tcW w:w="1260" w:type="dxa"/>
            <w:tcBorders>
              <w:top w:val="single" w:sz="8" w:space="0" w:color="auto"/>
              <w:left w:val="single" w:sz="8" w:space="0" w:color="auto"/>
              <w:bottom w:val="single" w:sz="8" w:space="0" w:color="auto"/>
              <w:right w:val="single" w:sz="8" w:space="0" w:color="auto"/>
            </w:tcBorders>
            <w:hideMark/>
          </w:tcPr>
          <w:p w14:paraId="170B33D0" w14:textId="04806712" w:rsidR="00063ACD" w:rsidRPr="00C1296A" w:rsidRDefault="00063ACD" w:rsidP="00776391">
            <w:pPr>
              <w:rPr>
                <w:sz w:val="18"/>
                <w:szCs w:val="18"/>
              </w:rPr>
            </w:pPr>
            <w:r w:rsidRPr="00C1296A">
              <w:rPr>
                <w:sz w:val="18"/>
                <w:szCs w:val="18"/>
              </w:rPr>
              <w:t>Intervalo de confianza</w:t>
            </w:r>
          </w:p>
        </w:tc>
        <w:tc>
          <w:tcPr>
            <w:tcW w:w="900" w:type="dxa"/>
            <w:tcBorders>
              <w:top w:val="single" w:sz="8" w:space="0" w:color="auto"/>
              <w:left w:val="single" w:sz="8" w:space="0" w:color="auto"/>
              <w:bottom w:val="single" w:sz="8" w:space="0" w:color="auto"/>
              <w:right w:val="single" w:sz="12" w:space="0" w:color="auto"/>
            </w:tcBorders>
            <w:hideMark/>
          </w:tcPr>
          <w:p w14:paraId="23CF7015" w14:textId="77777777" w:rsidR="00063ACD" w:rsidRPr="00C1296A" w:rsidRDefault="00063ACD" w:rsidP="00776391">
            <w:pPr>
              <w:rPr>
                <w:sz w:val="18"/>
                <w:szCs w:val="18"/>
              </w:rPr>
            </w:pPr>
            <w:r w:rsidRPr="00C1296A">
              <w:rPr>
                <w:sz w:val="18"/>
                <w:szCs w:val="18"/>
              </w:rPr>
              <w:t>Objetivo</w:t>
            </w:r>
          </w:p>
        </w:tc>
        <w:tc>
          <w:tcPr>
            <w:tcW w:w="900" w:type="dxa"/>
            <w:tcBorders>
              <w:left w:val="single" w:sz="12" w:space="0" w:color="auto"/>
            </w:tcBorders>
            <w:hideMark/>
          </w:tcPr>
          <w:p w14:paraId="680B8DF9" w14:textId="77777777" w:rsidR="00063ACD" w:rsidRPr="00C1296A" w:rsidRDefault="00063ACD" w:rsidP="00776391">
            <w:pPr>
              <w:rPr>
                <w:sz w:val="18"/>
                <w:szCs w:val="18"/>
              </w:rPr>
            </w:pPr>
            <w:r w:rsidRPr="00C1296A">
              <w:rPr>
                <w:sz w:val="18"/>
                <w:szCs w:val="18"/>
              </w:rPr>
              <w:t>Datos</w:t>
            </w:r>
          </w:p>
        </w:tc>
        <w:tc>
          <w:tcPr>
            <w:tcW w:w="1260" w:type="dxa"/>
            <w:hideMark/>
          </w:tcPr>
          <w:p w14:paraId="1E527A14" w14:textId="4CFECCBE" w:rsidR="00063ACD" w:rsidRPr="00C1296A" w:rsidRDefault="00063ACD" w:rsidP="00776391">
            <w:pPr>
              <w:rPr>
                <w:sz w:val="18"/>
                <w:szCs w:val="18"/>
              </w:rPr>
            </w:pPr>
            <w:r w:rsidRPr="00C1296A">
              <w:rPr>
                <w:sz w:val="18"/>
                <w:szCs w:val="18"/>
              </w:rPr>
              <w:t>Intervalo de confianza</w:t>
            </w:r>
          </w:p>
        </w:tc>
        <w:tc>
          <w:tcPr>
            <w:tcW w:w="900" w:type="dxa"/>
            <w:tcBorders>
              <w:right w:val="single" w:sz="12" w:space="0" w:color="auto"/>
            </w:tcBorders>
            <w:hideMark/>
          </w:tcPr>
          <w:p w14:paraId="5D2204F7" w14:textId="77777777" w:rsidR="00063ACD" w:rsidRPr="00C1296A" w:rsidRDefault="00063ACD" w:rsidP="00776391">
            <w:pPr>
              <w:rPr>
                <w:sz w:val="18"/>
                <w:szCs w:val="18"/>
              </w:rPr>
            </w:pPr>
            <w:r w:rsidRPr="00C1296A">
              <w:rPr>
                <w:sz w:val="18"/>
                <w:szCs w:val="18"/>
              </w:rPr>
              <w:t>Objetivo</w:t>
            </w:r>
          </w:p>
        </w:tc>
        <w:tc>
          <w:tcPr>
            <w:tcW w:w="900" w:type="dxa"/>
            <w:tcBorders>
              <w:left w:val="single" w:sz="12" w:space="0" w:color="auto"/>
            </w:tcBorders>
            <w:hideMark/>
          </w:tcPr>
          <w:p w14:paraId="7D255E4E" w14:textId="77777777" w:rsidR="00063ACD" w:rsidRPr="00C1296A" w:rsidRDefault="00063ACD" w:rsidP="00776391">
            <w:pPr>
              <w:rPr>
                <w:sz w:val="18"/>
                <w:szCs w:val="18"/>
              </w:rPr>
            </w:pPr>
            <w:r w:rsidRPr="00C1296A">
              <w:rPr>
                <w:sz w:val="18"/>
                <w:szCs w:val="18"/>
              </w:rPr>
              <w:t>Datos</w:t>
            </w:r>
          </w:p>
        </w:tc>
        <w:tc>
          <w:tcPr>
            <w:tcW w:w="1260" w:type="dxa"/>
            <w:hideMark/>
          </w:tcPr>
          <w:p w14:paraId="1D9FC9BA" w14:textId="66017F7F" w:rsidR="00063ACD" w:rsidRPr="00C1296A" w:rsidRDefault="00063ACD" w:rsidP="00776391">
            <w:pPr>
              <w:rPr>
                <w:sz w:val="18"/>
                <w:szCs w:val="18"/>
              </w:rPr>
            </w:pPr>
            <w:r w:rsidRPr="00C1296A">
              <w:rPr>
                <w:sz w:val="18"/>
                <w:szCs w:val="18"/>
              </w:rPr>
              <w:t>Intervalo de confianza</w:t>
            </w:r>
          </w:p>
        </w:tc>
        <w:tc>
          <w:tcPr>
            <w:tcW w:w="900" w:type="dxa"/>
            <w:tcBorders>
              <w:right w:val="single" w:sz="12" w:space="0" w:color="auto"/>
            </w:tcBorders>
            <w:hideMark/>
          </w:tcPr>
          <w:p w14:paraId="160AB3EC" w14:textId="77777777" w:rsidR="00063ACD" w:rsidRPr="00C1296A" w:rsidRDefault="00063ACD" w:rsidP="00776391">
            <w:pPr>
              <w:rPr>
                <w:sz w:val="18"/>
                <w:szCs w:val="18"/>
              </w:rPr>
            </w:pPr>
            <w:r w:rsidRPr="00C1296A">
              <w:rPr>
                <w:sz w:val="18"/>
                <w:szCs w:val="18"/>
              </w:rPr>
              <w:t>Objetivo</w:t>
            </w:r>
          </w:p>
        </w:tc>
      </w:tr>
      <w:tr w:rsidR="00BE68DF" w:rsidRPr="00C1296A" w14:paraId="13219050" w14:textId="77777777" w:rsidTr="000F6BF8">
        <w:tc>
          <w:tcPr>
            <w:tcW w:w="1170" w:type="dxa"/>
            <w:tcBorders>
              <w:left w:val="single" w:sz="12" w:space="0" w:color="auto"/>
              <w:right w:val="single" w:sz="12" w:space="0" w:color="auto"/>
            </w:tcBorders>
          </w:tcPr>
          <w:p w14:paraId="61ACA99F" w14:textId="447F6EE6" w:rsidR="00063ACD" w:rsidRPr="00C1296A" w:rsidRDefault="00063ACD" w:rsidP="00776391">
            <w:pPr>
              <w:rPr>
                <w:sz w:val="20"/>
                <w:szCs w:val="20"/>
              </w:rPr>
            </w:pPr>
            <w:r w:rsidRPr="00C1296A">
              <w:rPr>
                <w:sz w:val="20"/>
                <w:szCs w:val="20"/>
              </w:rPr>
              <w:t>Año fiscal federal 2017 *</w:t>
            </w:r>
          </w:p>
        </w:tc>
        <w:tc>
          <w:tcPr>
            <w:tcW w:w="900" w:type="dxa"/>
            <w:tcBorders>
              <w:top w:val="single" w:sz="8" w:space="0" w:color="auto"/>
              <w:left w:val="single" w:sz="12" w:space="0" w:color="auto"/>
              <w:bottom w:val="single" w:sz="8" w:space="0" w:color="auto"/>
              <w:right w:val="single" w:sz="8" w:space="0" w:color="auto"/>
            </w:tcBorders>
          </w:tcPr>
          <w:p w14:paraId="37F41F44" w14:textId="77777777" w:rsidR="00063ACD" w:rsidRPr="00C1296A" w:rsidRDefault="00063ACD" w:rsidP="00776391">
            <w:pPr>
              <w:rPr>
                <w:sz w:val="20"/>
                <w:szCs w:val="20"/>
              </w:rPr>
            </w:pPr>
            <w:r w:rsidRPr="00C1296A">
              <w:rPr>
                <w:sz w:val="20"/>
                <w:szCs w:val="20"/>
              </w:rPr>
              <w:t>50.00 %</w:t>
            </w:r>
          </w:p>
        </w:tc>
        <w:tc>
          <w:tcPr>
            <w:tcW w:w="1260" w:type="dxa"/>
            <w:tcBorders>
              <w:top w:val="single" w:sz="8" w:space="0" w:color="auto"/>
              <w:left w:val="single" w:sz="8" w:space="0" w:color="auto"/>
              <w:bottom w:val="single" w:sz="8" w:space="0" w:color="auto"/>
              <w:right w:val="single" w:sz="8" w:space="0" w:color="auto"/>
            </w:tcBorders>
          </w:tcPr>
          <w:p w14:paraId="2B6039C3" w14:textId="77777777" w:rsidR="00063ACD" w:rsidRPr="00C1296A" w:rsidRDefault="00063ACD" w:rsidP="00776391">
            <w:pPr>
              <w:rPr>
                <w:sz w:val="20"/>
                <w:szCs w:val="20"/>
              </w:rPr>
            </w:pPr>
            <w:r w:rsidRPr="00C1296A">
              <w:rPr>
                <w:sz w:val="20"/>
                <w:szCs w:val="20"/>
              </w:rPr>
              <w:t>+- 3.59 %</w:t>
            </w:r>
          </w:p>
        </w:tc>
        <w:tc>
          <w:tcPr>
            <w:tcW w:w="900" w:type="dxa"/>
            <w:tcBorders>
              <w:top w:val="single" w:sz="8" w:space="0" w:color="auto"/>
              <w:left w:val="single" w:sz="8" w:space="0" w:color="auto"/>
              <w:bottom w:val="single" w:sz="8" w:space="0" w:color="auto"/>
              <w:right w:val="single" w:sz="12" w:space="0" w:color="auto"/>
            </w:tcBorders>
          </w:tcPr>
          <w:p w14:paraId="2594C150" w14:textId="77777777" w:rsidR="00063ACD" w:rsidRPr="00C1296A" w:rsidRDefault="00063ACD" w:rsidP="00776391">
            <w:pPr>
              <w:rPr>
                <w:sz w:val="20"/>
                <w:szCs w:val="20"/>
              </w:rPr>
            </w:pPr>
            <w:r w:rsidRPr="00C1296A">
              <w:rPr>
                <w:sz w:val="20"/>
                <w:szCs w:val="20"/>
              </w:rPr>
              <w:t>53.00 %</w:t>
            </w:r>
          </w:p>
        </w:tc>
        <w:tc>
          <w:tcPr>
            <w:tcW w:w="900" w:type="dxa"/>
            <w:tcBorders>
              <w:left w:val="single" w:sz="12" w:space="0" w:color="auto"/>
            </w:tcBorders>
          </w:tcPr>
          <w:p w14:paraId="56C8DAE0" w14:textId="77777777" w:rsidR="00063ACD" w:rsidRPr="00C1296A" w:rsidRDefault="00063ACD" w:rsidP="00776391">
            <w:pPr>
              <w:rPr>
                <w:sz w:val="20"/>
                <w:szCs w:val="20"/>
              </w:rPr>
            </w:pPr>
            <w:r w:rsidRPr="00C1296A">
              <w:rPr>
                <w:sz w:val="20"/>
                <w:szCs w:val="20"/>
              </w:rPr>
              <w:t>79.37 %</w:t>
            </w:r>
          </w:p>
        </w:tc>
        <w:tc>
          <w:tcPr>
            <w:tcW w:w="1260" w:type="dxa"/>
          </w:tcPr>
          <w:p w14:paraId="7281A1C8" w14:textId="77777777" w:rsidR="00063ACD" w:rsidRPr="00C1296A" w:rsidRDefault="00063ACD" w:rsidP="00776391">
            <w:pPr>
              <w:rPr>
                <w:sz w:val="20"/>
                <w:szCs w:val="20"/>
              </w:rPr>
            </w:pPr>
            <w:r w:rsidRPr="00C1296A">
              <w:rPr>
                <w:sz w:val="20"/>
                <w:szCs w:val="20"/>
              </w:rPr>
              <w:t>+- 2.82 %</w:t>
            </w:r>
          </w:p>
        </w:tc>
        <w:tc>
          <w:tcPr>
            <w:tcW w:w="900" w:type="dxa"/>
            <w:tcBorders>
              <w:right w:val="single" w:sz="12" w:space="0" w:color="auto"/>
            </w:tcBorders>
          </w:tcPr>
          <w:p w14:paraId="722870C3" w14:textId="77777777" w:rsidR="00063ACD" w:rsidRPr="00C1296A" w:rsidRDefault="00063ACD" w:rsidP="00776391">
            <w:pPr>
              <w:rPr>
                <w:sz w:val="20"/>
                <w:szCs w:val="20"/>
              </w:rPr>
            </w:pPr>
            <w:r w:rsidRPr="00C1296A">
              <w:rPr>
                <w:sz w:val="20"/>
                <w:szCs w:val="20"/>
              </w:rPr>
              <w:t>88.00 %</w:t>
            </w:r>
          </w:p>
        </w:tc>
        <w:tc>
          <w:tcPr>
            <w:tcW w:w="900" w:type="dxa"/>
            <w:tcBorders>
              <w:left w:val="single" w:sz="12" w:space="0" w:color="auto"/>
            </w:tcBorders>
          </w:tcPr>
          <w:p w14:paraId="147AD377" w14:textId="77777777" w:rsidR="00063ACD" w:rsidRPr="00C1296A" w:rsidRDefault="00063ACD" w:rsidP="00776391">
            <w:pPr>
              <w:rPr>
                <w:sz w:val="20"/>
                <w:szCs w:val="20"/>
              </w:rPr>
            </w:pPr>
            <w:r w:rsidRPr="00C1296A">
              <w:rPr>
                <w:sz w:val="20"/>
                <w:szCs w:val="20"/>
              </w:rPr>
              <w:t>87.09 %</w:t>
            </w:r>
          </w:p>
        </w:tc>
        <w:tc>
          <w:tcPr>
            <w:tcW w:w="1260" w:type="dxa"/>
          </w:tcPr>
          <w:p w14:paraId="470F41FD" w14:textId="77777777" w:rsidR="00063ACD" w:rsidRPr="00C1296A" w:rsidRDefault="00063ACD" w:rsidP="00776391">
            <w:pPr>
              <w:rPr>
                <w:sz w:val="20"/>
                <w:szCs w:val="20"/>
              </w:rPr>
            </w:pPr>
            <w:r w:rsidRPr="00C1296A">
              <w:rPr>
                <w:sz w:val="20"/>
                <w:szCs w:val="20"/>
              </w:rPr>
              <w:t>+- 2.34 %</w:t>
            </w:r>
          </w:p>
        </w:tc>
        <w:tc>
          <w:tcPr>
            <w:tcW w:w="900" w:type="dxa"/>
            <w:tcBorders>
              <w:right w:val="single" w:sz="12" w:space="0" w:color="auto"/>
            </w:tcBorders>
          </w:tcPr>
          <w:p w14:paraId="2F6364DF" w14:textId="77777777" w:rsidR="00063ACD" w:rsidRPr="00C1296A" w:rsidRDefault="00063ACD" w:rsidP="00776391">
            <w:pPr>
              <w:rPr>
                <w:sz w:val="20"/>
                <w:szCs w:val="20"/>
              </w:rPr>
            </w:pPr>
            <w:r w:rsidRPr="00C1296A">
              <w:rPr>
                <w:sz w:val="20"/>
                <w:szCs w:val="20"/>
              </w:rPr>
              <w:t>95.00 %</w:t>
            </w:r>
          </w:p>
        </w:tc>
      </w:tr>
      <w:tr w:rsidR="00BE68DF" w:rsidRPr="00C1296A" w14:paraId="7109C2B0" w14:textId="77777777" w:rsidTr="000F6BF8">
        <w:trPr>
          <w:trHeight w:val="386"/>
        </w:trPr>
        <w:tc>
          <w:tcPr>
            <w:tcW w:w="1170" w:type="dxa"/>
            <w:tcBorders>
              <w:left w:val="single" w:sz="12" w:space="0" w:color="auto"/>
              <w:right w:val="single" w:sz="12" w:space="0" w:color="auto"/>
            </w:tcBorders>
            <w:hideMark/>
          </w:tcPr>
          <w:p w14:paraId="09AA039D" w14:textId="77777777" w:rsidR="00063ACD" w:rsidRPr="00C1296A" w:rsidRDefault="00063ACD" w:rsidP="00776391">
            <w:pPr>
              <w:rPr>
                <w:sz w:val="20"/>
                <w:szCs w:val="20"/>
              </w:rPr>
            </w:pPr>
            <w:r w:rsidRPr="00C1296A">
              <w:rPr>
                <w:sz w:val="20"/>
                <w:szCs w:val="20"/>
              </w:rPr>
              <w:t>Año fiscal federal 2018</w:t>
            </w:r>
          </w:p>
        </w:tc>
        <w:tc>
          <w:tcPr>
            <w:tcW w:w="900" w:type="dxa"/>
            <w:tcBorders>
              <w:top w:val="single" w:sz="8" w:space="0" w:color="auto"/>
              <w:left w:val="single" w:sz="12" w:space="0" w:color="auto"/>
              <w:bottom w:val="single" w:sz="8" w:space="0" w:color="auto"/>
              <w:right w:val="single" w:sz="8" w:space="0" w:color="auto"/>
            </w:tcBorders>
            <w:hideMark/>
          </w:tcPr>
          <w:p w14:paraId="5A595A80" w14:textId="77777777" w:rsidR="00063ACD" w:rsidRPr="00C1296A" w:rsidRDefault="00063ACD" w:rsidP="00776391">
            <w:pPr>
              <w:rPr>
                <w:sz w:val="20"/>
                <w:szCs w:val="20"/>
              </w:rPr>
            </w:pPr>
            <w:r w:rsidRPr="00C1296A">
              <w:rPr>
                <w:sz w:val="20"/>
                <w:szCs w:val="20"/>
              </w:rPr>
              <w:t>41.18 %</w:t>
            </w:r>
          </w:p>
        </w:tc>
        <w:tc>
          <w:tcPr>
            <w:tcW w:w="1260" w:type="dxa"/>
            <w:tcBorders>
              <w:top w:val="single" w:sz="8" w:space="0" w:color="auto"/>
              <w:left w:val="single" w:sz="8" w:space="0" w:color="auto"/>
              <w:bottom w:val="single" w:sz="8" w:space="0" w:color="auto"/>
              <w:right w:val="single" w:sz="8" w:space="0" w:color="auto"/>
            </w:tcBorders>
            <w:hideMark/>
          </w:tcPr>
          <w:p w14:paraId="30F1D0BE" w14:textId="77777777" w:rsidR="00063ACD" w:rsidRPr="00C1296A" w:rsidRDefault="00063ACD" w:rsidP="00776391">
            <w:pPr>
              <w:rPr>
                <w:sz w:val="20"/>
                <w:szCs w:val="20"/>
              </w:rPr>
            </w:pPr>
            <w:r w:rsidRPr="00C1296A">
              <w:rPr>
                <w:sz w:val="20"/>
                <w:szCs w:val="20"/>
              </w:rPr>
              <w:t>+- 3.02 %</w:t>
            </w:r>
          </w:p>
        </w:tc>
        <w:tc>
          <w:tcPr>
            <w:tcW w:w="900" w:type="dxa"/>
            <w:tcBorders>
              <w:top w:val="single" w:sz="8" w:space="0" w:color="auto"/>
              <w:left w:val="single" w:sz="8" w:space="0" w:color="auto"/>
              <w:bottom w:val="single" w:sz="8" w:space="0" w:color="auto"/>
              <w:right w:val="single" w:sz="12" w:space="0" w:color="auto"/>
            </w:tcBorders>
            <w:hideMark/>
          </w:tcPr>
          <w:p w14:paraId="47E1E69C" w14:textId="77777777" w:rsidR="00063ACD" w:rsidRPr="00C1296A" w:rsidRDefault="00063ACD" w:rsidP="00776391">
            <w:pPr>
              <w:rPr>
                <w:sz w:val="20"/>
                <w:szCs w:val="20"/>
              </w:rPr>
            </w:pPr>
            <w:r w:rsidRPr="00C1296A">
              <w:rPr>
                <w:sz w:val="20"/>
                <w:szCs w:val="20"/>
              </w:rPr>
              <w:t>50.20 %</w:t>
            </w:r>
          </w:p>
        </w:tc>
        <w:tc>
          <w:tcPr>
            <w:tcW w:w="900" w:type="dxa"/>
            <w:tcBorders>
              <w:left w:val="single" w:sz="12" w:space="0" w:color="auto"/>
            </w:tcBorders>
            <w:hideMark/>
          </w:tcPr>
          <w:p w14:paraId="4058C37E" w14:textId="77777777" w:rsidR="00063ACD" w:rsidRPr="00C1296A" w:rsidRDefault="00063ACD" w:rsidP="00776391">
            <w:pPr>
              <w:rPr>
                <w:sz w:val="20"/>
                <w:szCs w:val="20"/>
              </w:rPr>
            </w:pPr>
            <w:r w:rsidRPr="00C1296A">
              <w:rPr>
                <w:sz w:val="20"/>
                <w:szCs w:val="20"/>
              </w:rPr>
              <w:t>70.88 %</w:t>
            </w:r>
          </w:p>
        </w:tc>
        <w:tc>
          <w:tcPr>
            <w:tcW w:w="1260" w:type="dxa"/>
            <w:hideMark/>
          </w:tcPr>
          <w:p w14:paraId="285083EE" w14:textId="77777777" w:rsidR="00063ACD" w:rsidRPr="00C1296A" w:rsidRDefault="00063ACD" w:rsidP="00776391">
            <w:pPr>
              <w:rPr>
                <w:sz w:val="20"/>
                <w:szCs w:val="20"/>
              </w:rPr>
            </w:pPr>
            <w:r w:rsidRPr="00C1296A">
              <w:rPr>
                <w:sz w:val="20"/>
                <w:szCs w:val="20"/>
              </w:rPr>
              <w:t>+- 2.79 %</w:t>
            </w:r>
          </w:p>
        </w:tc>
        <w:tc>
          <w:tcPr>
            <w:tcW w:w="900" w:type="dxa"/>
            <w:tcBorders>
              <w:right w:val="single" w:sz="12" w:space="0" w:color="auto"/>
            </w:tcBorders>
            <w:hideMark/>
          </w:tcPr>
          <w:p w14:paraId="33E1FC0E" w14:textId="77777777" w:rsidR="00063ACD" w:rsidRPr="00C1296A" w:rsidRDefault="00063ACD" w:rsidP="00776391">
            <w:pPr>
              <w:rPr>
                <w:sz w:val="20"/>
                <w:szCs w:val="20"/>
              </w:rPr>
            </w:pPr>
            <w:r w:rsidRPr="00C1296A">
              <w:rPr>
                <w:sz w:val="20"/>
                <w:szCs w:val="20"/>
              </w:rPr>
              <w:t>79.60 %</w:t>
            </w:r>
          </w:p>
        </w:tc>
        <w:tc>
          <w:tcPr>
            <w:tcW w:w="900" w:type="dxa"/>
            <w:tcBorders>
              <w:left w:val="single" w:sz="12" w:space="0" w:color="auto"/>
            </w:tcBorders>
            <w:hideMark/>
          </w:tcPr>
          <w:p w14:paraId="7F8F8092" w14:textId="77777777" w:rsidR="00063ACD" w:rsidRPr="00C1296A" w:rsidRDefault="00063ACD" w:rsidP="00776391">
            <w:pPr>
              <w:rPr>
                <w:sz w:val="20"/>
                <w:szCs w:val="20"/>
              </w:rPr>
            </w:pPr>
            <w:r w:rsidRPr="00C1296A">
              <w:rPr>
                <w:sz w:val="20"/>
                <w:szCs w:val="20"/>
              </w:rPr>
              <w:t>79.02 %</w:t>
            </w:r>
          </w:p>
        </w:tc>
        <w:tc>
          <w:tcPr>
            <w:tcW w:w="1260" w:type="dxa"/>
            <w:hideMark/>
          </w:tcPr>
          <w:p w14:paraId="3F4458ED" w14:textId="77777777" w:rsidR="00063ACD" w:rsidRPr="00C1296A" w:rsidRDefault="00063ACD" w:rsidP="00776391">
            <w:pPr>
              <w:rPr>
                <w:sz w:val="20"/>
                <w:szCs w:val="20"/>
              </w:rPr>
            </w:pPr>
            <w:r w:rsidRPr="00C1296A">
              <w:rPr>
                <w:sz w:val="20"/>
                <w:szCs w:val="20"/>
              </w:rPr>
              <w:t>+- 2.05 %</w:t>
            </w:r>
          </w:p>
        </w:tc>
        <w:tc>
          <w:tcPr>
            <w:tcW w:w="900" w:type="dxa"/>
            <w:tcBorders>
              <w:right w:val="single" w:sz="12" w:space="0" w:color="auto"/>
            </w:tcBorders>
            <w:hideMark/>
          </w:tcPr>
          <w:p w14:paraId="3C14478D" w14:textId="77777777" w:rsidR="00063ACD" w:rsidRPr="00C1296A" w:rsidRDefault="00063ACD" w:rsidP="00776391">
            <w:pPr>
              <w:rPr>
                <w:sz w:val="20"/>
                <w:szCs w:val="20"/>
              </w:rPr>
            </w:pPr>
            <w:r w:rsidRPr="00C1296A">
              <w:rPr>
                <w:sz w:val="20"/>
                <w:szCs w:val="20"/>
              </w:rPr>
              <w:t>87.30 %</w:t>
            </w:r>
          </w:p>
        </w:tc>
      </w:tr>
      <w:tr w:rsidR="00BE68DF" w:rsidRPr="00C1296A" w14:paraId="608ACEE6" w14:textId="77777777" w:rsidTr="000F6BF8">
        <w:trPr>
          <w:trHeight w:val="341"/>
        </w:trPr>
        <w:tc>
          <w:tcPr>
            <w:tcW w:w="1170" w:type="dxa"/>
            <w:tcBorders>
              <w:left w:val="single" w:sz="12" w:space="0" w:color="auto"/>
              <w:right w:val="single" w:sz="12" w:space="0" w:color="auto"/>
            </w:tcBorders>
            <w:hideMark/>
          </w:tcPr>
          <w:p w14:paraId="1E7ECB4E" w14:textId="77777777" w:rsidR="00063ACD" w:rsidRPr="00C1296A" w:rsidRDefault="00063ACD" w:rsidP="00776391">
            <w:pPr>
              <w:rPr>
                <w:sz w:val="20"/>
                <w:szCs w:val="20"/>
              </w:rPr>
            </w:pPr>
            <w:r w:rsidRPr="00C1296A">
              <w:rPr>
                <w:sz w:val="20"/>
                <w:szCs w:val="20"/>
              </w:rPr>
              <w:t>Año fiscal federal 2019</w:t>
            </w:r>
          </w:p>
        </w:tc>
        <w:tc>
          <w:tcPr>
            <w:tcW w:w="900" w:type="dxa"/>
            <w:tcBorders>
              <w:top w:val="single" w:sz="8" w:space="0" w:color="auto"/>
              <w:left w:val="single" w:sz="12" w:space="0" w:color="auto"/>
              <w:bottom w:val="single" w:sz="8" w:space="0" w:color="auto"/>
              <w:right w:val="single" w:sz="8" w:space="0" w:color="auto"/>
            </w:tcBorders>
            <w:hideMark/>
          </w:tcPr>
          <w:p w14:paraId="014A4270" w14:textId="77777777" w:rsidR="00063ACD" w:rsidRPr="00C1296A" w:rsidRDefault="00063ACD" w:rsidP="00776391">
            <w:pPr>
              <w:rPr>
                <w:sz w:val="20"/>
                <w:szCs w:val="20"/>
              </w:rPr>
            </w:pPr>
            <w:r w:rsidRPr="00C1296A">
              <w:rPr>
                <w:sz w:val="20"/>
                <w:szCs w:val="20"/>
              </w:rPr>
              <w:t>34.79 %</w:t>
            </w:r>
          </w:p>
        </w:tc>
        <w:tc>
          <w:tcPr>
            <w:tcW w:w="1260" w:type="dxa"/>
            <w:tcBorders>
              <w:top w:val="single" w:sz="8" w:space="0" w:color="auto"/>
              <w:left w:val="single" w:sz="8" w:space="0" w:color="auto"/>
              <w:bottom w:val="single" w:sz="8" w:space="0" w:color="auto"/>
              <w:right w:val="single" w:sz="8" w:space="0" w:color="auto"/>
            </w:tcBorders>
            <w:hideMark/>
          </w:tcPr>
          <w:p w14:paraId="18E360A9" w14:textId="77777777" w:rsidR="00063ACD" w:rsidRPr="00C1296A" w:rsidRDefault="00063ACD" w:rsidP="00776391">
            <w:pPr>
              <w:rPr>
                <w:sz w:val="20"/>
                <w:szCs w:val="20"/>
              </w:rPr>
            </w:pPr>
            <w:r w:rsidRPr="00C1296A">
              <w:rPr>
                <w:sz w:val="20"/>
                <w:szCs w:val="20"/>
              </w:rPr>
              <w:t xml:space="preserve">+-2.16 % </w:t>
            </w:r>
          </w:p>
        </w:tc>
        <w:tc>
          <w:tcPr>
            <w:tcW w:w="900" w:type="dxa"/>
            <w:tcBorders>
              <w:top w:val="single" w:sz="8" w:space="0" w:color="auto"/>
              <w:left w:val="single" w:sz="8" w:space="0" w:color="auto"/>
              <w:bottom w:val="single" w:sz="8" w:space="0" w:color="auto"/>
              <w:right w:val="single" w:sz="12" w:space="0" w:color="auto"/>
            </w:tcBorders>
            <w:hideMark/>
          </w:tcPr>
          <w:p w14:paraId="6600000C" w14:textId="77777777" w:rsidR="00063ACD" w:rsidRPr="00C1296A" w:rsidRDefault="00063ACD" w:rsidP="00776391">
            <w:pPr>
              <w:rPr>
                <w:sz w:val="20"/>
                <w:szCs w:val="20"/>
              </w:rPr>
            </w:pPr>
            <w:r w:rsidRPr="00C1296A">
              <w:rPr>
                <w:sz w:val="20"/>
                <w:szCs w:val="20"/>
              </w:rPr>
              <w:t>50.40 %</w:t>
            </w:r>
          </w:p>
        </w:tc>
        <w:tc>
          <w:tcPr>
            <w:tcW w:w="900" w:type="dxa"/>
            <w:tcBorders>
              <w:left w:val="single" w:sz="12" w:space="0" w:color="auto"/>
            </w:tcBorders>
            <w:hideMark/>
          </w:tcPr>
          <w:p w14:paraId="290EAABC" w14:textId="77777777" w:rsidR="00063ACD" w:rsidRPr="00C1296A" w:rsidRDefault="00063ACD" w:rsidP="00776391">
            <w:pPr>
              <w:rPr>
                <w:sz w:val="20"/>
                <w:szCs w:val="20"/>
              </w:rPr>
            </w:pPr>
            <w:r w:rsidRPr="00C1296A">
              <w:rPr>
                <w:sz w:val="20"/>
                <w:szCs w:val="20"/>
              </w:rPr>
              <w:t>56.55 %</w:t>
            </w:r>
          </w:p>
        </w:tc>
        <w:tc>
          <w:tcPr>
            <w:tcW w:w="1260" w:type="dxa"/>
            <w:hideMark/>
          </w:tcPr>
          <w:p w14:paraId="32B8AC57" w14:textId="77777777" w:rsidR="00063ACD" w:rsidRPr="00C1296A" w:rsidRDefault="00063ACD" w:rsidP="00776391">
            <w:pPr>
              <w:rPr>
                <w:sz w:val="20"/>
                <w:szCs w:val="20"/>
              </w:rPr>
            </w:pPr>
            <w:r w:rsidRPr="00C1296A">
              <w:rPr>
                <w:sz w:val="20"/>
                <w:szCs w:val="20"/>
              </w:rPr>
              <w:t>+- 2.76 %</w:t>
            </w:r>
          </w:p>
        </w:tc>
        <w:tc>
          <w:tcPr>
            <w:tcW w:w="900" w:type="dxa"/>
            <w:tcBorders>
              <w:right w:val="single" w:sz="12" w:space="0" w:color="auto"/>
            </w:tcBorders>
            <w:hideMark/>
          </w:tcPr>
          <w:p w14:paraId="71B8485D" w14:textId="77777777" w:rsidR="00063ACD" w:rsidRPr="00C1296A" w:rsidRDefault="00063ACD" w:rsidP="00776391">
            <w:pPr>
              <w:rPr>
                <w:sz w:val="20"/>
                <w:szCs w:val="20"/>
              </w:rPr>
            </w:pPr>
            <w:r w:rsidRPr="00C1296A">
              <w:rPr>
                <w:sz w:val="20"/>
                <w:szCs w:val="20"/>
              </w:rPr>
              <w:t>79.80 %</w:t>
            </w:r>
          </w:p>
        </w:tc>
        <w:tc>
          <w:tcPr>
            <w:tcW w:w="900" w:type="dxa"/>
            <w:tcBorders>
              <w:left w:val="single" w:sz="12" w:space="0" w:color="auto"/>
            </w:tcBorders>
            <w:hideMark/>
          </w:tcPr>
          <w:p w14:paraId="45BD11EB" w14:textId="77777777" w:rsidR="00063ACD" w:rsidRPr="00C1296A" w:rsidRDefault="00063ACD" w:rsidP="00776391">
            <w:pPr>
              <w:rPr>
                <w:sz w:val="20"/>
                <w:szCs w:val="20"/>
              </w:rPr>
            </w:pPr>
            <w:r w:rsidRPr="00C1296A">
              <w:rPr>
                <w:sz w:val="20"/>
                <w:szCs w:val="20"/>
              </w:rPr>
              <w:t>62.35 %</w:t>
            </w:r>
          </w:p>
        </w:tc>
        <w:tc>
          <w:tcPr>
            <w:tcW w:w="1260" w:type="dxa"/>
            <w:hideMark/>
          </w:tcPr>
          <w:p w14:paraId="01654136" w14:textId="77777777" w:rsidR="00063ACD" w:rsidRPr="00C1296A" w:rsidRDefault="00063ACD" w:rsidP="00776391">
            <w:pPr>
              <w:rPr>
                <w:sz w:val="20"/>
                <w:szCs w:val="20"/>
              </w:rPr>
            </w:pPr>
            <w:r w:rsidRPr="00C1296A">
              <w:rPr>
                <w:sz w:val="20"/>
                <w:szCs w:val="20"/>
              </w:rPr>
              <w:t>+- 2.90 %</w:t>
            </w:r>
          </w:p>
        </w:tc>
        <w:tc>
          <w:tcPr>
            <w:tcW w:w="900" w:type="dxa"/>
            <w:tcBorders>
              <w:right w:val="single" w:sz="12" w:space="0" w:color="auto"/>
            </w:tcBorders>
            <w:hideMark/>
          </w:tcPr>
          <w:p w14:paraId="24836A1E" w14:textId="77777777" w:rsidR="00063ACD" w:rsidRPr="00C1296A" w:rsidRDefault="00063ACD" w:rsidP="00776391">
            <w:pPr>
              <w:rPr>
                <w:sz w:val="20"/>
                <w:szCs w:val="20"/>
              </w:rPr>
            </w:pPr>
            <w:r w:rsidRPr="00C1296A">
              <w:rPr>
                <w:sz w:val="20"/>
                <w:szCs w:val="20"/>
              </w:rPr>
              <w:t>87.50 %</w:t>
            </w:r>
          </w:p>
        </w:tc>
      </w:tr>
      <w:tr w:rsidR="00BE68DF" w:rsidRPr="00C1296A" w14:paraId="1E475CD3" w14:textId="77777777" w:rsidTr="000F6BF8">
        <w:trPr>
          <w:trHeight w:val="449"/>
        </w:trPr>
        <w:tc>
          <w:tcPr>
            <w:tcW w:w="1170" w:type="dxa"/>
            <w:tcBorders>
              <w:left w:val="single" w:sz="12" w:space="0" w:color="auto"/>
              <w:bottom w:val="single" w:sz="12" w:space="0" w:color="auto"/>
              <w:right w:val="single" w:sz="12" w:space="0" w:color="auto"/>
            </w:tcBorders>
            <w:hideMark/>
          </w:tcPr>
          <w:p w14:paraId="48303644" w14:textId="77777777" w:rsidR="00063ACD" w:rsidRPr="00C1296A" w:rsidRDefault="00063ACD" w:rsidP="00776391">
            <w:pPr>
              <w:rPr>
                <w:sz w:val="20"/>
                <w:szCs w:val="20"/>
              </w:rPr>
            </w:pPr>
            <w:r w:rsidRPr="00C1296A">
              <w:rPr>
                <w:sz w:val="20"/>
                <w:szCs w:val="20"/>
              </w:rPr>
              <w:t>Año fiscal federal 2020</w:t>
            </w:r>
          </w:p>
        </w:tc>
        <w:tc>
          <w:tcPr>
            <w:tcW w:w="900" w:type="dxa"/>
            <w:tcBorders>
              <w:top w:val="single" w:sz="8" w:space="0" w:color="auto"/>
              <w:left w:val="single" w:sz="12" w:space="0" w:color="auto"/>
              <w:bottom w:val="single" w:sz="12" w:space="0" w:color="auto"/>
              <w:right w:val="single" w:sz="8" w:space="0" w:color="auto"/>
            </w:tcBorders>
            <w:hideMark/>
          </w:tcPr>
          <w:p w14:paraId="7C9EB5A7" w14:textId="77777777" w:rsidR="00063ACD" w:rsidRPr="00C1296A" w:rsidRDefault="00063ACD" w:rsidP="00776391">
            <w:pPr>
              <w:rPr>
                <w:sz w:val="20"/>
                <w:szCs w:val="20"/>
              </w:rPr>
            </w:pPr>
            <w:r w:rsidRPr="00C1296A">
              <w:rPr>
                <w:sz w:val="20"/>
                <w:szCs w:val="20"/>
              </w:rPr>
              <w:t>39.91 %</w:t>
            </w:r>
          </w:p>
        </w:tc>
        <w:tc>
          <w:tcPr>
            <w:tcW w:w="1260" w:type="dxa"/>
            <w:tcBorders>
              <w:top w:val="single" w:sz="8" w:space="0" w:color="auto"/>
              <w:left w:val="single" w:sz="8" w:space="0" w:color="auto"/>
              <w:bottom w:val="single" w:sz="12" w:space="0" w:color="auto"/>
              <w:right w:val="single" w:sz="8" w:space="0" w:color="auto"/>
            </w:tcBorders>
            <w:hideMark/>
          </w:tcPr>
          <w:p w14:paraId="6FABB789" w14:textId="77777777" w:rsidR="00063ACD" w:rsidRPr="00C1296A" w:rsidRDefault="00063ACD" w:rsidP="00776391">
            <w:pPr>
              <w:rPr>
                <w:sz w:val="20"/>
                <w:szCs w:val="20"/>
              </w:rPr>
            </w:pPr>
            <w:r w:rsidRPr="00C1296A">
              <w:rPr>
                <w:sz w:val="20"/>
                <w:szCs w:val="20"/>
              </w:rPr>
              <w:t>+-2.48 %</w:t>
            </w:r>
          </w:p>
        </w:tc>
        <w:tc>
          <w:tcPr>
            <w:tcW w:w="900" w:type="dxa"/>
            <w:tcBorders>
              <w:top w:val="single" w:sz="8" w:space="0" w:color="auto"/>
              <w:left w:val="single" w:sz="8" w:space="0" w:color="auto"/>
              <w:bottom w:val="single" w:sz="12" w:space="0" w:color="auto"/>
              <w:right w:val="single" w:sz="12" w:space="0" w:color="auto"/>
            </w:tcBorders>
            <w:hideMark/>
          </w:tcPr>
          <w:p w14:paraId="29ACE3F4" w14:textId="77777777" w:rsidR="00063ACD" w:rsidRPr="00C1296A" w:rsidRDefault="00063ACD" w:rsidP="00776391">
            <w:pPr>
              <w:rPr>
                <w:sz w:val="20"/>
                <w:szCs w:val="20"/>
              </w:rPr>
            </w:pPr>
            <w:r w:rsidRPr="00C1296A">
              <w:rPr>
                <w:sz w:val="20"/>
                <w:szCs w:val="20"/>
              </w:rPr>
              <w:t>40.00 %</w:t>
            </w:r>
          </w:p>
        </w:tc>
        <w:tc>
          <w:tcPr>
            <w:tcW w:w="900" w:type="dxa"/>
            <w:tcBorders>
              <w:left w:val="single" w:sz="12" w:space="0" w:color="auto"/>
              <w:bottom w:val="single" w:sz="12" w:space="0" w:color="auto"/>
            </w:tcBorders>
            <w:hideMark/>
          </w:tcPr>
          <w:p w14:paraId="68B1D1BE" w14:textId="77777777" w:rsidR="00063ACD" w:rsidRPr="00C1296A" w:rsidRDefault="00063ACD" w:rsidP="00776391">
            <w:pPr>
              <w:rPr>
                <w:sz w:val="20"/>
                <w:szCs w:val="20"/>
              </w:rPr>
            </w:pPr>
            <w:r w:rsidRPr="00C1296A">
              <w:rPr>
                <w:sz w:val="20"/>
                <w:szCs w:val="20"/>
              </w:rPr>
              <w:t>72.26 %</w:t>
            </w:r>
          </w:p>
        </w:tc>
        <w:tc>
          <w:tcPr>
            <w:tcW w:w="1260" w:type="dxa"/>
            <w:tcBorders>
              <w:bottom w:val="single" w:sz="12" w:space="0" w:color="auto"/>
            </w:tcBorders>
            <w:hideMark/>
          </w:tcPr>
          <w:p w14:paraId="08C85884" w14:textId="77777777" w:rsidR="00063ACD" w:rsidRPr="00C1296A" w:rsidRDefault="00063ACD" w:rsidP="00776391">
            <w:pPr>
              <w:rPr>
                <w:sz w:val="20"/>
                <w:szCs w:val="20"/>
              </w:rPr>
            </w:pPr>
            <w:r w:rsidRPr="00C1296A">
              <w:rPr>
                <w:sz w:val="20"/>
                <w:szCs w:val="20"/>
              </w:rPr>
              <w:t>+-4.51 %</w:t>
            </w:r>
          </w:p>
        </w:tc>
        <w:tc>
          <w:tcPr>
            <w:tcW w:w="900" w:type="dxa"/>
            <w:tcBorders>
              <w:bottom w:val="single" w:sz="12" w:space="0" w:color="auto"/>
              <w:right w:val="single" w:sz="12" w:space="0" w:color="auto"/>
            </w:tcBorders>
            <w:hideMark/>
          </w:tcPr>
          <w:p w14:paraId="08F8886A" w14:textId="77777777" w:rsidR="00063ACD" w:rsidRPr="00C1296A" w:rsidRDefault="00063ACD" w:rsidP="00776391">
            <w:pPr>
              <w:rPr>
                <w:sz w:val="20"/>
                <w:szCs w:val="20"/>
              </w:rPr>
            </w:pPr>
            <w:r w:rsidRPr="00C1296A">
              <w:rPr>
                <w:sz w:val="20"/>
                <w:szCs w:val="20"/>
              </w:rPr>
              <w:t>73.00 %</w:t>
            </w:r>
          </w:p>
        </w:tc>
        <w:tc>
          <w:tcPr>
            <w:tcW w:w="900" w:type="dxa"/>
            <w:tcBorders>
              <w:left w:val="single" w:sz="12" w:space="0" w:color="auto"/>
              <w:bottom w:val="single" w:sz="12" w:space="0" w:color="auto"/>
            </w:tcBorders>
            <w:hideMark/>
          </w:tcPr>
          <w:p w14:paraId="4195F06C" w14:textId="77777777" w:rsidR="00063ACD" w:rsidRPr="00C1296A" w:rsidRDefault="00063ACD" w:rsidP="00776391">
            <w:pPr>
              <w:rPr>
                <w:sz w:val="20"/>
                <w:szCs w:val="20"/>
              </w:rPr>
            </w:pPr>
            <w:r w:rsidRPr="00C1296A">
              <w:rPr>
                <w:sz w:val="20"/>
                <w:szCs w:val="20"/>
              </w:rPr>
              <w:t>78.68 %</w:t>
            </w:r>
          </w:p>
        </w:tc>
        <w:tc>
          <w:tcPr>
            <w:tcW w:w="1260" w:type="dxa"/>
            <w:tcBorders>
              <w:bottom w:val="single" w:sz="12" w:space="0" w:color="auto"/>
            </w:tcBorders>
            <w:hideMark/>
          </w:tcPr>
          <w:p w14:paraId="303535A1" w14:textId="77777777" w:rsidR="00063ACD" w:rsidRPr="00C1296A" w:rsidRDefault="00063ACD" w:rsidP="00776391">
            <w:pPr>
              <w:rPr>
                <w:sz w:val="20"/>
                <w:szCs w:val="20"/>
              </w:rPr>
            </w:pPr>
            <w:r w:rsidRPr="00C1296A">
              <w:rPr>
                <w:sz w:val="20"/>
                <w:szCs w:val="20"/>
              </w:rPr>
              <w:t>+-4.90 %</w:t>
            </w:r>
          </w:p>
        </w:tc>
        <w:tc>
          <w:tcPr>
            <w:tcW w:w="900" w:type="dxa"/>
            <w:tcBorders>
              <w:bottom w:val="single" w:sz="12" w:space="0" w:color="auto"/>
              <w:right w:val="single" w:sz="12" w:space="0" w:color="auto"/>
            </w:tcBorders>
            <w:hideMark/>
          </w:tcPr>
          <w:p w14:paraId="04572587" w14:textId="77777777" w:rsidR="00063ACD" w:rsidRPr="00C1296A" w:rsidRDefault="00063ACD" w:rsidP="00776391">
            <w:pPr>
              <w:rPr>
                <w:sz w:val="20"/>
                <w:szCs w:val="20"/>
              </w:rPr>
            </w:pPr>
            <w:r w:rsidRPr="00C1296A">
              <w:rPr>
                <w:sz w:val="20"/>
                <w:szCs w:val="20"/>
              </w:rPr>
              <w:t>79.00 %</w:t>
            </w:r>
          </w:p>
        </w:tc>
      </w:tr>
    </w:tbl>
    <w:p w14:paraId="32C0C7A5" w14:textId="717273C6" w:rsidR="00063ACD" w:rsidRPr="00C1296A" w:rsidRDefault="00774EEB" w:rsidP="00774EEB">
      <w:pPr>
        <w:pStyle w:val="ListParagraph"/>
        <w:spacing w:line="276" w:lineRule="auto"/>
        <w:rPr>
          <w:sz w:val="20"/>
          <w:szCs w:val="20"/>
        </w:rPr>
      </w:pPr>
      <w:r w:rsidRPr="00C1296A">
        <w:rPr>
          <w:sz w:val="20"/>
          <w:szCs w:val="20"/>
        </w:rPr>
        <w:t>*Nuevo año de referencia</w:t>
      </w:r>
    </w:p>
    <w:p w14:paraId="28B7D93D" w14:textId="77777777" w:rsidR="00063ACD" w:rsidRPr="00C1296A" w:rsidRDefault="00063ACD" w:rsidP="009F3900">
      <w:pPr>
        <w:spacing w:after="0" w:line="276" w:lineRule="auto"/>
        <w:rPr>
          <w:rFonts w:ascii="Segoe UI" w:hAnsi="Segoe UI" w:cs="Segoe UI"/>
          <w:b/>
          <w:bCs/>
          <w:color w:val="2E74B5" w:themeColor="accent5" w:themeShade="BF"/>
          <w:sz w:val="24"/>
          <w:szCs w:val="24"/>
        </w:rPr>
      </w:pPr>
      <w:r w:rsidRPr="00C1296A">
        <w:rPr>
          <w:rFonts w:ascii="Segoe UI" w:hAnsi="Segoe UI"/>
          <w:b/>
          <w:color w:val="2E74B5" w:themeColor="accent5" w:themeShade="BF"/>
          <w:sz w:val="24"/>
          <w:szCs w:val="20"/>
        </w:rPr>
        <w:t>Representatividad del Indicador 14</w:t>
      </w:r>
    </w:p>
    <w:p w14:paraId="3015B9E6" w14:textId="10363776" w:rsidR="00063ACD" w:rsidRPr="00C1296A" w:rsidRDefault="00063ACD" w:rsidP="00063ACD">
      <w:pPr>
        <w:spacing w:line="276" w:lineRule="auto"/>
        <w:rPr>
          <w:rFonts w:ascii="Calibri" w:eastAsia="Cambria" w:hAnsi="Calibri" w:cs="Calibri"/>
          <w:color w:val="000000"/>
        </w:rPr>
      </w:pPr>
      <w:r w:rsidRPr="00C1296A">
        <w:rPr>
          <w:rFonts w:ascii="Calibri" w:hAnsi="Calibri"/>
          <w:color w:val="000000"/>
          <w:szCs w:val="20"/>
        </w:rPr>
        <w:t>El segundo indicador de la calidad de los datos de la encuesta es la representación.</w:t>
      </w:r>
      <w:r w:rsidRPr="00C1296A">
        <w:rPr>
          <w:rFonts w:ascii="Calibri" w:hAnsi="Calibri"/>
          <w:b/>
          <w:i/>
          <w:color w:val="000000"/>
          <w:szCs w:val="20"/>
        </w:rPr>
        <w:t xml:space="preserve">  </w:t>
      </w:r>
      <w:r w:rsidRPr="00C1296A">
        <w:rPr>
          <w:rFonts w:ascii="Calibri" w:hAnsi="Calibri"/>
          <w:color w:val="000000"/>
          <w:szCs w:val="20"/>
        </w:rPr>
        <w:t xml:space="preserve">La </w:t>
      </w:r>
      <w:r w:rsidRPr="00C1296A">
        <w:rPr>
          <w:rFonts w:ascii="Calibri" w:hAnsi="Calibri"/>
          <w:i/>
          <w:color w:val="000000"/>
          <w:szCs w:val="20"/>
        </w:rPr>
        <w:t>Calculadora de respuestas NPSO/NTACT</w:t>
      </w:r>
      <w:r w:rsidRPr="00C1296A">
        <w:rPr>
          <w:rFonts w:ascii="Calibri" w:hAnsi="Calibri"/>
          <w:color w:val="000000"/>
          <w:szCs w:val="20"/>
        </w:rPr>
        <w:t xml:space="preserve"> se utiliza para calcular la representatividad del grupo encuestado en función de las características de: (a) tipo de discapacidad, (b) origen étnico, (c) género y (d) estado de salida (por ejemplo, abandono) para determinar si los jóvenes que respondieron a las entrevistas eran similares o diferentes a la población total de jóvenes con un IEP que salió de la escuela en 2019-2020. De acuerdo con la </w:t>
      </w:r>
      <w:r w:rsidRPr="00C1296A">
        <w:rPr>
          <w:rFonts w:ascii="Calibri" w:hAnsi="Calibri"/>
          <w:i/>
          <w:color w:val="000000"/>
          <w:szCs w:val="20"/>
        </w:rPr>
        <w:t>Calculadora de respuestas NPSO/NTACT</w:t>
      </w:r>
      <w:r w:rsidRPr="00C1296A">
        <w:rPr>
          <w:rFonts w:ascii="Calibri" w:hAnsi="Calibri"/>
          <w:color w:val="000000"/>
          <w:szCs w:val="20"/>
        </w:rPr>
        <w:t xml:space="preserve">, las diferencias entre el grupo de encuestados y el grupo objetivo de desertores de más de ±3 % son importantes, ya que esto puede alterar el porcentaje. Las diferencias negativas indican una </w:t>
      </w:r>
      <w:proofErr w:type="spellStart"/>
      <w:r w:rsidRPr="00C1296A">
        <w:rPr>
          <w:rFonts w:ascii="Calibri" w:hAnsi="Calibri"/>
          <w:color w:val="000000"/>
          <w:szCs w:val="20"/>
        </w:rPr>
        <w:t>infrarrepresentatividad</w:t>
      </w:r>
      <w:proofErr w:type="spellEnd"/>
      <w:r w:rsidRPr="00C1296A">
        <w:rPr>
          <w:rFonts w:ascii="Calibri" w:hAnsi="Calibri"/>
          <w:color w:val="000000"/>
          <w:szCs w:val="20"/>
        </w:rPr>
        <w:t xml:space="preserve"> del grupo y las diferencias positivas indican una </w:t>
      </w:r>
      <w:proofErr w:type="spellStart"/>
      <w:r w:rsidRPr="00C1296A">
        <w:rPr>
          <w:rFonts w:ascii="Calibri" w:hAnsi="Calibri"/>
          <w:color w:val="000000"/>
          <w:szCs w:val="20"/>
        </w:rPr>
        <w:t>sobrerepresentatividad</w:t>
      </w:r>
      <w:proofErr w:type="spellEnd"/>
      <w:r w:rsidRPr="00C1296A">
        <w:rPr>
          <w:rFonts w:ascii="Calibri" w:hAnsi="Calibri"/>
          <w:color w:val="000000"/>
          <w:szCs w:val="20"/>
        </w:rPr>
        <w:t xml:space="preserve">. En la calculadora de respuestas, </w:t>
      </w:r>
      <w:r w:rsidRPr="00C1296A">
        <w:rPr>
          <w:rFonts w:ascii="Calibri" w:hAnsi="Calibri"/>
          <w:b/>
          <w:szCs w:val="20"/>
        </w:rPr>
        <w:t>lo que se encuentra en negritas</w:t>
      </w:r>
      <w:r w:rsidRPr="00C1296A">
        <w:rPr>
          <w:rFonts w:ascii="Calibri" w:hAnsi="Calibri"/>
          <w:szCs w:val="20"/>
        </w:rPr>
        <w:t xml:space="preserve"> </w:t>
      </w:r>
      <w:r w:rsidRPr="00C1296A">
        <w:rPr>
          <w:rFonts w:ascii="Calibri" w:hAnsi="Calibri"/>
          <w:color w:val="000000"/>
          <w:szCs w:val="20"/>
        </w:rPr>
        <w:t xml:space="preserve">se utiliza para indicar una diferencia que excede un intervalo de ±3 %. </w:t>
      </w:r>
    </w:p>
    <w:p w14:paraId="4C8983FF" w14:textId="77777777" w:rsidR="00063ACD" w:rsidRPr="00C1296A" w:rsidRDefault="00063ACD" w:rsidP="00063ACD">
      <w:pPr>
        <w:pStyle w:val="ListParagraph"/>
        <w:numPr>
          <w:ilvl w:val="0"/>
          <w:numId w:val="11"/>
        </w:numPr>
        <w:spacing w:line="276" w:lineRule="auto"/>
        <w:rPr>
          <w:rFonts w:ascii="Calibri" w:hAnsi="Calibri" w:cs="Calibri"/>
        </w:rPr>
      </w:pPr>
      <w:r w:rsidRPr="00C1296A">
        <w:rPr>
          <w:rFonts w:ascii="Calibri" w:hAnsi="Calibri"/>
          <w:b/>
          <w:szCs w:val="20"/>
          <w:u w:val="single"/>
        </w:rPr>
        <w:t>Encuestados</w:t>
      </w:r>
      <w:r w:rsidRPr="00C1296A">
        <w:rPr>
          <w:rFonts w:ascii="Calibri" w:hAnsi="Calibri"/>
          <w:b/>
          <w:i/>
          <w:szCs w:val="20"/>
          <w:u w:val="single"/>
        </w:rPr>
        <w:t>:</w:t>
      </w:r>
      <w:r w:rsidRPr="00C1296A">
        <w:rPr>
          <w:rFonts w:ascii="Calibri" w:hAnsi="Calibri"/>
          <w:szCs w:val="20"/>
        </w:rPr>
        <w:t xml:space="preserve"> Los jóvenes o sus familiares designados que respondan la encuesta o las preguntas de la entrevista.</w:t>
      </w:r>
    </w:p>
    <w:p w14:paraId="5299A680" w14:textId="77777777" w:rsidR="00063ACD" w:rsidRPr="00C1296A" w:rsidRDefault="00063ACD" w:rsidP="00063ACD">
      <w:pPr>
        <w:pStyle w:val="ListParagraph"/>
        <w:numPr>
          <w:ilvl w:val="0"/>
          <w:numId w:val="11"/>
        </w:numPr>
        <w:spacing w:line="276" w:lineRule="auto"/>
        <w:rPr>
          <w:rFonts w:ascii="Calibri" w:hAnsi="Calibri" w:cs="Calibri"/>
        </w:rPr>
      </w:pPr>
      <w:r w:rsidRPr="00C1296A">
        <w:rPr>
          <w:rFonts w:ascii="Calibri" w:hAnsi="Calibri"/>
          <w:b/>
          <w:szCs w:val="20"/>
          <w:u w:val="single"/>
        </w:rPr>
        <w:t>Desertores:</w:t>
      </w:r>
      <w:r w:rsidRPr="00C1296A">
        <w:rPr>
          <w:rFonts w:ascii="Calibri" w:hAnsi="Calibri"/>
          <w:szCs w:val="20"/>
        </w:rPr>
        <w:t xml:space="preserve"> Jóvenes que abandonaron la escuela al graduarse con un diploma regular o modificado, que superaron la edad, dejaron la escuela antes de tiempo (es decir, abandonaron la escuela) o que se esperaba que regresaran a la escuela, pero no lo hicieron.</w:t>
      </w:r>
    </w:p>
    <w:tbl>
      <w:tblPr>
        <w:tblStyle w:val="TableGrid"/>
        <w:tblW w:w="0" w:type="auto"/>
        <w:tblLook w:val="04A0" w:firstRow="1" w:lastRow="0" w:firstColumn="1" w:lastColumn="0" w:noHBand="0" w:noVBand="1"/>
      </w:tblPr>
      <w:tblGrid>
        <w:gridCol w:w="3685"/>
        <w:gridCol w:w="1170"/>
        <w:gridCol w:w="1080"/>
        <w:gridCol w:w="1080"/>
        <w:gridCol w:w="1170"/>
        <w:gridCol w:w="1165"/>
      </w:tblGrid>
      <w:tr w:rsidR="00E87E48" w:rsidRPr="00C1296A" w14:paraId="1C3263ED" w14:textId="77777777" w:rsidTr="00776391">
        <w:tc>
          <w:tcPr>
            <w:tcW w:w="9350" w:type="dxa"/>
            <w:gridSpan w:val="6"/>
          </w:tcPr>
          <w:p w14:paraId="0EEFAFA7" w14:textId="140B6FA0" w:rsidR="00E87E48" w:rsidRPr="00C1296A" w:rsidRDefault="00E87E48" w:rsidP="000C178C">
            <w:pPr>
              <w:spacing w:line="276" w:lineRule="auto"/>
              <w:rPr>
                <w:rFonts w:ascii="Calibri" w:hAnsi="Calibri" w:cs="Calibri"/>
                <w:b/>
                <w:bCs/>
              </w:rPr>
            </w:pPr>
            <w:r w:rsidRPr="00C1296A">
              <w:rPr>
                <w:rFonts w:ascii="Calibri" w:hAnsi="Calibri"/>
                <w:b/>
                <w:szCs w:val="20"/>
              </w:rPr>
              <w:t>Representatividad estatal por porcentaje (1 de 2)</w:t>
            </w:r>
          </w:p>
        </w:tc>
      </w:tr>
      <w:tr w:rsidR="00F95086" w:rsidRPr="00C1296A" w14:paraId="40458ED3" w14:textId="77777777" w:rsidTr="005D3C7A">
        <w:tc>
          <w:tcPr>
            <w:tcW w:w="3685" w:type="dxa"/>
          </w:tcPr>
          <w:p w14:paraId="54302ECC" w14:textId="693CBA08" w:rsidR="00F95086" w:rsidRPr="00C1296A" w:rsidRDefault="00E87E48" w:rsidP="005D3C7A">
            <w:pPr>
              <w:spacing w:line="276" w:lineRule="auto"/>
              <w:jc w:val="right"/>
              <w:rPr>
                <w:rFonts w:ascii="Calibri" w:hAnsi="Calibri" w:cs="Calibri"/>
                <w:b/>
                <w:bCs/>
              </w:rPr>
            </w:pPr>
            <w:r w:rsidRPr="00C1296A">
              <w:rPr>
                <w:rFonts w:ascii="Calibri" w:hAnsi="Calibri"/>
                <w:b/>
                <w:szCs w:val="20"/>
              </w:rPr>
              <w:lastRenderedPageBreak/>
              <w:t>Categorías de discapacidad</w:t>
            </w:r>
          </w:p>
        </w:tc>
        <w:tc>
          <w:tcPr>
            <w:tcW w:w="1170" w:type="dxa"/>
            <w:vAlign w:val="bottom"/>
          </w:tcPr>
          <w:p w14:paraId="57802EAF" w14:textId="20E5A7C6" w:rsidR="00F95086" w:rsidRPr="00C1296A" w:rsidRDefault="00E87E48" w:rsidP="005D3C7A">
            <w:pPr>
              <w:spacing w:line="276" w:lineRule="auto"/>
              <w:jc w:val="center"/>
              <w:rPr>
                <w:rFonts w:ascii="Calibri" w:hAnsi="Calibri" w:cs="Calibri"/>
                <w:b/>
                <w:bCs/>
              </w:rPr>
            </w:pPr>
            <w:r w:rsidRPr="00C1296A">
              <w:rPr>
                <w:rFonts w:ascii="Calibri" w:hAnsi="Calibri"/>
                <w:b/>
                <w:szCs w:val="20"/>
              </w:rPr>
              <w:t>General</w:t>
            </w:r>
          </w:p>
        </w:tc>
        <w:tc>
          <w:tcPr>
            <w:tcW w:w="1080" w:type="dxa"/>
            <w:vAlign w:val="bottom"/>
          </w:tcPr>
          <w:p w14:paraId="6B8BE2F6" w14:textId="0555509B" w:rsidR="00F95086" w:rsidRPr="00C1296A" w:rsidRDefault="00E87E48" w:rsidP="005D3C7A">
            <w:pPr>
              <w:spacing w:line="276" w:lineRule="auto"/>
              <w:jc w:val="center"/>
              <w:rPr>
                <w:rFonts w:ascii="Calibri" w:hAnsi="Calibri" w:cs="Calibri"/>
                <w:b/>
                <w:bCs/>
              </w:rPr>
            </w:pPr>
            <w:r w:rsidRPr="00C1296A">
              <w:rPr>
                <w:rFonts w:ascii="Calibri" w:hAnsi="Calibri"/>
                <w:b/>
                <w:szCs w:val="20"/>
              </w:rPr>
              <w:t>SLD</w:t>
            </w:r>
          </w:p>
        </w:tc>
        <w:tc>
          <w:tcPr>
            <w:tcW w:w="1080" w:type="dxa"/>
            <w:vAlign w:val="bottom"/>
          </w:tcPr>
          <w:p w14:paraId="708EED14" w14:textId="25B19961" w:rsidR="00F95086" w:rsidRPr="00C1296A" w:rsidRDefault="00E87E48" w:rsidP="005D3C7A">
            <w:pPr>
              <w:spacing w:line="276" w:lineRule="auto"/>
              <w:jc w:val="center"/>
              <w:rPr>
                <w:rFonts w:ascii="Calibri" w:hAnsi="Calibri" w:cs="Calibri"/>
                <w:b/>
                <w:bCs/>
              </w:rPr>
            </w:pPr>
            <w:r w:rsidRPr="00C1296A">
              <w:rPr>
                <w:rFonts w:ascii="Calibri" w:hAnsi="Calibri"/>
                <w:b/>
                <w:szCs w:val="20"/>
              </w:rPr>
              <w:t>ED</w:t>
            </w:r>
          </w:p>
        </w:tc>
        <w:tc>
          <w:tcPr>
            <w:tcW w:w="1170" w:type="dxa"/>
            <w:vAlign w:val="bottom"/>
          </w:tcPr>
          <w:p w14:paraId="3629FFE4" w14:textId="5E1E76D9" w:rsidR="00F95086" w:rsidRPr="00C1296A" w:rsidRDefault="00E87E48" w:rsidP="005D3C7A">
            <w:pPr>
              <w:spacing w:line="276" w:lineRule="auto"/>
              <w:jc w:val="center"/>
              <w:rPr>
                <w:rFonts w:ascii="Calibri" w:hAnsi="Calibri" w:cs="Calibri"/>
                <w:b/>
                <w:bCs/>
              </w:rPr>
            </w:pPr>
            <w:r w:rsidRPr="00C1296A">
              <w:rPr>
                <w:rFonts w:ascii="Calibri" w:hAnsi="Calibri"/>
                <w:b/>
                <w:szCs w:val="20"/>
              </w:rPr>
              <w:t>ID</w:t>
            </w:r>
          </w:p>
        </w:tc>
        <w:tc>
          <w:tcPr>
            <w:tcW w:w="1165" w:type="dxa"/>
            <w:vAlign w:val="bottom"/>
          </w:tcPr>
          <w:p w14:paraId="044AAFC3" w14:textId="7258B0F0" w:rsidR="00F95086" w:rsidRPr="00C1296A" w:rsidRDefault="00E87E48" w:rsidP="005D3C7A">
            <w:pPr>
              <w:spacing w:line="276" w:lineRule="auto"/>
              <w:jc w:val="center"/>
              <w:rPr>
                <w:rFonts w:ascii="Calibri" w:hAnsi="Calibri" w:cs="Calibri"/>
                <w:b/>
                <w:bCs/>
              </w:rPr>
            </w:pPr>
            <w:r w:rsidRPr="00C1296A">
              <w:rPr>
                <w:rFonts w:ascii="Calibri" w:hAnsi="Calibri"/>
                <w:b/>
                <w:szCs w:val="20"/>
              </w:rPr>
              <w:t>Todos los demás</w:t>
            </w:r>
          </w:p>
        </w:tc>
      </w:tr>
      <w:tr w:rsidR="00F95086" w:rsidRPr="00C1296A" w14:paraId="651A7121" w14:textId="77777777" w:rsidTr="005D3C7A">
        <w:tc>
          <w:tcPr>
            <w:tcW w:w="3685" w:type="dxa"/>
          </w:tcPr>
          <w:p w14:paraId="47851D54" w14:textId="4244116F" w:rsidR="00F95086" w:rsidRPr="00C1296A" w:rsidRDefault="00E87E48" w:rsidP="005D3C7A">
            <w:pPr>
              <w:spacing w:line="276" w:lineRule="auto"/>
              <w:jc w:val="right"/>
              <w:rPr>
                <w:rFonts w:ascii="Calibri" w:hAnsi="Calibri" w:cs="Calibri"/>
                <w:b/>
                <w:bCs/>
              </w:rPr>
            </w:pPr>
            <w:r w:rsidRPr="00C1296A">
              <w:rPr>
                <w:rFonts w:ascii="Calibri" w:hAnsi="Calibri"/>
                <w:b/>
                <w:szCs w:val="20"/>
              </w:rPr>
              <w:t>Totales de desertores objetivo</w:t>
            </w:r>
          </w:p>
        </w:tc>
        <w:tc>
          <w:tcPr>
            <w:tcW w:w="1170" w:type="dxa"/>
          </w:tcPr>
          <w:p w14:paraId="58C2EFD6" w14:textId="09CED3AE" w:rsidR="00F95086" w:rsidRPr="00C1296A" w:rsidRDefault="00E87E48" w:rsidP="001A73CE">
            <w:pPr>
              <w:spacing w:line="276" w:lineRule="auto"/>
              <w:jc w:val="center"/>
              <w:rPr>
                <w:rFonts w:ascii="Calibri" w:hAnsi="Calibri" w:cs="Calibri"/>
              </w:rPr>
            </w:pPr>
            <w:r w:rsidRPr="00C1296A">
              <w:rPr>
                <w:rFonts w:ascii="Calibri" w:hAnsi="Calibri"/>
                <w:szCs w:val="20"/>
              </w:rPr>
              <w:t>2,816</w:t>
            </w:r>
          </w:p>
        </w:tc>
        <w:tc>
          <w:tcPr>
            <w:tcW w:w="1080" w:type="dxa"/>
          </w:tcPr>
          <w:p w14:paraId="4977DA28" w14:textId="5AB1122D" w:rsidR="00F95086" w:rsidRPr="00C1296A" w:rsidRDefault="00E87E48" w:rsidP="001A73CE">
            <w:pPr>
              <w:spacing w:line="276" w:lineRule="auto"/>
              <w:jc w:val="center"/>
              <w:rPr>
                <w:rFonts w:ascii="Calibri" w:hAnsi="Calibri" w:cs="Calibri"/>
              </w:rPr>
            </w:pPr>
            <w:r w:rsidRPr="00C1296A">
              <w:rPr>
                <w:rFonts w:ascii="Calibri" w:hAnsi="Calibri"/>
                <w:szCs w:val="20"/>
              </w:rPr>
              <w:t>786</w:t>
            </w:r>
          </w:p>
        </w:tc>
        <w:tc>
          <w:tcPr>
            <w:tcW w:w="1080" w:type="dxa"/>
          </w:tcPr>
          <w:p w14:paraId="15F8FC36" w14:textId="7CA99A58" w:rsidR="00F95086" w:rsidRPr="00C1296A" w:rsidRDefault="00E87E48" w:rsidP="001A73CE">
            <w:pPr>
              <w:spacing w:line="276" w:lineRule="auto"/>
              <w:jc w:val="center"/>
              <w:rPr>
                <w:rFonts w:ascii="Calibri" w:hAnsi="Calibri" w:cs="Calibri"/>
              </w:rPr>
            </w:pPr>
            <w:r w:rsidRPr="00C1296A">
              <w:rPr>
                <w:rFonts w:ascii="Calibri" w:hAnsi="Calibri"/>
                <w:szCs w:val="20"/>
              </w:rPr>
              <w:t>564</w:t>
            </w:r>
          </w:p>
        </w:tc>
        <w:tc>
          <w:tcPr>
            <w:tcW w:w="1170" w:type="dxa"/>
          </w:tcPr>
          <w:p w14:paraId="0BF068A1" w14:textId="4AC19505" w:rsidR="00F95086" w:rsidRPr="00C1296A" w:rsidRDefault="00E87E48" w:rsidP="001A73CE">
            <w:pPr>
              <w:spacing w:line="276" w:lineRule="auto"/>
              <w:jc w:val="center"/>
              <w:rPr>
                <w:rFonts w:ascii="Calibri" w:hAnsi="Calibri" w:cs="Calibri"/>
              </w:rPr>
            </w:pPr>
            <w:r w:rsidRPr="00C1296A">
              <w:rPr>
                <w:rFonts w:ascii="Calibri" w:hAnsi="Calibri"/>
                <w:szCs w:val="20"/>
              </w:rPr>
              <w:t>160</w:t>
            </w:r>
          </w:p>
        </w:tc>
        <w:tc>
          <w:tcPr>
            <w:tcW w:w="1165" w:type="dxa"/>
          </w:tcPr>
          <w:p w14:paraId="20EAA721" w14:textId="0AF15471" w:rsidR="00F95086" w:rsidRPr="00C1296A" w:rsidRDefault="00E87E48" w:rsidP="001A73CE">
            <w:pPr>
              <w:spacing w:line="276" w:lineRule="auto"/>
              <w:jc w:val="center"/>
              <w:rPr>
                <w:rFonts w:ascii="Calibri" w:hAnsi="Calibri" w:cs="Calibri"/>
              </w:rPr>
            </w:pPr>
            <w:r w:rsidRPr="00C1296A">
              <w:rPr>
                <w:rFonts w:ascii="Calibri" w:hAnsi="Calibri"/>
                <w:szCs w:val="20"/>
              </w:rPr>
              <w:t>1,306</w:t>
            </w:r>
          </w:p>
        </w:tc>
      </w:tr>
      <w:tr w:rsidR="00F95086" w:rsidRPr="00C1296A" w14:paraId="6525C274" w14:textId="77777777" w:rsidTr="005D3C7A">
        <w:tc>
          <w:tcPr>
            <w:tcW w:w="3685" w:type="dxa"/>
          </w:tcPr>
          <w:p w14:paraId="4272FE84" w14:textId="6D6BB000" w:rsidR="00F95086" w:rsidRPr="00C1296A" w:rsidRDefault="00E87E48" w:rsidP="005D3C7A">
            <w:pPr>
              <w:spacing w:line="276" w:lineRule="auto"/>
              <w:jc w:val="right"/>
              <w:rPr>
                <w:rFonts w:ascii="Calibri" w:hAnsi="Calibri" w:cs="Calibri"/>
                <w:b/>
                <w:bCs/>
              </w:rPr>
            </w:pPr>
            <w:r w:rsidRPr="00C1296A">
              <w:rPr>
                <w:rFonts w:ascii="Calibri" w:hAnsi="Calibri"/>
                <w:b/>
                <w:szCs w:val="20"/>
              </w:rPr>
              <w:t>Total de respuestas</w:t>
            </w:r>
          </w:p>
        </w:tc>
        <w:tc>
          <w:tcPr>
            <w:tcW w:w="1170" w:type="dxa"/>
          </w:tcPr>
          <w:p w14:paraId="509AEDA3" w14:textId="5E9B67FE" w:rsidR="00F95086" w:rsidRPr="00C1296A" w:rsidRDefault="00E87E48" w:rsidP="001A73CE">
            <w:pPr>
              <w:spacing w:line="276" w:lineRule="auto"/>
              <w:jc w:val="center"/>
              <w:rPr>
                <w:rFonts w:ascii="Calibri" w:hAnsi="Calibri" w:cs="Calibri"/>
              </w:rPr>
            </w:pPr>
            <w:r w:rsidRPr="00C1296A">
              <w:rPr>
                <w:rFonts w:ascii="Calibri" w:hAnsi="Calibri"/>
                <w:szCs w:val="20"/>
              </w:rPr>
              <w:t>1,060</w:t>
            </w:r>
          </w:p>
        </w:tc>
        <w:tc>
          <w:tcPr>
            <w:tcW w:w="1080" w:type="dxa"/>
          </w:tcPr>
          <w:p w14:paraId="629B5E54" w14:textId="4830177C" w:rsidR="00F95086" w:rsidRPr="00C1296A" w:rsidRDefault="00E87E48" w:rsidP="001A73CE">
            <w:pPr>
              <w:spacing w:line="276" w:lineRule="auto"/>
              <w:jc w:val="center"/>
              <w:rPr>
                <w:rFonts w:ascii="Calibri" w:hAnsi="Calibri" w:cs="Calibri"/>
              </w:rPr>
            </w:pPr>
            <w:r w:rsidRPr="00C1296A">
              <w:rPr>
                <w:rFonts w:ascii="Calibri" w:hAnsi="Calibri"/>
                <w:szCs w:val="20"/>
              </w:rPr>
              <w:t>293</w:t>
            </w:r>
          </w:p>
        </w:tc>
        <w:tc>
          <w:tcPr>
            <w:tcW w:w="1080" w:type="dxa"/>
          </w:tcPr>
          <w:p w14:paraId="7D7EADBB" w14:textId="102BEE2B" w:rsidR="00F95086" w:rsidRPr="00C1296A" w:rsidRDefault="00E87E48" w:rsidP="001A73CE">
            <w:pPr>
              <w:spacing w:line="276" w:lineRule="auto"/>
              <w:jc w:val="center"/>
              <w:rPr>
                <w:rFonts w:ascii="Calibri" w:hAnsi="Calibri" w:cs="Calibri"/>
              </w:rPr>
            </w:pPr>
            <w:r w:rsidRPr="00C1296A">
              <w:rPr>
                <w:rFonts w:ascii="Calibri" w:hAnsi="Calibri"/>
                <w:szCs w:val="20"/>
              </w:rPr>
              <w:t>187</w:t>
            </w:r>
          </w:p>
        </w:tc>
        <w:tc>
          <w:tcPr>
            <w:tcW w:w="1170" w:type="dxa"/>
          </w:tcPr>
          <w:p w14:paraId="7FDBCA61" w14:textId="7A862D76" w:rsidR="00F95086" w:rsidRPr="00C1296A" w:rsidRDefault="00E87E48" w:rsidP="001A73CE">
            <w:pPr>
              <w:spacing w:line="276" w:lineRule="auto"/>
              <w:jc w:val="center"/>
              <w:rPr>
                <w:rFonts w:ascii="Calibri" w:hAnsi="Calibri" w:cs="Calibri"/>
              </w:rPr>
            </w:pPr>
            <w:r w:rsidRPr="00C1296A">
              <w:rPr>
                <w:rFonts w:ascii="Calibri" w:hAnsi="Calibri"/>
                <w:szCs w:val="20"/>
              </w:rPr>
              <w:t>67</w:t>
            </w:r>
          </w:p>
        </w:tc>
        <w:tc>
          <w:tcPr>
            <w:tcW w:w="1165" w:type="dxa"/>
          </w:tcPr>
          <w:p w14:paraId="2DEFD75C" w14:textId="39879709" w:rsidR="00F95086" w:rsidRPr="00C1296A" w:rsidRDefault="00E87E48" w:rsidP="001A73CE">
            <w:pPr>
              <w:spacing w:line="276" w:lineRule="auto"/>
              <w:jc w:val="center"/>
              <w:rPr>
                <w:rFonts w:ascii="Calibri" w:hAnsi="Calibri" w:cs="Calibri"/>
              </w:rPr>
            </w:pPr>
            <w:r w:rsidRPr="00C1296A">
              <w:rPr>
                <w:rFonts w:ascii="Calibri" w:hAnsi="Calibri"/>
                <w:szCs w:val="20"/>
              </w:rPr>
              <w:t>513</w:t>
            </w:r>
          </w:p>
        </w:tc>
      </w:tr>
      <w:tr w:rsidR="00F95086" w:rsidRPr="00C1296A" w14:paraId="4F1D8BF9" w14:textId="77777777" w:rsidTr="005D3C7A">
        <w:trPr>
          <w:trHeight w:val="233"/>
        </w:trPr>
        <w:tc>
          <w:tcPr>
            <w:tcW w:w="3685" w:type="dxa"/>
          </w:tcPr>
          <w:p w14:paraId="74A1DAC4" w14:textId="77777777" w:rsidR="00F95086" w:rsidRPr="00C1296A" w:rsidRDefault="00F95086" w:rsidP="005D3C7A">
            <w:pPr>
              <w:spacing w:line="276" w:lineRule="auto"/>
              <w:jc w:val="right"/>
              <w:rPr>
                <w:rFonts w:ascii="Calibri" w:hAnsi="Calibri" w:cs="Calibri"/>
                <w:b/>
                <w:bCs/>
              </w:rPr>
            </w:pPr>
          </w:p>
        </w:tc>
        <w:tc>
          <w:tcPr>
            <w:tcW w:w="1170" w:type="dxa"/>
          </w:tcPr>
          <w:p w14:paraId="0052905C" w14:textId="77777777" w:rsidR="00F95086" w:rsidRPr="00C1296A" w:rsidRDefault="00F95086" w:rsidP="001A73CE">
            <w:pPr>
              <w:spacing w:line="276" w:lineRule="auto"/>
              <w:jc w:val="center"/>
              <w:rPr>
                <w:rFonts w:ascii="Calibri" w:hAnsi="Calibri" w:cs="Calibri"/>
              </w:rPr>
            </w:pPr>
          </w:p>
        </w:tc>
        <w:tc>
          <w:tcPr>
            <w:tcW w:w="1080" w:type="dxa"/>
          </w:tcPr>
          <w:p w14:paraId="7A78D656" w14:textId="77777777" w:rsidR="00F95086" w:rsidRPr="00C1296A" w:rsidRDefault="00F95086" w:rsidP="001A73CE">
            <w:pPr>
              <w:spacing w:line="276" w:lineRule="auto"/>
              <w:jc w:val="center"/>
              <w:rPr>
                <w:rFonts w:ascii="Calibri" w:hAnsi="Calibri" w:cs="Calibri"/>
              </w:rPr>
            </w:pPr>
          </w:p>
        </w:tc>
        <w:tc>
          <w:tcPr>
            <w:tcW w:w="1080" w:type="dxa"/>
          </w:tcPr>
          <w:p w14:paraId="08C394F0" w14:textId="77777777" w:rsidR="00F95086" w:rsidRPr="00C1296A" w:rsidRDefault="00F95086" w:rsidP="001A73CE">
            <w:pPr>
              <w:spacing w:line="276" w:lineRule="auto"/>
              <w:jc w:val="center"/>
              <w:rPr>
                <w:rFonts w:ascii="Calibri" w:hAnsi="Calibri" w:cs="Calibri"/>
              </w:rPr>
            </w:pPr>
          </w:p>
        </w:tc>
        <w:tc>
          <w:tcPr>
            <w:tcW w:w="1170" w:type="dxa"/>
          </w:tcPr>
          <w:p w14:paraId="52356812" w14:textId="77777777" w:rsidR="00F95086" w:rsidRPr="00C1296A" w:rsidRDefault="00F95086" w:rsidP="001A73CE">
            <w:pPr>
              <w:spacing w:line="276" w:lineRule="auto"/>
              <w:jc w:val="center"/>
              <w:rPr>
                <w:rFonts w:ascii="Calibri" w:hAnsi="Calibri" w:cs="Calibri"/>
              </w:rPr>
            </w:pPr>
          </w:p>
        </w:tc>
        <w:tc>
          <w:tcPr>
            <w:tcW w:w="1165" w:type="dxa"/>
          </w:tcPr>
          <w:p w14:paraId="65E64CCF" w14:textId="77777777" w:rsidR="00F95086" w:rsidRPr="00C1296A" w:rsidRDefault="00F95086" w:rsidP="001A73CE">
            <w:pPr>
              <w:spacing w:line="276" w:lineRule="auto"/>
              <w:jc w:val="center"/>
              <w:rPr>
                <w:rFonts w:ascii="Calibri" w:hAnsi="Calibri" w:cs="Calibri"/>
              </w:rPr>
            </w:pPr>
          </w:p>
        </w:tc>
      </w:tr>
      <w:tr w:rsidR="00F95086" w:rsidRPr="00C1296A" w14:paraId="532A03D9" w14:textId="77777777" w:rsidTr="005D3C7A">
        <w:tc>
          <w:tcPr>
            <w:tcW w:w="3685" w:type="dxa"/>
          </w:tcPr>
          <w:p w14:paraId="3B8FA314" w14:textId="7A9ADD96" w:rsidR="00F95086" w:rsidRPr="00C1296A" w:rsidRDefault="00E87E48" w:rsidP="005D3C7A">
            <w:pPr>
              <w:spacing w:line="276" w:lineRule="auto"/>
              <w:jc w:val="right"/>
              <w:rPr>
                <w:rFonts w:ascii="Calibri" w:hAnsi="Calibri" w:cs="Calibri"/>
                <w:b/>
                <w:bCs/>
              </w:rPr>
            </w:pPr>
            <w:r w:rsidRPr="00C1296A">
              <w:rPr>
                <w:rFonts w:ascii="Calibri" w:hAnsi="Calibri"/>
                <w:b/>
                <w:szCs w:val="20"/>
              </w:rPr>
              <w:t>Representación de desertores objetivo</w:t>
            </w:r>
          </w:p>
        </w:tc>
        <w:tc>
          <w:tcPr>
            <w:tcW w:w="1170" w:type="dxa"/>
          </w:tcPr>
          <w:p w14:paraId="10700505" w14:textId="77777777" w:rsidR="00F95086" w:rsidRPr="00C1296A" w:rsidRDefault="00F95086" w:rsidP="001A73CE">
            <w:pPr>
              <w:spacing w:line="276" w:lineRule="auto"/>
              <w:jc w:val="center"/>
              <w:rPr>
                <w:rFonts w:ascii="Calibri" w:hAnsi="Calibri" w:cs="Calibri"/>
              </w:rPr>
            </w:pPr>
          </w:p>
        </w:tc>
        <w:tc>
          <w:tcPr>
            <w:tcW w:w="1080" w:type="dxa"/>
          </w:tcPr>
          <w:p w14:paraId="347D409F" w14:textId="73CA24E2" w:rsidR="00E87E48" w:rsidRPr="00C1296A" w:rsidRDefault="00E87E48" w:rsidP="001A73CE">
            <w:pPr>
              <w:spacing w:line="276" w:lineRule="auto"/>
              <w:jc w:val="center"/>
              <w:rPr>
                <w:rFonts w:ascii="Calibri" w:hAnsi="Calibri" w:cs="Calibri"/>
              </w:rPr>
            </w:pPr>
            <w:r w:rsidRPr="00C1296A">
              <w:rPr>
                <w:rFonts w:ascii="Calibri" w:hAnsi="Calibri"/>
                <w:szCs w:val="20"/>
              </w:rPr>
              <w:t>27.91 %</w:t>
            </w:r>
          </w:p>
        </w:tc>
        <w:tc>
          <w:tcPr>
            <w:tcW w:w="1080" w:type="dxa"/>
          </w:tcPr>
          <w:p w14:paraId="4424E941" w14:textId="317AD095" w:rsidR="00F95086" w:rsidRPr="00C1296A" w:rsidRDefault="00E87E48" w:rsidP="001A73CE">
            <w:pPr>
              <w:spacing w:line="276" w:lineRule="auto"/>
              <w:jc w:val="center"/>
              <w:rPr>
                <w:rFonts w:ascii="Calibri" w:hAnsi="Calibri" w:cs="Calibri"/>
              </w:rPr>
            </w:pPr>
            <w:r w:rsidRPr="00C1296A">
              <w:rPr>
                <w:rFonts w:ascii="Calibri" w:hAnsi="Calibri"/>
                <w:szCs w:val="20"/>
              </w:rPr>
              <w:t>20.03 %</w:t>
            </w:r>
          </w:p>
        </w:tc>
        <w:tc>
          <w:tcPr>
            <w:tcW w:w="1170" w:type="dxa"/>
          </w:tcPr>
          <w:p w14:paraId="5715461E" w14:textId="332A0D45" w:rsidR="00F95086" w:rsidRPr="00C1296A" w:rsidRDefault="00E87E48" w:rsidP="001A73CE">
            <w:pPr>
              <w:spacing w:line="276" w:lineRule="auto"/>
              <w:jc w:val="center"/>
              <w:rPr>
                <w:rFonts w:ascii="Calibri" w:hAnsi="Calibri" w:cs="Calibri"/>
              </w:rPr>
            </w:pPr>
            <w:r w:rsidRPr="00C1296A">
              <w:rPr>
                <w:rFonts w:ascii="Calibri" w:hAnsi="Calibri"/>
                <w:szCs w:val="20"/>
              </w:rPr>
              <w:t>5.68 %</w:t>
            </w:r>
          </w:p>
        </w:tc>
        <w:tc>
          <w:tcPr>
            <w:tcW w:w="1165" w:type="dxa"/>
          </w:tcPr>
          <w:p w14:paraId="662FCF21" w14:textId="60612924" w:rsidR="00F95086" w:rsidRPr="00C1296A" w:rsidRDefault="00E87E48" w:rsidP="001A73CE">
            <w:pPr>
              <w:spacing w:line="276" w:lineRule="auto"/>
              <w:jc w:val="center"/>
              <w:rPr>
                <w:rFonts w:ascii="Calibri" w:hAnsi="Calibri" w:cs="Calibri"/>
              </w:rPr>
            </w:pPr>
            <w:r w:rsidRPr="00C1296A">
              <w:rPr>
                <w:rFonts w:ascii="Calibri" w:hAnsi="Calibri"/>
                <w:szCs w:val="20"/>
              </w:rPr>
              <w:t>46.38 %</w:t>
            </w:r>
          </w:p>
        </w:tc>
      </w:tr>
      <w:tr w:rsidR="00F95086" w:rsidRPr="00C1296A" w14:paraId="251FC2A5" w14:textId="77777777" w:rsidTr="005D3C7A">
        <w:tc>
          <w:tcPr>
            <w:tcW w:w="3685" w:type="dxa"/>
          </w:tcPr>
          <w:p w14:paraId="0DE27407" w14:textId="0B1584C4" w:rsidR="00F95086" w:rsidRPr="00C1296A" w:rsidRDefault="00E87E48" w:rsidP="005D3C7A">
            <w:pPr>
              <w:spacing w:line="276" w:lineRule="auto"/>
              <w:jc w:val="right"/>
              <w:rPr>
                <w:rFonts w:ascii="Calibri" w:hAnsi="Calibri" w:cs="Calibri"/>
                <w:b/>
                <w:bCs/>
              </w:rPr>
            </w:pPr>
            <w:r w:rsidRPr="00C1296A">
              <w:rPr>
                <w:rFonts w:ascii="Calibri" w:hAnsi="Calibri"/>
                <w:b/>
                <w:szCs w:val="20"/>
              </w:rPr>
              <w:t>Representación de los encuestados</w:t>
            </w:r>
          </w:p>
        </w:tc>
        <w:tc>
          <w:tcPr>
            <w:tcW w:w="1170" w:type="dxa"/>
          </w:tcPr>
          <w:p w14:paraId="4389DC00" w14:textId="77777777" w:rsidR="00F95086" w:rsidRPr="00C1296A" w:rsidRDefault="00F95086" w:rsidP="001A73CE">
            <w:pPr>
              <w:spacing w:line="276" w:lineRule="auto"/>
              <w:jc w:val="center"/>
              <w:rPr>
                <w:rFonts w:ascii="Calibri" w:hAnsi="Calibri" w:cs="Calibri"/>
              </w:rPr>
            </w:pPr>
          </w:p>
        </w:tc>
        <w:tc>
          <w:tcPr>
            <w:tcW w:w="1080" w:type="dxa"/>
          </w:tcPr>
          <w:p w14:paraId="1AC9D354" w14:textId="64271FB5" w:rsidR="00F95086" w:rsidRPr="00C1296A" w:rsidRDefault="00E87E48" w:rsidP="001A73CE">
            <w:pPr>
              <w:spacing w:line="276" w:lineRule="auto"/>
              <w:jc w:val="center"/>
              <w:rPr>
                <w:rFonts w:ascii="Calibri" w:hAnsi="Calibri" w:cs="Calibri"/>
              </w:rPr>
            </w:pPr>
            <w:r w:rsidRPr="00C1296A">
              <w:rPr>
                <w:rFonts w:ascii="Calibri" w:hAnsi="Calibri"/>
                <w:szCs w:val="20"/>
              </w:rPr>
              <w:t>27.64 %</w:t>
            </w:r>
          </w:p>
        </w:tc>
        <w:tc>
          <w:tcPr>
            <w:tcW w:w="1080" w:type="dxa"/>
          </w:tcPr>
          <w:p w14:paraId="4BBD0380" w14:textId="02C9967A" w:rsidR="00F95086" w:rsidRPr="00C1296A" w:rsidRDefault="00E87E48" w:rsidP="001A73CE">
            <w:pPr>
              <w:spacing w:line="276" w:lineRule="auto"/>
              <w:jc w:val="center"/>
              <w:rPr>
                <w:rFonts w:ascii="Calibri" w:hAnsi="Calibri" w:cs="Calibri"/>
              </w:rPr>
            </w:pPr>
            <w:r w:rsidRPr="00C1296A">
              <w:rPr>
                <w:rFonts w:ascii="Calibri" w:hAnsi="Calibri"/>
                <w:szCs w:val="20"/>
              </w:rPr>
              <w:t>17.64 %</w:t>
            </w:r>
          </w:p>
        </w:tc>
        <w:tc>
          <w:tcPr>
            <w:tcW w:w="1170" w:type="dxa"/>
          </w:tcPr>
          <w:p w14:paraId="2D3C1201" w14:textId="4D8C2EDB" w:rsidR="00F95086" w:rsidRPr="00C1296A" w:rsidRDefault="00E87E48" w:rsidP="001A73CE">
            <w:pPr>
              <w:spacing w:line="276" w:lineRule="auto"/>
              <w:jc w:val="center"/>
              <w:rPr>
                <w:rFonts w:ascii="Calibri" w:hAnsi="Calibri" w:cs="Calibri"/>
              </w:rPr>
            </w:pPr>
            <w:r w:rsidRPr="00C1296A">
              <w:rPr>
                <w:rFonts w:ascii="Calibri" w:hAnsi="Calibri"/>
                <w:szCs w:val="20"/>
              </w:rPr>
              <w:t>6.32 %</w:t>
            </w:r>
          </w:p>
        </w:tc>
        <w:tc>
          <w:tcPr>
            <w:tcW w:w="1165" w:type="dxa"/>
          </w:tcPr>
          <w:p w14:paraId="748B754B" w14:textId="0A1F94F9" w:rsidR="00F95086" w:rsidRPr="00C1296A" w:rsidRDefault="00E87E48" w:rsidP="001A73CE">
            <w:pPr>
              <w:spacing w:line="276" w:lineRule="auto"/>
              <w:jc w:val="center"/>
              <w:rPr>
                <w:rFonts w:ascii="Calibri" w:hAnsi="Calibri" w:cs="Calibri"/>
              </w:rPr>
            </w:pPr>
            <w:r w:rsidRPr="00C1296A">
              <w:rPr>
                <w:rFonts w:ascii="Calibri" w:hAnsi="Calibri"/>
                <w:szCs w:val="20"/>
              </w:rPr>
              <w:t>48.40 %</w:t>
            </w:r>
          </w:p>
        </w:tc>
      </w:tr>
      <w:tr w:rsidR="00F95086" w:rsidRPr="00C1296A" w14:paraId="3C55BD8F" w14:textId="77777777" w:rsidTr="005D3C7A">
        <w:tc>
          <w:tcPr>
            <w:tcW w:w="3685" w:type="dxa"/>
          </w:tcPr>
          <w:p w14:paraId="4E7B0C48" w14:textId="1908859B" w:rsidR="00F95086" w:rsidRPr="00C1296A" w:rsidRDefault="00E87E48" w:rsidP="005D3C7A">
            <w:pPr>
              <w:spacing w:line="276" w:lineRule="auto"/>
              <w:jc w:val="right"/>
              <w:rPr>
                <w:rFonts w:ascii="Calibri" w:hAnsi="Calibri" w:cs="Calibri"/>
                <w:b/>
                <w:bCs/>
              </w:rPr>
            </w:pPr>
            <w:r w:rsidRPr="00C1296A">
              <w:rPr>
                <w:rFonts w:ascii="Calibri" w:hAnsi="Calibri"/>
                <w:b/>
                <w:szCs w:val="20"/>
              </w:rPr>
              <w:t>Diferencia</w:t>
            </w:r>
          </w:p>
        </w:tc>
        <w:tc>
          <w:tcPr>
            <w:tcW w:w="1170" w:type="dxa"/>
          </w:tcPr>
          <w:p w14:paraId="619305EA" w14:textId="77777777" w:rsidR="00F95086" w:rsidRPr="00C1296A" w:rsidRDefault="00F95086" w:rsidP="001A73CE">
            <w:pPr>
              <w:spacing w:line="276" w:lineRule="auto"/>
              <w:jc w:val="center"/>
              <w:rPr>
                <w:rFonts w:ascii="Calibri" w:hAnsi="Calibri" w:cs="Calibri"/>
              </w:rPr>
            </w:pPr>
          </w:p>
        </w:tc>
        <w:tc>
          <w:tcPr>
            <w:tcW w:w="1080" w:type="dxa"/>
          </w:tcPr>
          <w:p w14:paraId="6056C117" w14:textId="139F68C7" w:rsidR="00F95086" w:rsidRPr="00C1296A" w:rsidRDefault="00E87E48" w:rsidP="001A73CE">
            <w:pPr>
              <w:spacing w:line="276" w:lineRule="auto"/>
              <w:jc w:val="center"/>
              <w:rPr>
                <w:rFonts w:ascii="Calibri" w:hAnsi="Calibri" w:cs="Calibri"/>
              </w:rPr>
            </w:pPr>
            <w:r w:rsidRPr="00C1296A">
              <w:rPr>
                <w:rFonts w:ascii="Calibri" w:hAnsi="Calibri"/>
                <w:szCs w:val="20"/>
              </w:rPr>
              <w:t>-0.27 %</w:t>
            </w:r>
          </w:p>
        </w:tc>
        <w:tc>
          <w:tcPr>
            <w:tcW w:w="1080" w:type="dxa"/>
          </w:tcPr>
          <w:p w14:paraId="7B3A7C73" w14:textId="65D2A1A4" w:rsidR="00F95086" w:rsidRPr="00C1296A" w:rsidRDefault="00955CA3" w:rsidP="001A73CE">
            <w:pPr>
              <w:spacing w:line="276" w:lineRule="auto"/>
              <w:jc w:val="center"/>
              <w:rPr>
                <w:rFonts w:ascii="Calibri" w:hAnsi="Calibri" w:cs="Calibri"/>
              </w:rPr>
            </w:pPr>
            <w:r w:rsidRPr="00C1296A">
              <w:rPr>
                <w:rFonts w:ascii="Calibri" w:hAnsi="Calibri"/>
                <w:szCs w:val="20"/>
              </w:rPr>
              <w:t>-2.39 %</w:t>
            </w:r>
          </w:p>
        </w:tc>
        <w:tc>
          <w:tcPr>
            <w:tcW w:w="1170" w:type="dxa"/>
          </w:tcPr>
          <w:p w14:paraId="0DC5339A" w14:textId="70C02FB5" w:rsidR="00F95086" w:rsidRPr="00C1296A" w:rsidRDefault="00955CA3" w:rsidP="001A73CE">
            <w:pPr>
              <w:spacing w:line="276" w:lineRule="auto"/>
              <w:jc w:val="center"/>
              <w:rPr>
                <w:rFonts w:ascii="Calibri" w:hAnsi="Calibri" w:cs="Calibri"/>
              </w:rPr>
            </w:pPr>
            <w:r w:rsidRPr="00C1296A">
              <w:rPr>
                <w:rFonts w:ascii="Calibri" w:hAnsi="Calibri"/>
                <w:szCs w:val="20"/>
              </w:rPr>
              <w:t>0.64 %</w:t>
            </w:r>
          </w:p>
        </w:tc>
        <w:tc>
          <w:tcPr>
            <w:tcW w:w="1165" w:type="dxa"/>
          </w:tcPr>
          <w:p w14:paraId="61595D1B" w14:textId="7057DDD1" w:rsidR="00F95086" w:rsidRPr="00C1296A" w:rsidRDefault="00955CA3" w:rsidP="001A73CE">
            <w:pPr>
              <w:spacing w:line="276" w:lineRule="auto"/>
              <w:jc w:val="center"/>
              <w:rPr>
                <w:rFonts w:ascii="Calibri" w:hAnsi="Calibri" w:cs="Calibri"/>
              </w:rPr>
            </w:pPr>
            <w:r w:rsidRPr="00C1296A">
              <w:rPr>
                <w:rFonts w:ascii="Calibri" w:hAnsi="Calibri"/>
                <w:szCs w:val="20"/>
              </w:rPr>
              <w:t>2.02 %</w:t>
            </w:r>
          </w:p>
        </w:tc>
      </w:tr>
    </w:tbl>
    <w:p w14:paraId="40DBF627" w14:textId="77777777" w:rsidR="000C178C" w:rsidRPr="00C1296A" w:rsidRDefault="000C178C" w:rsidP="000C178C">
      <w:pPr>
        <w:spacing w:line="276" w:lineRule="auto"/>
        <w:rPr>
          <w:rFonts w:ascii="Calibri" w:hAnsi="Calibri" w:cs="Calibri"/>
        </w:rPr>
      </w:pPr>
    </w:p>
    <w:tbl>
      <w:tblPr>
        <w:tblStyle w:val="TableGrid"/>
        <w:tblW w:w="0" w:type="auto"/>
        <w:tblLook w:val="04A0" w:firstRow="1" w:lastRow="0" w:firstColumn="1" w:lastColumn="0" w:noHBand="0" w:noVBand="1"/>
      </w:tblPr>
      <w:tblGrid>
        <w:gridCol w:w="3083"/>
        <w:gridCol w:w="1167"/>
        <w:gridCol w:w="1802"/>
        <w:gridCol w:w="1126"/>
        <w:gridCol w:w="1140"/>
        <w:gridCol w:w="1032"/>
      </w:tblGrid>
      <w:tr w:rsidR="00955CA3" w:rsidRPr="00C1296A" w14:paraId="0A924847" w14:textId="77777777" w:rsidTr="00776391">
        <w:tc>
          <w:tcPr>
            <w:tcW w:w="9350" w:type="dxa"/>
            <w:gridSpan w:val="6"/>
          </w:tcPr>
          <w:p w14:paraId="30E6352A" w14:textId="0014BCA9" w:rsidR="00955CA3" w:rsidRPr="00C1296A" w:rsidRDefault="00955CA3" w:rsidP="00776391">
            <w:pPr>
              <w:spacing w:line="276" w:lineRule="auto"/>
              <w:rPr>
                <w:rFonts w:ascii="Calibri" w:hAnsi="Calibri" w:cs="Calibri"/>
                <w:b/>
                <w:bCs/>
              </w:rPr>
            </w:pPr>
            <w:r w:rsidRPr="00C1296A">
              <w:rPr>
                <w:rFonts w:ascii="Calibri" w:hAnsi="Calibri"/>
                <w:b/>
                <w:szCs w:val="20"/>
              </w:rPr>
              <w:t>Representatividad estatal por porcentaje (2 de 2)</w:t>
            </w:r>
          </w:p>
        </w:tc>
      </w:tr>
      <w:tr w:rsidR="003D1A3F" w:rsidRPr="00C1296A" w14:paraId="472E2478" w14:textId="77777777" w:rsidTr="005D3C7A">
        <w:tc>
          <w:tcPr>
            <w:tcW w:w="3230" w:type="dxa"/>
            <w:vAlign w:val="bottom"/>
          </w:tcPr>
          <w:p w14:paraId="28EB923A" w14:textId="031C062C" w:rsidR="00955CA3" w:rsidRPr="00C1296A" w:rsidRDefault="003D1A3F" w:rsidP="005D3C7A">
            <w:pPr>
              <w:spacing w:line="276" w:lineRule="auto"/>
              <w:jc w:val="right"/>
              <w:rPr>
                <w:rFonts w:ascii="Calibri" w:hAnsi="Calibri" w:cs="Calibri"/>
                <w:b/>
                <w:bCs/>
              </w:rPr>
            </w:pPr>
            <w:r w:rsidRPr="00C1296A">
              <w:rPr>
                <w:rFonts w:ascii="Calibri" w:hAnsi="Calibri"/>
                <w:b/>
                <w:szCs w:val="20"/>
              </w:rPr>
              <w:t>Categorías demográficas</w:t>
            </w:r>
          </w:p>
        </w:tc>
        <w:tc>
          <w:tcPr>
            <w:tcW w:w="1142" w:type="dxa"/>
            <w:vAlign w:val="bottom"/>
          </w:tcPr>
          <w:p w14:paraId="70558B04" w14:textId="09F10D6F" w:rsidR="00955CA3" w:rsidRPr="00C1296A" w:rsidRDefault="003D1A3F" w:rsidP="005D3C7A">
            <w:pPr>
              <w:spacing w:line="276" w:lineRule="auto"/>
              <w:jc w:val="center"/>
              <w:rPr>
                <w:rFonts w:ascii="Calibri" w:hAnsi="Calibri" w:cs="Calibri"/>
                <w:b/>
                <w:bCs/>
              </w:rPr>
            </w:pPr>
            <w:r w:rsidRPr="00C1296A">
              <w:rPr>
                <w:rFonts w:ascii="Calibri" w:hAnsi="Calibri"/>
                <w:b/>
                <w:szCs w:val="20"/>
              </w:rPr>
              <w:t>Abandono</w:t>
            </w:r>
          </w:p>
        </w:tc>
        <w:tc>
          <w:tcPr>
            <w:tcW w:w="1696" w:type="dxa"/>
            <w:vAlign w:val="bottom"/>
          </w:tcPr>
          <w:p w14:paraId="1CC31164" w14:textId="268663AD" w:rsidR="00955CA3" w:rsidRPr="00C1296A" w:rsidRDefault="003D1A3F" w:rsidP="005D3C7A">
            <w:pPr>
              <w:spacing w:line="276" w:lineRule="auto"/>
              <w:jc w:val="center"/>
              <w:rPr>
                <w:rFonts w:ascii="Calibri" w:hAnsi="Calibri" w:cs="Calibri"/>
                <w:b/>
                <w:bCs/>
              </w:rPr>
            </w:pPr>
            <w:r w:rsidRPr="00C1296A">
              <w:rPr>
                <w:rFonts w:ascii="Calibri" w:hAnsi="Calibri"/>
                <w:b/>
                <w:szCs w:val="20"/>
              </w:rPr>
              <w:t>Desfavorecidos económicamente</w:t>
            </w:r>
          </w:p>
        </w:tc>
        <w:tc>
          <w:tcPr>
            <w:tcW w:w="1047" w:type="dxa"/>
            <w:vAlign w:val="bottom"/>
          </w:tcPr>
          <w:p w14:paraId="027EE367" w14:textId="55237C3D" w:rsidR="00955CA3" w:rsidRPr="00C1296A" w:rsidRDefault="003D1A3F" w:rsidP="005D3C7A">
            <w:pPr>
              <w:spacing w:line="276" w:lineRule="auto"/>
              <w:jc w:val="center"/>
              <w:rPr>
                <w:rFonts w:ascii="Calibri" w:hAnsi="Calibri" w:cs="Calibri"/>
                <w:b/>
                <w:bCs/>
              </w:rPr>
            </w:pPr>
            <w:r w:rsidRPr="00C1296A">
              <w:rPr>
                <w:rFonts w:ascii="Calibri" w:hAnsi="Calibri"/>
                <w:b/>
                <w:szCs w:val="20"/>
              </w:rPr>
              <w:t>Femenino</w:t>
            </w:r>
          </w:p>
        </w:tc>
        <w:tc>
          <w:tcPr>
            <w:tcW w:w="1160" w:type="dxa"/>
            <w:vAlign w:val="bottom"/>
          </w:tcPr>
          <w:p w14:paraId="58E69120" w14:textId="6F8B2B75" w:rsidR="00955CA3" w:rsidRPr="00C1296A" w:rsidRDefault="003D1A3F" w:rsidP="005D3C7A">
            <w:pPr>
              <w:spacing w:line="276" w:lineRule="auto"/>
              <w:jc w:val="center"/>
              <w:rPr>
                <w:rFonts w:ascii="Calibri" w:hAnsi="Calibri" w:cs="Calibri"/>
                <w:b/>
                <w:bCs/>
              </w:rPr>
            </w:pPr>
            <w:r w:rsidRPr="00C1296A">
              <w:rPr>
                <w:rFonts w:ascii="Calibri" w:hAnsi="Calibri"/>
                <w:b/>
                <w:szCs w:val="20"/>
              </w:rPr>
              <w:t>Minoría</w:t>
            </w:r>
          </w:p>
        </w:tc>
        <w:tc>
          <w:tcPr>
            <w:tcW w:w="1075" w:type="dxa"/>
            <w:vAlign w:val="bottom"/>
          </w:tcPr>
          <w:p w14:paraId="205A6700" w14:textId="122B2954" w:rsidR="00955CA3" w:rsidRPr="00C1296A" w:rsidRDefault="007074AE" w:rsidP="005D3C7A">
            <w:pPr>
              <w:spacing w:line="276" w:lineRule="auto"/>
              <w:jc w:val="center"/>
              <w:rPr>
                <w:rFonts w:ascii="Calibri" w:hAnsi="Calibri" w:cs="Calibri"/>
                <w:b/>
                <w:bCs/>
              </w:rPr>
            </w:pPr>
            <w:r w:rsidRPr="00C1296A">
              <w:rPr>
                <w:rFonts w:ascii="Calibri" w:hAnsi="Calibri"/>
                <w:b/>
                <w:szCs w:val="20"/>
              </w:rPr>
              <w:t>EL</w:t>
            </w:r>
          </w:p>
        </w:tc>
      </w:tr>
      <w:tr w:rsidR="003D1A3F" w:rsidRPr="00C1296A" w14:paraId="28065D57" w14:textId="77777777" w:rsidTr="005D3C7A">
        <w:tc>
          <w:tcPr>
            <w:tcW w:w="3230" w:type="dxa"/>
            <w:vAlign w:val="bottom"/>
          </w:tcPr>
          <w:p w14:paraId="5039F5A5" w14:textId="77777777" w:rsidR="00955CA3" w:rsidRPr="00C1296A" w:rsidRDefault="00955CA3" w:rsidP="005D3C7A">
            <w:pPr>
              <w:spacing w:line="276" w:lineRule="auto"/>
              <w:jc w:val="right"/>
              <w:rPr>
                <w:rFonts w:ascii="Calibri" w:hAnsi="Calibri" w:cs="Calibri"/>
                <w:b/>
                <w:bCs/>
              </w:rPr>
            </w:pPr>
            <w:r w:rsidRPr="00C1296A">
              <w:rPr>
                <w:rFonts w:ascii="Calibri" w:hAnsi="Calibri"/>
                <w:b/>
                <w:szCs w:val="20"/>
              </w:rPr>
              <w:t>Totales de desertores objetivo</w:t>
            </w:r>
          </w:p>
        </w:tc>
        <w:tc>
          <w:tcPr>
            <w:tcW w:w="1142" w:type="dxa"/>
          </w:tcPr>
          <w:p w14:paraId="5A91A3EA" w14:textId="7C588AE4" w:rsidR="00955CA3" w:rsidRPr="00C1296A" w:rsidRDefault="007074AE" w:rsidP="001A73CE">
            <w:pPr>
              <w:spacing w:line="276" w:lineRule="auto"/>
              <w:jc w:val="center"/>
              <w:rPr>
                <w:rFonts w:ascii="Calibri" w:hAnsi="Calibri" w:cs="Calibri"/>
              </w:rPr>
            </w:pPr>
            <w:r w:rsidRPr="00C1296A">
              <w:rPr>
                <w:rFonts w:ascii="Calibri" w:hAnsi="Calibri"/>
                <w:szCs w:val="20"/>
              </w:rPr>
              <w:t>218</w:t>
            </w:r>
          </w:p>
        </w:tc>
        <w:tc>
          <w:tcPr>
            <w:tcW w:w="1696" w:type="dxa"/>
          </w:tcPr>
          <w:p w14:paraId="204A3435" w14:textId="67412C5E" w:rsidR="00955CA3" w:rsidRPr="00C1296A" w:rsidRDefault="007074AE" w:rsidP="001A73CE">
            <w:pPr>
              <w:spacing w:line="276" w:lineRule="auto"/>
              <w:jc w:val="center"/>
              <w:rPr>
                <w:rFonts w:ascii="Calibri" w:hAnsi="Calibri" w:cs="Calibri"/>
              </w:rPr>
            </w:pPr>
            <w:r w:rsidRPr="00C1296A">
              <w:rPr>
                <w:rFonts w:ascii="Calibri" w:hAnsi="Calibri"/>
                <w:szCs w:val="20"/>
              </w:rPr>
              <w:t>1,079</w:t>
            </w:r>
          </w:p>
        </w:tc>
        <w:tc>
          <w:tcPr>
            <w:tcW w:w="1047" w:type="dxa"/>
          </w:tcPr>
          <w:p w14:paraId="59C193D1" w14:textId="4A5010A1" w:rsidR="00955CA3" w:rsidRPr="00C1296A" w:rsidRDefault="007074AE" w:rsidP="001A73CE">
            <w:pPr>
              <w:spacing w:line="276" w:lineRule="auto"/>
              <w:jc w:val="center"/>
              <w:rPr>
                <w:rFonts w:ascii="Calibri" w:hAnsi="Calibri" w:cs="Calibri"/>
              </w:rPr>
            </w:pPr>
            <w:r w:rsidRPr="00C1296A">
              <w:rPr>
                <w:rFonts w:ascii="Calibri" w:hAnsi="Calibri"/>
                <w:szCs w:val="20"/>
              </w:rPr>
              <w:t>1,052</w:t>
            </w:r>
          </w:p>
        </w:tc>
        <w:tc>
          <w:tcPr>
            <w:tcW w:w="1160" w:type="dxa"/>
          </w:tcPr>
          <w:p w14:paraId="7250AC76" w14:textId="7C9ABB57" w:rsidR="00955CA3" w:rsidRPr="00C1296A" w:rsidRDefault="007074AE" w:rsidP="001A73CE">
            <w:pPr>
              <w:spacing w:line="276" w:lineRule="auto"/>
              <w:jc w:val="center"/>
              <w:rPr>
                <w:rFonts w:ascii="Calibri" w:hAnsi="Calibri" w:cs="Calibri"/>
              </w:rPr>
            </w:pPr>
            <w:r w:rsidRPr="00C1296A">
              <w:rPr>
                <w:rFonts w:ascii="Calibri" w:hAnsi="Calibri"/>
                <w:szCs w:val="20"/>
              </w:rPr>
              <w:t>1,050</w:t>
            </w:r>
          </w:p>
        </w:tc>
        <w:tc>
          <w:tcPr>
            <w:tcW w:w="1075" w:type="dxa"/>
          </w:tcPr>
          <w:p w14:paraId="1BF52E85" w14:textId="2D4B1524" w:rsidR="00955CA3" w:rsidRPr="00C1296A" w:rsidRDefault="007074AE" w:rsidP="001A73CE">
            <w:pPr>
              <w:spacing w:line="276" w:lineRule="auto"/>
              <w:jc w:val="center"/>
              <w:rPr>
                <w:rFonts w:ascii="Calibri" w:hAnsi="Calibri" w:cs="Calibri"/>
              </w:rPr>
            </w:pPr>
            <w:r w:rsidRPr="00C1296A">
              <w:rPr>
                <w:rFonts w:ascii="Calibri" w:hAnsi="Calibri"/>
                <w:szCs w:val="20"/>
              </w:rPr>
              <w:t>133</w:t>
            </w:r>
          </w:p>
        </w:tc>
      </w:tr>
      <w:tr w:rsidR="003D1A3F" w:rsidRPr="00C1296A" w14:paraId="3295025E" w14:textId="77777777" w:rsidTr="005D3C7A">
        <w:tc>
          <w:tcPr>
            <w:tcW w:w="3230" w:type="dxa"/>
            <w:vAlign w:val="bottom"/>
          </w:tcPr>
          <w:p w14:paraId="17378EDA" w14:textId="77777777" w:rsidR="00955CA3" w:rsidRPr="00C1296A" w:rsidRDefault="00955CA3" w:rsidP="005D3C7A">
            <w:pPr>
              <w:spacing w:line="276" w:lineRule="auto"/>
              <w:jc w:val="right"/>
              <w:rPr>
                <w:rFonts w:ascii="Calibri" w:hAnsi="Calibri" w:cs="Calibri"/>
                <w:b/>
                <w:bCs/>
              </w:rPr>
            </w:pPr>
            <w:r w:rsidRPr="00C1296A">
              <w:rPr>
                <w:rFonts w:ascii="Calibri" w:hAnsi="Calibri"/>
                <w:b/>
                <w:szCs w:val="20"/>
              </w:rPr>
              <w:t>Total de respuestas</w:t>
            </w:r>
          </w:p>
        </w:tc>
        <w:tc>
          <w:tcPr>
            <w:tcW w:w="1142" w:type="dxa"/>
          </w:tcPr>
          <w:p w14:paraId="496FF62B" w14:textId="4D2326F1" w:rsidR="00955CA3" w:rsidRPr="00C1296A" w:rsidRDefault="007074AE" w:rsidP="001A73CE">
            <w:pPr>
              <w:spacing w:line="276" w:lineRule="auto"/>
              <w:jc w:val="center"/>
              <w:rPr>
                <w:rFonts w:ascii="Calibri" w:hAnsi="Calibri" w:cs="Calibri"/>
              </w:rPr>
            </w:pPr>
            <w:r w:rsidRPr="00C1296A">
              <w:rPr>
                <w:rFonts w:ascii="Calibri" w:hAnsi="Calibri"/>
                <w:szCs w:val="20"/>
              </w:rPr>
              <w:t>38</w:t>
            </w:r>
          </w:p>
        </w:tc>
        <w:tc>
          <w:tcPr>
            <w:tcW w:w="1696" w:type="dxa"/>
          </w:tcPr>
          <w:p w14:paraId="6743B991" w14:textId="61A9ADCD" w:rsidR="00955CA3" w:rsidRPr="00C1296A" w:rsidRDefault="007074AE" w:rsidP="001A73CE">
            <w:pPr>
              <w:spacing w:line="276" w:lineRule="auto"/>
              <w:jc w:val="center"/>
              <w:rPr>
                <w:rFonts w:ascii="Calibri" w:hAnsi="Calibri" w:cs="Calibri"/>
              </w:rPr>
            </w:pPr>
            <w:r w:rsidRPr="00C1296A">
              <w:rPr>
                <w:rFonts w:ascii="Calibri" w:hAnsi="Calibri"/>
                <w:szCs w:val="20"/>
              </w:rPr>
              <w:t>367</w:t>
            </w:r>
          </w:p>
        </w:tc>
        <w:tc>
          <w:tcPr>
            <w:tcW w:w="1047" w:type="dxa"/>
          </w:tcPr>
          <w:p w14:paraId="2C32E9BC" w14:textId="728D90AD" w:rsidR="00955CA3" w:rsidRPr="00C1296A" w:rsidRDefault="007074AE" w:rsidP="001A73CE">
            <w:pPr>
              <w:spacing w:line="276" w:lineRule="auto"/>
              <w:jc w:val="center"/>
              <w:rPr>
                <w:rFonts w:ascii="Calibri" w:hAnsi="Calibri" w:cs="Calibri"/>
              </w:rPr>
            </w:pPr>
            <w:r w:rsidRPr="00C1296A">
              <w:rPr>
                <w:rFonts w:ascii="Calibri" w:hAnsi="Calibri"/>
                <w:szCs w:val="20"/>
              </w:rPr>
              <w:t>400</w:t>
            </w:r>
          </w:p>
        </w:tc>
        <w:tc>
          <w:tcPr>
            <w:tcW w:w="1160" w:type="dxa"/>
          </w:tcPr>
          <w:p w14:paraId="383DA704" w14:textId="4EC3C1D1" w:rsidR="00955CA3" w:rsidRPr="00C1296A" w:rsidRDefault="007074AE" w:rsidP="001A73CE">
            <w:pPr>
              <w:spacing w:line="276" w:lineRule="auto"/>
              <w:jc w:val="center"/>
              <w:rPr>
                <w:rFonts w:ascii="Calibri" w:hAnsi="Calibri" w:cs="Calibri"/>
              </w:rPr>
            </w:pPr>
            <w:r w:rsidRPr="00C1296A">
              <w:rPr>
                <w:rFonts w:ascii="Calibri" w:hAnsi="Calibri"/>
                <w:szCs w:val="20"/>
              </w:rPr>
              <w:t>391</w:t>
            </w:r>
          </w:p>
        </w:tc>
        <w:tc>
          <w:tcPr>
            <w:tcW w:w="1075" w:type="dxa"/>
          </w:tcPr>
          <w:p w14:paraId="303D1680" w14:textId="64D89819" w:rsidR="00955CA3" w:rsidRPr="00C1296A" w:rsidRDefault="007074AE" w:rsidP="001A73CE">
            <w:pPr>
              <w:spacing w:line="276" w:lineRule="auto"/>
              <w:jc w:val="center"/>
              <w:rPr>
                <w:rFonts w:ascii="Calibri" w:hAnsi="Calibri" w:cs="Calibri"/>
              </w:rPr>
            </w:pPr>
            <w:r w:rsidRPr="00C1296A">
              <w:rPr>
                <w:rFonts w:ascii="Calibri" w:hAnsi="Calibri"/>
                <w:szCs w:val="20"/>
              </w:rPr>
              <w:t>56</w:t>
            </w:r>
          </w:p>
        </w:tc>
      </w:tr>
      <w:tr w:rsidR="003D1A3F" w:rsidRPr="00C1296A" w14:paraId="0D5FBE9F" w14:textId="77777777" w:rsidTr="005D3C7A">
        <w:trPr>
          <w:trHeight w:val="233"/>
        </w:trPr>
        <w:tc>
          <w:tcPr>
            <w:tcW w:w="3230" w:type="dxa"/>
            <w:vAlign w:val="bottom"/>
          </w:tcPr>
          <w:p w14:paraId="1988B022" w14:textId="77777777" w:rsidR="00955CA3" w:rsidRPr="00C1296A" w:rsidRDefault="00955CA3" w:rsidP="005D3C7A">
            <w:pPr>
              <w:spacing w:line="276" w:lineRule="auto"/>
              <w:jc w:val="right"/>
              <w:rPr>
                <w:rFonts w:ascii="Calibri" w:hAnsi="Calibri" w:cs="Calibri"/>
                <w:b/>
                <w:bCs/>
              </w:rPr>
            </w:pPr>
          </w:p>
        </w:tc>
        <w:tc>
          <w:tcPr>
            <w:tcW w:w="1142" w:type="dxa"/>
          </w:tcPr>
          <w:p w14:paraId="2BD9D5FB" w14:textId="77777777" w:rsidR="00955CA3" w:rsidRPr="00C1296A" w:rsidRDefault="00955CA3" w:rsidP="001A73CE">
            <w:pPr>
              <w:spacing w:line="276" w:lineRule="auto"/>
              <w:jc w:val="center"/>
              <w:rPr>
                <w:rFonts w:ascii="Calibri" w:hAnsi="Calibri" w:cs="Calibri"/>
              </w:rPr>
            </w:pPr>
          </w:p>
        </w:tc>
        <w:tc>
          <w:tcPr>
            <w:tcW w:w="1696" w:type="dxa"/>
          </w:tcPr>
          <w:p w14:paraId="5EF2B88D" w14:textId="77777777" w:rsidR="00955CA3" w:rsidRPr="00C1296A" w:rsidRDefault="00955CA3" w:rsidP="001A73CE">
            <w:pPr>
              <w:spacing w:line="276" w:lineRule="auto"/>
              <w:jc w:val="center"/>
              <w:rPr>
                <w:rFonts w:ascii="Calibri" w:hAnsi="Calibri" w:cs="Calibri"/>
              </w:rPr>
            </w:pPr>
          </w:p>
        </w:tc>
        <w:tc>
          <w:tcPr>
            <w:tcW w:w="1047" w:type="dxa"/>
          </w:tcPr>
          <w:p w14:paraId="209EE62C" w14:textId="77777777" w:rsidR="00955CA3" w:rsidRPr="00C1296A" w:rsidRDefault="00955CA3" w:rsidP="001A73CE">
            <w:pPr>
              <w:spacing w:line="276" w:lineRule="auto"/>
              <w:jc w:val="center"/>
              <w:rPr>
                <w:rFonts w:ascii="Calibri" w:hAnsi="Calibri" w:cs="Calibri"/>
              </w:rPr>
            </w:pPr>
          </w:p>
        </w:tc>
        <w:tc>
          <w:tcPr>
            <w:tcW w:w="1160" w:type="dxa"/>
          </w:tcPr>
          <w:p w14:paraId="0AF0DD83" w14:textId="77777777" w:rsidR="00955CA3" w:rsidRPr="00C1296A" w:rsidRDefault="00955CA3" w:rsidP="001A73CE">
            <w:pPr>
              <w:spacing w:line="276" w:lineRule="auto"/>
              <w:jc w:val="center"/>
              <w:rPr>
                <w:rFonts w:ascii="Calibri" w:hAnsi="Calibri" w:cs="Calibri"/>
              </w:rPr>
            </w:pPr>
          </w:p>
        </w:tc>
        <w:tc>
          <w:tcPr>
            <w:tcW w:w="1075" w:type="dxa"/>
          </w:tcPr>
          <w:p w14:paraId="556E8E8E" w14:textId="77777777" w:rsidR="00955CA3" w:rsidRPr="00C1296A" w:rsidRDefault="00955CA3" w:rsidP="001A73CE">
            <w:pPr>
              <w:spacing w:line="276" w:lineRule="auto"/>
              <w:jc w:val="center"/>
              <w:rPr>
                <w:rFonts w:ascii="Calibri" w:hAnsi="Calibri" w:cs="Calibri"/>
              </w:rPr>
            </w:pPr>
          </w:p>
        </w:tc>
      </w:tr>
      <w:tr w:rsidR="003D1A3F" w:rsidRPr="00C1296A" w14:paraId="4DC5B4F7" w14:textId="77777777" w:rsidTr="005D3C7A">
        <w:tc>
          <w:tcPr>
            <w:tcW w:w="3230" w:type="dxa"/>
            <w:vAlign w:val="bottom"/>
          </w:tcPr>
          <w:p w14:paraId="2D2095DB" w14:textId="77777777" w:rsidR="00955CA3" w:rsidRPr="00C1296A" w:rsidRDefault="00955CA3" w:rsidP="005D3C7A">
            <w:pPr>
              <w:spacing w:line="276" w:lineRule="auto"/>
              <w:jc w:val="right"/>
              <w:rPr>
                <w:rFonts w:ascii="Calibri" w:hAnsi="Calibri" w:cs="Calibri"/>
                <w:b/>
                <w:bCs/>
              </w:rPr>
            </w:pPr>
            <w:r w:rsidRPr="00C1296A">
              <w:rPr>
                <w:rFonts w:ascii="Calibri" w:hAnsi="Calibri"/>
                <w:b/>
                <w:szCs w:val="20"/>
              </w:rPr>
              <w:t>Representación de desertores objetivo</w:t>
            </w:r>
          </w:p>
        </w:tc>
        <w:tc>
          <w:tcPr>
            <w:tcW w:w="1142" w:type="dxa"/>
          </w:tcPr>
          <w:p w14:paraId="5621BFF5" w14:textId="64A0E450" w:rsidR="00955CA3" w:rsidRPr="00C1296A" w:rsidRDefault="007074AE" w:rsidP="001A73CE">
            <w:pPr>
              <w:spacing w:line="276" w:lineRule="auto"/>
              <w:jc w:val="center"/>
              <w:rPr>
                <w:rFonts w:ascii="Calibri" w:hAnsi="Calibri" w:cs="Calibri"/>
              </w:rPr>
            </w:pPr>
            <w:r w:rsidRPr="00C1296A">
              <w:rPr>
                <w:rFonts w:ascii="Calibri" w:hAnsi="Calibri"/>
                <w:szCs w:val="20"/>
              </w:rPr>
              <w:t>7.74 %</w:t>
            </w:r>
          </w:p>
        </w:tc>
        <w:tc>
          <w:tcPr>
            <w:tcW w:w="1696" w:type="dxa"/>
          </w:tcPr>
          <w:p w14:paraId="67CE0C31" w14:textId="781D30B6" w:rsidR="00955CA3" w:rsidRPr="00C1296A" w:rsidRDefault="007074AE" w:rsidP="001A73CE">
            <w:pPr>
              <w:spacing w:line="276" w:lineRule="auto"/>
              <w:jc w:val="center"/>
              <w:rPr>
                <w:rFonts w:ascii="Calibri" w:hAnsi="Calibri" w:cs="Calibri"/>
              </w:rPr>
            </w:pPr>
            <w:r w:rsidRPr="00C1296A">
              <w:rPr>
                <w:rFonts w:ascii="Calibri" w:hAnsi="Calibri"/>
                <w:szCs w:val="20"/>
              </w:rPr>
              <w:t>38.32 %</w:t>
            </w:r>
          </w:p>
        </w:tc>
        <w:tc>
          <w:tcPr>
            <w:tcW w:w="1047" w:type="dxa"/>
          </w:tcPr>
          <w:p w14:paraId="66B6AD1C" w14:textId="71228E76" w:rsidR="00955CA3" w:rsidRPr="00C1296A" w:rsidRDefault="007074AE" w:rsidP="001A73CE">
            <w:pPr>
              <w:spacing w:line="276" w:lineRule="auto"/>
              <w:jc w:val="center"/>
              <w:rPr>
                <w:rFonts w:ascii="Calibri" w:hAnsi="Calibri" w:cs="Calibri"/>
              </w:rPr>
            </w:pPr>
            <w:r w:rsidRPr="00C1296A">
              <w:rPr>
                <w:rFonts w:ascii="Calibri" w:hAnsi="Calibri"/>
                <w:szCs w:val="20"/>
              </w:rPr>
              <w:t>37.36 %</w:t>
            </w:r>
          </w:p>
        </w:tc>
        <w:tc>
          <w:tcPr>
            <w:tcW w:w="1160" w:type="dxa"/>
          </w:tcPr>
          <w:p w14:paraId="091BE7F0" w14:textId="097CE525" w:rsidR="00955CA3" w:rsidRPr="00C1296A" w:rsidRDefault="007074AE" w:rsidP="001A73CE">
            <w:pPr>
              <w:spacing w:line="276" w:lineRule="auto"/>
              <w:jc w:val="center"/>
              <w:rPr>
                <w:rFonts w:ascii="Calibri" w:hAnsi="Calibri" w:cs="Calibri"/>
              </w:rPr>
            </w:pPr>
            <w:r w:rsidRPr="00C1296A">
              <w:rPr>
                <w:rFonts w:ascii="Calibri" w:hAnsi="Calibri"/>
                <w:szCs w:val="20"/>
              </w:rPr>
              <w:t>37.29 %</w:t>
            </w:r>
          </w:p>
        </w:tc>
        <w:tc>
          <w:tcPr>
            <w:tcW w:w="1075" w:type="dxa"/>
          </w:tcPr>
          <w:p w14:paraId="0E9D90B9" w14:textId="39A8E490" w:rsidR="00955CA3" w:rsidRPr="00C1296A" w:rsidRDefault="007074AE" w:rsidP="001A73CE">
            <w:pPr>
              <w:spacing w:line="276" w:lineRule="auto"/>
              <w:jc w:val="center"/>
              <w:rPr>
                <w:rFonts w:ascii="Calibri" w:hAnsi="Calibri" w:cs="Calibri"/>
              </w:rPr>
            </w:pPr>
            <w:r w:rsidRPr="00C1296A">
              <w:rPr>
                <w:rFonts w:ascii="Calibri" w:hAnsi="Calibri"/>
                <w:szCs w:val="20"/>
              </w:rPr>
              <w:t>4.72 %</w:t>
            </w:r>
          </w:p>
        </w:tc>
      </w:tr>
      <w:tr w:rsidR="003D1A3F" w:rsidRPr="00C1296A" w14:paraId="6B9415AE" w14:textId="77777777" w:rsidTr="005D3C7A">
        <w:tc>
          <w:tcPr>
            <w:tcW w:w="3230" w:type="dxa"/>
            <w:vAlign w:val="bottom"/>
          </w:tcPr>
          <w:p w14:paraId="34BC4491" w14:textId="77777777" w:rsidR="00955CA3" w:rsidRPr="00C1296A" w:rsidRDefault="00955CA3" w:rsidP="005D3C7A">
            <w:pPr>
              <w:spacing w:line="276" w:lineRule="auto"/>
              <w:jc w:val="right"/>
              <w:rPr>
                <w:rFonts w:ascii="Calibri" w:hAnsi="Calibri" w:cs="Calibri"/>
                <w:b/>
                <w:bCs/>
              </w:rPr>
            </w:pPr>
            <w:r w:rsidRPr="00C1296A">
              <w:rPr>
                <w:rFonts w:ascii="Calibri" w:hAnsi="Calibri"/>
                <w:b/>
                <w:szCs w:val="20"/>
              </w:rPr>
              <w:t>Representación de los encuestados</w:t>
            </w:r>
          </w:p>
        </w:tc>
        <w:tc>
          <w:tcPr>
            <w:tcW w:w="1142" w:type="dxa"/>
          </w:tcPr>
          <w:p w14:paraId="359F4A8A" w14:textId="5AB729EC" w:rsidR="00955CA3" w:rsidRPr="00C1296A" w:rsidRDefault="007074AE" w:rsidP="001A73CE">
            <w:pPr>
              <w:spacing w:line="276" w:lineRule="auto"/>
              <w:jc w:val="center"/>
              <w:rPr>
                <w:rFonts w:ascii="Calibri" w:hAnsi="Calibri" w:cs="Calibri"/>
              </w:rPr>
            </w:pPr>
            <w:r w:rsidRPr="00C1296A">
              <w:rPr>
                <w:rFonts w:ascii="Calibri" w:hAnsi="Calibri"/>
                <w:szCs w:val="20"/>
              </w:rPr>
              <w:t>3.58 %</w:t>
            </w:r>
          </w:p>
        </w:tc>
        <w:tc>
          <w:tcPr>
            <w:tcW w:w="1696" w:type="dxa"/>
          </w:tcPr>
          <w:p w14:paraId="3AFB5E22" w14:textId="7FB83170" w:rsidR="00955CA3" w:rsidRPr="00C1296A" w:rsidRDefault="007074AE" w:rsidP="001A73CE">
            <w:pPr>
              <w:spacing w:line="276" w:lineRule="auto"/>
              <w:jc w:val="center"/>
              <w:rPr>
                <w:rFonts w:ascii="Calibri" w:hAnsi="Calibri" w:cs="Calibri"/>
              </w:rPr>
            </w:pPr>
            <w:r w:rsidRPr="00C1296A">
              <w:rPr>
                <w:rFonts w:ascii="Calibri" w:hAnsi="Calibri"/>
                <w:szCs w:val="20"/>
              </w:rPr>
              <w:t>34.62 %</w:t>
            </w:r>
          </w:p>
        </w:tc>
        <w:tc>
          <w:tcPr>
            <w:tcW w:w="1047" w:type="dxa"/>
          </w:tcPr>
          <w:p w14:paraId="58571B90" w14:textId="2329A6D2" w:rsidR="00955CA3" w:rsidRPr="00C1296A" w:rsidRDefault="007074AE" w:rsidP="001A73CE">
            <w:pPr>
              <w:spacing w:line="276" w:lineRule="auto"/>
              <w:jc w:val="center"/>
              <w:rPr>
                <w:rFonts w:ascii="Calibri" w:hAnsi="Calibri" w:cs="Calibri"/>
              </w:rPr>
            </w:pPr>
            <w:r w:rsidRPr="00C1296A">
              <w:rPr>
                <w:rFonts w:ascii="Calibri" w:hAnsi="Calibri"/>
                <w:szCs w:val="20"/>
              </w:rPr>
              <w:t>37.74 %</w:t>
            </w:r>
          </w:p>
        </w:tc>
        <w:tc>
          <w:tcPr>
            <w:tcW w:w="1160" w:type="dxa"/>
          </w:tcPr>
          <w:p w14:paraId="20C93BA8" w14:textId="43FF492C" w:rsidR="00955CA3" w:rsidRPr="00C1296A" w:rsidRDefault="007074AE" w:rsidP="001A73CE">
            <w:pPr>
              <w:spacing w:line="276" w:lineRule="auto"/>
              <w:jc w:val="center"/>
              <w:rPr>
                <w:rFonts w:ascii="Calibri" w:hAnsi="Calibri" w:cs="Calibri"/>
              </w:rPr>
            </w:pPr>
            <w:r w:rsidRPr="00C1296A">
              <w:rPr>
                <w:rFonts w:ascii="Calibri" w:hAnsi="Calibri"/>
                <w:szCs w:val="20"/>
              </w:rPr>
              <w:t>36.89 %</w:t>
            </w:r>
          </w:p>
        </w:tc>
        <w:tc>
          <w:tcPr>
            <w:tcW w:w="1075" w:type="dxa"/>
          </w:tcPr>
          <w:p w14:paraId="6302556D" w14:textId="7CDF7C62" w:rsidR="00955CA3" w:rsidRPr="00C1296A" w:rsidRDefault="007074AE" w:rsidP="001A73CE">
            <w:pPr>
              <w:spacing w:line="276" w:lineRule="auto"/>
              <w:jc w:val="center"/>
              <w:rPr>
                <w:rFonts w:ascii="Calibri" w:hAnsi="Calibri" w:cs="Calibri"/>
              </w:rPr>
            </w:pPr>
            <w:r w:rsidRPr="00C1296A">
              <w:rPr>
                <w:rFonts w:ascii="Calibri" w:hAnsi="Calibri"/>
                <w:szCs w:val="20"/>
              </w:rPr>
              <w:t>5.28 %</w:t>
            </w:r>
          </w:p>
        </w:tc>
      </w:tr>
      <w:tr w:rsidR="003D1A3F" w:rsidRPr="00C1296A" w14:paraId="0C715F37" w14:textId="77777777" w:rsidTr="005D3C7A">
        <w:tc>
          <w:tcPr>
            <w:tcW w:w="3230" w:type="dxa"/>
            <w:vAlign w:val="bottom"/>
          </w:tcPr>
          <w:p w14:paraId="2B10A14F" w14:textId="77777777" w:rsidR="00955CA3" w:rsidRPr="00C1296A" w:rsidRDefault="00955CA3" w:rsidP="005D3C7A">
            <w:pPr>
              <w:spacing w:line="276" w:lineRule="auto"/>
              <w:jc w:val="right"/>
              <w:rPr>
                <w:rFonts w:ascii="Calibri" w:hAnsi="Calibri" w:cs="Calibri"/>
                <w:b/>
                <w:bCs/>
              </w:rPr>
            </w:pPr>
            <w:r w:rsidRPr="00C1296A">
              <w:rPr>
                <w:rFonts w:ascii="Calibri" w:hAnsi="Calibri"/>
                <w:b/>
                <w:szCs w:val="20"/>
              </w:rPr>
              <w:t>Diferencia</w:t>
            </w:r>
          </w:p>
        </w:tc>
        <w:tc>
          <w:tcPr>
            <w:tcW w:w="1142" w:type="dxa"/>
          </w:tcPr>
          <w:p w14:paraId="38091929" w14:textId="534690C1" w:rsidR="00955CA3" w:rsidRPr="00C1296A" w:rsidRDefault="00381F8D" w:rsidP="001A73CE">
            <w:pPr>
              <w:spacing w:line="276" w:lineRule="auto"/>
              <w:jc w:val="center"/>
              <w:rPr>
                <w:rFonts w:ascii="Calibri" w:hAnsi="Calibri" w:cs="Calibri"/>
                <w:b/>
                <w:bCs/>
              </w:rPr>
            </w:pPr>
            <w:r w:rsidRPr="00C1296A">
              <w:rPr>
                <w:rFonts w:ascii="Calibri" w:hAnsi="Calibri"/>
                <w:b/>
                <w:szCs w:val="20"/>
              </w:rPr>
              <w:t>-4.16 %</w:t>
            </w:r>
          </w:p>
        </w:tc>
        <w:tc>
          <w:tcPr>
            <w:tcW w:w="1696" w:type="dxa"/>
          </w:tcPr>
          <w:p w14:paraId="5016FBFB" w14:textId="6FD708DD" w:rsidR="00955CA3" w:rsidRPr="00C1296A" w:rsidRDefault="005D3C7A" w:rsidP="001A73CE">
            <w:pPr>
              <w:spacing w:line="276" w:lineRule="auto"/>
              <w:jc w:val="center"/>
              <w:rPr>
                <w:rFonts w:ascii="Calibri" w:hAnsi="Calibri" w:cs="Calibri"/>
                <w:b/>
                <w:bCs/>
              </w:rPr>
            </w:pPr>
            <w:r w:rsidRPr="00C1296A">
              <w:rPr>
                <w:rFonts w:ascii="Calibri" w:hAnsi="Calibri"/>
                <w:b/>
                <w:szCs w:val="20"/>
              </w:rPr>
              <w:t>-3.69 %</w:t>
            </w:r>
          </w:p>
        </w:tc>
        <w:tc>
          <w:tcPr>
            <w:tcW w:w="1047" w:type="dxa"/>
          </w:tcPr>
          <w:p w14:paraId="1CCDADF8" w14:textId="7B3C7F3B" w:rsidR="00955CA3" w:rsidRPr="00C1296A" w:rsidRDefault="005D3C7A" w:rsidP="001A73CE">
            <w:pPr>
              <w:spacing w:line="276" w:lineRule="auto"/>
              <w:jc w:val="center"/>
              <w:rPr>
                <w:rFonts w:ascii="Calibri" w:hAnsi="Calibri" w:cs="Calibri"/>
              </w:rPr>
            </w:pPr>
            <w:r w:rsidRPr="00C1296A">
              <w:rPr>
                <w:rFonts w:ascii="Calibri" w:hAnsi="Calibri"/>
                <w:szCs w:val="20"/>
              </w:rPr>
              <w:t>0.38 %</w:t>
            </w:r>
          </w:p>
        </w:tc>
        <w:tc>
          <w:tcPr>
            <w:tcW w:w="1160" w:type="dxa"/>
          </w:tcPr>
          <w:p w14:paraId="1997B825" w14:textId="2B97C32C" w:rsidR="00955CA3" w:rsidRPr="00C1296A" w:rsidRDefault="005D3C7A" w:rsidP="001A73CE">
            <w:pPr>
              <w:spacing w:line="276" w:lineRule="auto"/>
              <w:jc w:val="center"/>
              <w:rPr>
                <w:rFonts w:ascii="Calibri" w:hAnsi="Calibri" w:cs="Calibri"/>
              </w:rPr>
            </w:pPr>
            <w:r w:rsidRPr="00C1296A">
              <w:rPr>
                <w:rFonts w:ascii="Calibri" w:hAnsi="Calibri"/>
                <w:szCs w:val="20"/>
              </w:rPr>
              <w:t>-0.40 %</w:t>
            </w:r>
          </w:p>
        </w:tc>
        <w:tc>
          <w:tcPr>
            <w:tcW w:w="1075" w:type="dxa"/>
          </w:tcPr>
          <w:p w14:paraId="6C802DFE" w14:textId="311793B9" w:rsidR="00955CA3" w:rsidRPr="00C1296A" w:rsidRDefault="005D3C7A" w:rsidP="001A73CE">
            <w:pPr>
              <w:spacing w:line="276" w:lineRule="auto"/>
              <w:jc w:val="center"/>
              <w:rPr>
                <w:rFonts w:ascii="Calibri" w:hAnsi="Calibri" w:cs="Calibri"/>
              </w:rPr>
            </w:pPr>
            <w:r w:rsidRPr="00C1296A">
              <w:rPr>
                <w:rFonts w:ascii="Calibri" w:hAnsi="Calibri"/>
                <w:szCs w:val="20"/>
              </w:rPr>
              <w:t>0.56 %</w:t>
            </w:r>
          </w:p>
        </w:tc>
      </w:tr>
    </w:tbl>
    <w:p w14:paraId="72412DA8" w14:textId="77777777" w:rsidR="00955CA3" w:rsidRPr="00C1296A" w:rsidRDefault="00955CA3" w:rsidP="000C178C">
      <w:pPr>
        <w:spacing w:line="276" w:lineRule="auto"/>
        <w:rPr>
          <w:rFonts w:ascii="Calibri" w:hAnsi="Calibri" w:cs="Calibri"/>
        </w:rPr>
      </w:pPr>
    </w:p>
    <w:p w14:paraId="5D90BD15" w14:textId="77777777" w:rsidR="00063ACD" w:rsidRPr="00C1296A" w:rsidRDefault="00063ACD" w:rsidP="00063ACD">
      <w:pPr>
        <w:rPr>
          <w:rFonts w:ascii="Calibri" w:eastAsia="Calibri" w:hAnsi="Calibri" w:cs="Calibri"/>
          <w:color w:val="212529"/>
        </w:rPr>
      </w:pPr>
      <w:r w:rsidRPr="00C1296A">
        <w:rPr>
          <w:rFonts w:ascii="Calibri" w:hAnsi="Calibri"/>
          <w:color w:val="212529"/>
          <w:szCs w:val="20"/>
        </w:rPr>
        <w:t>Recursos del Indicador 14</w:t>
      </w:r>
    </w:p>
    <w:p w14:paraId="3D114B48" w14:textId="6740A5A8" w:rsidR="001A73CE" w:rsidRPr="00C1296A" w:rsidRDefault="00592E6F" w:rsidP="00592E6F">
      <w:pPr>
        <w:pStyle w:val="NoSpacing"/>
        <w:numPr>
          <w:ilvl w:val="0"/>
          <w:numId w:val="10"/>
        </w:numPr>
        <w:rPr>
          <w:color w:val="0563C1"/>
          <w:sz w:val="22"/>
          <w:szCs w:val="20"/>
        </w:rPr>
      </w:pPr>
      <w:hyperlink r:id="rId8" w:history="1">
        <w:r w:rsidR="001A73CE" w:rsidRPr="00FD4DD6">
          <w:rPr>
            <w:rStyle w:val="Hyperlink"/>
            <w:sz w:val="22"/>
            <w:szCs w:val="20"/>
          </w:rPr>
          <w:t>PowerPoint del Indicador 14</w:t>
        </w:r>
      </w:hyperlink>
      <w:r w:rsidR="001A73CE" w:rsidRPr="00C1296A">
        <w:rPr>
          <w:color w:val="0563C1"/>
          <w:sz w:val="22"/>
          <w:szCs w:val="20"/>
        </w:rPr>
        <w:t xml:space="preserve"> </w:t>
      </w:r>
    </w:p>
    <w:p w14:paraId="283D2F81" w14:textId="41A201E3" w:rsidR="00063ACD" w:rsidRPr="00C1296A" w:rsidRDefault="00306ABB" w:rsidP="0019015A">
      <w:pPr>
        <w:pStyle w:val="NoSpacing"/>
        <w:numPr>
          <w:ilvl w:val="0"/>
          <w:numId w:val="10"/>
        </w:numPr>
        <w:rPr>
          <w:rStyle w:val="Hyperlink"/>
          <w:sz w:val="22"/>
          <w:szCs w:val="20"/>
        </w:rPr>
      </w:pPr>
      <w:r w:rsidRPr="00C1296A">
        <w:rPr>
          <w:sz w:val="22"/>
          <w:szCs w:val="20"/>
        </w:rPr>
        <w:fldChar w:fldCharType="begin"/>
      </w:r>
      <w:r w:rsidRPr="00C1296A">
        <w:rPr>
          <w:sz w:val="22"/>
          <w:szCs w:val="20"/>
        </w:rPr>
        <w:instrText xml:space="preserve"> HYPERLINK "https://www.doe.mass.edu/sped/secondary-transition/indicator14.html" </w:instrText>
      </w:r>
      <w:r w:rsidRPr="00C1296A">
        <w:rPr>
          <w:sz w:val="22"/>
          <w:szCs w:val="20"/>
        </w:rPr>
      </w:r>
      <w:r w:rsidRPr="00C1296A">
        <w:rPr>
          <w:sz w:val="22"/>
          <w:szCs w:val="20"/>
        </w:rPr>
        <w:fldChar w:fldCharType="separate"/>
      </w:r>
      <w:r w:rsidRPr="00C1296A">
        <w:rPr>
          <w:rStyle w:val="Hyperlink"/>
          <w:sz w:val="22"/>
          <w:szCs w:val="20"/>
        </w:rPr>
        <w:t>Indicador 1</w:t>
      </w:r>
      <w:r w:rsidR="0019015A">
        <w:rPr>
          <w:rStyle w:val="Hyperlink"/>
          <w:sz w:val="22"/>
          <w:szCs w:val="20"/>
        </w:rPr>
        <w:t xml:space="preserve">4 de </w:t>
      </w:r>
      <w:r w:rsidR="0019015A" w:rsidRPr="0019015A">
        <w:rPr>
          <w:rStyle w:val="Hyperlink"/>
          <w:sz w:val="22"/>
          <w:szCs w:val="20"/>
        </w:rPr>
        <w:t>Massachusetts</w:t>
      </w:r>
    </w:p>
    <w:p w14:paraId="4E54332A" w14:textId="0ADDC8BA" w:rsidR="00063ACD" w:rsidRPr="00C1296A" w:rsidRDefault="00306ABB" w:rsidP="00063ACD">
      <w:pPr>
        <w:pStyle w:val="NoSpacing"/>
        <w:numPr>
          <w:ilvl w:val="0"/>
          <w:numId w:val="10"/>
        </w:numPr>
        <w:rPr>
          <w:color w:val="0563C1"/>
          <w:sz w:val="22"/>
          <w:szCs w:val="20"/>
        </w:rPr>
      </w:pPr>
      <w:r w:rsidRPr="00C1296A">
        <w:rPr>
          <w:sz w:val="22"/>
          <w:szCs w:val="20"/>
        </w:rPr>
        <w:fldChar w:fldCharType="end"/>
      </w:r>
      <w:hyperlink r:id="rId9">
        <w:r w:rsidRPr="00C1296A">
          <w:rPr>
            <w:rStyle w:val="Hyperlink"/>
            <w:sz w:val="22"/>
            <w:szCs w:val="20"/>
          </w:rPr>
          <w:t>Datos de indicadores a nivel estatal</w:t>
        </w:r>
      </w:hyperlink>
    </w:p>
    <w:p w14:paraId="0F3BC128" w14:textId="77777777" w:rsidR="00063ACD" w:rsidRPr="00C1296A" w:rsidRDefault="00592E6F" w:rsidP="00063ACD">
      <w:pPr>
        <w:pStyle w:val="NoSpacing"/>
        <w:numPr>
          <w:ilvl w:val="0"/>
          <w:numId w:val="10"/>
        </w:numPr>
        <w:rPr>
          <w:color w:val="0563C1"/>
          <w:sz w:val="22"/>
          <w:szCs w:val="20"/>
        </w:rPr>
      </w:pPr>
      <w:hyperlink r:id="rId10">
        <w:r w:rsidR="00063ACD" w:rsidRPr="00C1296A">
          <w:rPr>
            <w:rStyle w:val="Hyperlink"/>
            <w:sz w:val="22"/>
            <w:szCs w:val="20"/>
          </w:rPr>
          <w:t>Cartas SPP/APR de la Oficina de Programas de Educación Especial de EE. UU. (OSEP)</w:t>
        </w:r>
      </w:hyperlink>
    </w:p>
    <w:p w14:paraId="1159109D" w14:textId="7B36B076" w:rsidR="009C05ED" w:rsidRPr="00C1296A" w:rsidRDefault="009C05ED" w:rsidP="009C05ED">
      <w:pPr>
        <w:rPr>
          <w:sz w:val="20"/>
          <w:szCs w:val="20"/>
        </w:rPr>
      </w:pPr>
    </w:p>
    <w:sectPr w:rsidR="009C05ED" w:rsidRPr="00C12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8CC"/>
    <w:multiLevelType w:val="hybridMultilevel"/>
    <w:tmpl w:val="59F6913C"/>
    <w:lvl w:ilvl="0" w:tplc="4598297C">
      <w:start w:val="1"/>
      <w:numFmt w:val="bullet"/>
      <w:lvlText w:val=""/>
      <w:lvlJc w:val="left"/>
      <w:pPr>
        <w:ind w:left="720" w:hanging="360"/>
      </w:pPr>
      <w:rPr>
        <w:rFonts w:ascii="Symbol" w:hAnsi="Symbol" w:hint="default"/>
      </w:rPr>
    </w:lvl>
    <w:lvl w:ilvl="1" w:tplc="D84698CE">
      <w:start w:val="1"/>
      <w:numFmt w:val="bullet"/>
      <w:lvlText w:val="o"/>
      <w:lvlJc w:val="left"/>
      <w:pPr>
        <w:ind w:left="1440" w:hanging="360"/>
      </w:pPr>
      <w:rPr>
        <w:rFonts w:ascii="Courier New" w:hAnsi="Courier New" w:hint="default"/>
      </w:rPr>
    </w:lvl>
    <w:lvl w:ilvl="2" w:tplc="9ED84922">
      <w:start w:val="1"/>
      <w:numFmt w:val="bullet"/>
      <w:lvlText w:val=""/>
      <w:lvlJc w:val="left"/>
      <w:pPr>
        <w:ind w:left="2160" w:hanging="360"/>
      </w:pPr>
      <w:rPr>
        <w:rFonts w:ascii="Wingdings" w:hAnsi="Wingdings" w:hint="default"/>
      </w:rPr>
    </w:lvl>
    <w:lvl w:ilvl="3" w:tplc="0DCEF960">
      <w:start w:val="1"/>
      <w:numFmt w:val="bullet"/>
      <w:lvlText w:val=""/>
      <w:lvlJc w:val="left"/>
      <w:pPr>
        <w:ind w:left="2880" w:hanging="360"/>
      </w:pPr>
      <w:rPr>
        <w:rFonts w:ascii="Symbol" w:hAnsi="Symbol" w:hint="default"/>
      </w:rPr>
    </w:lvl>
    <w:lvl w:ilvl="4" w:tplc="683E7C46">
      <w:start w:val="1"/>
      <w:numFmt w:val="bullet"/>
      <w:lvlText w:val="o"/>
      <w:lvlJc w:val="left"/>
      <w:pPr>
        <w:ind w:left="3600" w:hanging="360"/>
      </w:pPr>
      <w:rPr>
        <w:rFonts w:ascii="Courier New" w:hAnsi="Courier New" w:hint="default"/>
      </w:rPr>
    </w:lvl>
    <w:lvl w:ilvl="5" w:tplc="10305D64">
      <w:start w:val="1"/>
      <w:numFmt w:val="bullet"/>
      <w:lvlText w:val=""/>
      <w:lvlJc w:val="left"/>
      <w:pPr>
        <w:ind w:left="4320" w:hanging="360"/>
      </w:pPr>
      <w:rPr>
        <w:rFonts w:ascii="Wingdings" w:hAnsi="Wingdings" w:hint="default"/>
      </w:rPr>
    </w:lvl>
    <w:lvl w:ilvl="6" w:tplc="1EC6E472">
      <w:start w:val="1"/>
      <w:numFmt w:val="bullet"/>
      <w:lvlText w:val=""/>
      <w:lvlJc w:val="left"/>
      <w:pPr>
        <w:ind w:left="5040" w:hanging="360"/>
      </w:pPr>
      <w:rPr>
        <w:rFonts w:ascii="Symbol" w:hAnsi="Symbol" w:hint="default"/>
      </w:rPr>
    </w:lvl>
    <w:lvl w:ilvl="7" w:tplc="7B40BDE2">
      <w:start w:val="1"/>
      <w:numFmt w:val="bullet"/>
      <w:lvlText w:val="o"/>
      <w:lvlJc w:val="left"/>
      <w:pPr>
        <w:ind w:left="5760" w:hanging="360"/>
      </w:pPr>
      <w:rPr>
        <w:rFonts w:ascii="Courier New" w:hAnsi="Courier New" w:hint="default"/>
      </w:rPr>
    </w:lvl>
    <w:lvl w:ilvl="8" w:tplc="0074E136">
      <w:start w:val="1"/>
      <w:numFmt w:val="bullet"/>
      <w:lvlText w:val=""/>
      <w:lvlJc w:val="left"/>
      <w:pPr>
        <w:ind w:left="6480" w:hanging="360"/>
      </w:pPr>
      <w:rPr>
        <w:rFonts w:ascii="Wingdings" w:hAnsi="Wingdings" w:hint="default"/>
      </w:rPr>
    </w:lvl>
  </w:abstractNum>
  <w:abstractNum w:abstractNumId="1" w15:restartNumberingAfterBreak="0">
    <w:nsid w:val="0E3C3AC6"/>
    <w:multiLevelType w:val="hybridMultilevel"/>
    <w:tmpl w:val="4B3A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B6D7E"/>
    <w:multiLevelType w:val="hybridMultilevel"/>
    <w:tmpl w:val="A1D86C94"/>
    <w:lvl w:ilvl="0" w:tplc="08005008">
      <w:start w:val="1"/>
      <w:numFmt w:val="bullet"/>
      <w:lvlText w:val=""/>
      <w:lvlJc w:val="left"/>
      <w:pPr>
        <w:ind w:left="720" w:hanging="360"/>
      </w:pPr>
      <w:rPr>
        <w:rFonts w:ascii="Symbol" w:hAnsi="Symbol" w:hint="default"/>
      </w:rPr>
    </w:lvl>
    <w:lvl w:ilvl="1" w:tplc="B824EE6C">
      <w:start w:val="1"/>
      <w:numFmt w:val="bullet"/>
      <w:lvlText w:val="o"/>
      <w:lvlJc w:val="left"/>
      <w:pPr>
        <w:ind w:left="1440" w:hanging="360"/>
      </w:pPr>
      <w:rPr>
        <w:rFonts w:ascii="Courier New" w:hAnsi="Courier New" w:hint="default"/>
      </w:rPr>
    </w:lvl>
    <w:lvl w:ilvl="2" w:tplc="2402B5A8">
      <w:start w:val="1"/>
      <w:numFmt w:val="bullet"/>
      <w:lvlText w:val=""/>
      <w:lvlJc w:val="left"/>
      <w:pPr>
        <w:ind w:left="2160" w:hanging="360"/>
      </w:pPr>
      <w:rPr>
        <w:rFonts w:ascii="Wingdings" w:hAnsi="Wingdings" w:hint="default"/>
      </w:rPr>
    </w:lvl>
    <w:lvl w:ilvl="3" w:tplc="8AA8D410">
      <w:start w:val="1"/>
      <w:numFmt w:val="bullet"/>
      <w:lvlText w:val=""/>
      <w:lvlJc w:val="left"/>
      <w:pPr>
        <w:ind w:left="2880" w:hanging="360"/>
      </w:pPr>
      <w:rPr>
        <w:rFonts w:ascii="Symbol" w:hAnsi="Symbol" w:hint="default"/>
      </w:rPr>
    </w:lvl>
    <w:lvl w:ilvl="4" w:tplc="244E0640">
      <w:start w:val="1"/>
      <w:numFmt w:val="bullet"/>
      <w:lvlText w:val="o"/>
      <w:lvlJc w:val="left"/>
      <w:pPr>
        <w:ind w:left="3600" w:hanging="360"/>
      </w:pPr>
      <w:rPr>
        <w:rFonts w:ascii="Courier New" w:hAnsi="Courier New" w:hint="default"/>
      </w:rPr>
    </w:lvl>
    <w:lvl w:ilvl="5" w:tplc="2220AB2C">
      <w:start w:val="1"/>
      <w:numFmt w:val="bullet"/>
      <w:lvlText w:val=""/>
      <w:lvlJc w:val="left"/>
      <w:pPr>
        <w:ind w:left="4320" w:hanging="360"/>
      </w:pPr>
      <w:rPr>
        <w:rFonts w:ascii="Wingdings" w:hAnsi="Wingdings" w:hint="default"/>
      </w:rPr>
    </w:lvl>
    <w:lvl w:ilvl="6" w:tplc="53926490">
      <w:start w:val="1"/>
      <w:numFmt w:val="bullet"/>
      <w:lvlText w:val=""/>
      <w:lvlJc w:val="left"/>
      <w:pPr>
        <w:ind w:left="5040" w:hanging="360"/>
      </w:pPr>
      <w:rPr>
        <w:rFonts w:ascii="Symbol" w:hAnsi="Symbol" w:hint="default"/>
      </w:rPr>
    </w:lvl>
    <w:lvl w:ilvl="7" w:tplc="7604ECA0">
      <w:start w:val="1"/>
      <w:numFmt w:val="bullet"/>
      <w:lvlText w:val="o"/>
      <w:lvlJc w:val="left"/>
      <w:pPr>
        <w:ind w:left="5760" w:hanging="360"/>
      </w:pPr>
      <w:rPr>
        <w:rFonts w:ascii="Courier New" w:hAnsi="Courier New" w:hint="default"/>
      </w:rPr>
    </w:lvl>
    <w:lvl w:ilvl="8" w:tplc="547203EE">
      <w:start w:val="1"/>
      <w:numFmt w:val="bullet"/>
      <w:lvlText w:val=""/>
      <w:lvlJc w:val="left"/>
      <w:pPr>
        <w:ind w:left="6480" w:hanging="360"/>
      </w:pPr>
      <w:rPr>
        <w:rFonts w:ascii="Wingdings" w:hAnsi="Wingdings" w:hint="default"/>
      </w:rPr>
    </w:lvl>
  </w:abstractNum>
  <w:abstractNum w:abstractNumId="3" w15:restartNumberingAfterBreak="0">
    <w:nsid w:val="32D97E46"/>
    <w:multiLevelType w:val="hybridMultilevel"/>
    <w:tmpl w:val="3C0E6E02"/>
    <w:lvl w:ilvl="0" w:tplc="B2FE3F3E">
      <w:start w:val="1"/>
      <w:numFmt w:val="upperLetter"/>
      <w:lvlText w:val="%1."/>
      <w:lvlJc w:val="left"/>
      <w:pPr>
        <w:ind w:left="720" w:hanging="360"/>
      </w:pPr>
    </w:lvl>
    <w:lvl w:ilvl="1" w:tplc="84808E58">
      <w:start w:val="1"/>
      <w:numFmt w:val="lowerLetter"/>
      <w:lvlText w:val="%2."/>
      <w:lvlJc w:val="left"/>
      <w:pPr>
        <w:ind w:left="1440" w:hanging="360"/>
      </w:pPr>
    </w:lvl>
    <w:lvl w:ilvl="2" w:tplc="38B85106">
      <w:start w:val="1"/>
      <w:numFmt w:val="lowerRoman"/>
      <w:lvlText w:val="%3."/>
      <w:lvlJc w:val="right"/>
      <w:pPr>
        <w:ind w:left="2160" w:hanging="180"/>
      </w:pPr>
    </w:lvl>
    <w:lvl w:ilvl="3" w:tplc="C32CE154">
      <w:start w:val="1"/>
      <w:numFmt w:val="decimal"/>
      <w:lvlText w:val="%4."/>
      <w:lvlJc w:val="left"/>
      <w:pPr>
        <w:ind w:left="2880" w:hanging="360"/>
      </w:pPr>
    </w:lvl>
    <w:lvl w:ilvl="4" w:tplc="FD3EF874">
      <w:start w:val="1"/>
      <w:numFmt w:val="lowerLetter"/>
      <w:lvlText w:val="%5."/>
      <w:lvlJc w:val="left"/>
      <w:pPr>
        <w:ind w:left="3600" w:hanging="360"/>
      </w:pPr>
    </w:lvl>
    <w:lvl w:ilvl="5" w:tplc="13920FF6">
      <w:start w:val="1"/>
      <w:numFmt w:val="lowerRoman"/>
      <w:lvlText w:val="%6."/>
      <w:lvlJc w:val="right"/>
      <w:pPr>
        <w:ind w:left="4320" w:hanging="180"/>
      </w:pPr>
    </w:lvl>
    <w:lvl w:ilvl="6" w:tplc="CC1AAE88">
      <w:start w:val="1"/>
      <w:numFmt w:val="decimal"/>
      <w:lvlText w:val="%7."/>
      <w:lvlJc w:val="left"/>
      <w:pPr>
        <w:ind w:left="5040" w:hanging="360"/>
      </w:pPr>
    </w:lvl>
    <w:lvl w:ilvl="7" w:tplc="2E8C2220">
      <w:start w:val="1"/>
      <w:numFmt w:val="lowerLetter"/>
      <w:lvlText w:val="%8."/>
      <w:lvlJc w:val="left"/>
      <w:pPr>
        <w:ind w:left="5760" w:hanging="360"/>
      </w:pPr>
    </w:lvl>
    <w:lvl w:ilvl="8" w:tplc="876223F8">
      <w:start w:val="1"/>
      <w:numFmt w:val="lowerRoman"/>
      <w:lvlText w:val="%9."/>
      <w:lvlJc w:val="right"/>
      <w:pPr>
        <w:ind w:left="6480" w:hanging="180"/>
      </w:pPr>
    </w:lvl>
  </w:abstractNum>
  <w:abstractNum w:abstractNumId="4" w15:restartNumberingAfterBreak="0">
    <w:nsid w:val="42031E4D"/>
    <w:multiLevelType w:val="hybridMultilevel"/>
    <w:tmpl w:val="70FA9F96"/>
    <w:lvl w:ilvl="0" w:tplc="1BBC4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D08E9"/>
    <w:multiLevelType w:val="hybridMultilevel"/>
    <w:tmpl w:val="DC1A7EBC"/>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85D59EF"/>
    <w:multiLevelType w:val="hybridMultilevel"/>
    <w:tmpl w:val="B22E16DE"/>
    <w:lvl w:ilvl="0" w:tplc="12D49D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722BB"/>
    <w:multiLevelType w:val="hybridMultilevel"/>
    <w:tmpl w:val="2A22BCF6"/>
    <w:lvl w:ilvl="0" w:tplc="18D62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D3051"/>
    <w:multiLevelType w:val="multilevel"/>
    <w:tmpl w:val="7CF0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600F3"/>
    <w:multiLevelType w:val="hybridMultilevel"/>
    <w:tmpl w:val="33BE4D8E"/>
    <w:lvl w:ilvl="0" w:tplc="25AEFF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221E0"/>
    <w:multiLevelType w:val="hybridMultilevel"/>
    <w:tmpl w:val="2F08B964"/>
    <w:lvl w:ilvl="0" w:tplc="BC30F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3151641">
    <w:abstractNumId w:val="1"/>
  </w:num>
  <w:num w:numId="2" w16cid:durableId="2106073490">
    <w:abstractNumId w:val="11"/>
  </w:num>
  <w:num w:numId="3" w16cid:durableId="1207763588">
    <w:abstractNumId w:val="4"/>
  </w:num>
  <w:num w:numId="4" w16cid:durableId="103501783">
    <w:abstractNumId w:val="7"/>
  </w:num>
  <w:num w:numId="5" w16cid:durableId="199317929">
    <w:abstractNumId w:val="10"/>
  </w:num>
  <w:num w:numId="6" w16cid:durableId="1743261053">
    <w:abstractNumId w:val="5"/>
  </w:num>
  <w:num w:numId="7" w16cid:durableId="1683319807">
    <w:abstractNumId w:val="8"/>
  </w:num>
  <w:num w:numId="8" w16cid:durableId="1371030009">
    <w:abstractNumId w:val="9"/>
  </w:num>
  <w:num w:numId="9" w16cid:durableId="995379135">
    <w:abstractNumId w:val="6"/>
  </w:num>
  <w:num w:numId="10" w16cid:durableId="785658941">
    <w:abstractNumId w:val="0"/>
  </w:num>
  <w:num w:numId="11" w16cid:durableId="1901361157">
    <w:abstractNumId w:val="2"/>
  </w:num>
  <w:num w:numId="12" w16cid:durableId="588663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FC"/>
    <w:rsid w:val="00004674"/>
    <w:rsid w:val="00047FB3"/>
    <w:rsid w:val="00063ACD"/>
    <w:rsid w:val="000C178C"/>
    <w:rsid w:val="000D4F15"/>
    <w:rsid w:val="000F6BF8"/>
    <w:rsid w:val="00137A4E"/>
    <w:rsid w:val="00172C45"/>
    <w:rsid w:val="00187B3E"/>
    <w:rsid w:val="0019015A"/>
    <w:rsid w:val="001A73CE"/>
    <w:rsid w:val="001C126D"/>
    <w:rsid w:val="0020371A"/>
    <w:rsid w:val="002043E0"/>
    <w:rsid w:val="0021614E"/>
    <w:rsid w:val="00251C1D"/>
    <w:rsid w:val="002C28DE"/>
    <w:rsid w:val="002C5716"/>
    <w:rsid w:val="00306ABB"/>
    <w:rsid w:val="00326486"/>
    <w:rsid w:val="00336791"/>
    <w:rsid w:val="00381F8D"/>
    <w:rsid w:val="003873B1"/>
    <w:rsid w:val="003C2826"/>
    <w:rsid w:val="003D1A3F"/>
    <w:rsid w:val="00433814"/>
    <w:rsid w:val="00447069"/>
    <w:rsid w:val="00464AA3"/>
    <w:rsid w:val="00481B5A"/>
    <w:rsid w:val="004A57FC"/>
    <w:rsid w:val="004E4D6D"/>
    <w:rsid w:val="00592E6F"/>
    <w:rsid w:val="005A3A44"/>
    <w:rsid w:val="005A501B"/>
    <w:rsid w:val="005D3C7A"/>
    <w:rsid w:val="006D0686"/>
    <w:rsid w:val="006E767E"/>
    <w:rsid w:val="007074AE"/>
    <w:rsid w:val="00774EEB"/>
    <w:rsid w:val="00776391"/>
    <w:rsid w:val="007E0134"/>
    <w:rsid w:val="007F222E"/>
    <w:rsid w:val="007F5F2B"/>
    <w:rsid w:val="00812294"/>
    <w:rsid w:val="008250E9"/>
    <w:rsid w:val="00830DAA"/>
    <w:rsid w:val="00837A93"/>
    <w:rsid w:val="00852E50"/>
    <w:rsid w:val="008B1869"/>
    <w:rsid w:val="008F1927"/>
    <w:rsid w:val="00955CA3"/>
    <w:rsid w:val="00991F09"/>
    <w:rsid w:val="009C05ED"/>
    <w:rsid w:val="009F3900"/>
    <w:rsid w:val="00A06DF3"/>
    <w:rsid w:val="00A25109"/>
    <w:rsid w:val="00A37E17"/>
    <w:rsid w:val="00A57B27"/>
    <w:rsid w:val="00A719CF"/>
    <w:rsid w:val="00A77A1C"/>
    <w:rsid w:val="00B20D71"/>
    <w:rsid w:val="00B3032C"/>
    <w:rsid w:val="00B66E4C"/>
    <w:rsid w:val="00B77FEC"/>
    <w:rsid w:val="00BA68EE"/>
    <w:rsid w:val="00BE68DF"/>
    <w:rsid w:val="00BE7B45"/>
    <w:rsid w:val="00C1296A"/>
    <w:rsid w:val="00C64402"/>
    <w:rsid w:val="00C727AA"/>
    <w:rsid w:val="00C857BE"/>
    <w:rsid w:val="00CD0566"/>
    <w:rsid w:val="00D41ED8"/>
    <w:rsid w:val="00E01E7C"/>
    <w:rsid w:val="00E36FDD"/>
    <w:rsid w:val="00E83114"/>
    <w:rsid w:val="00E87E48"/>
    <w:rsid w:val="00EA55CD"/>
    <w:rsid w:val="00ED33FF"/>
    <w:rsid w:val="00F10545"/>
    <w:rsid w:val="00F55201"/>
    <w:rsid w:val="00F75AAA"/>
    <w:rsid w:val="00F93ACF"/>
    <w:rsid w:val="00F95086"/>
    <w:rsid w:val="00FA2B4C"/>
    <w:rsid w:val="00FB6BBC"/>
    <w:rsid w:val="00FD4DD6"/>
    <w:rsid w:val="3BACB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763B"/>
  <w15:docId w15:val="{32A8E291-98F5-42FE-B874-20D9BB51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566"/>
    <w:pPr>
      <w:ind w:left="720"/>
      <w:contextualSpacing/>
    </w:pPr>
  </w:style>
  <w:style w:type="character" w:customStyle="1" w:styleId="Heading1Char">
    <w:name w:val="Heading 1 Char"/>
    <w:basedOn w:val="DefaultParagraphFont"/>
    <w:link w:val="Heading1"/>
    <w:uiPriority w:val="9"/>
    <w:rsid w:val="00B20D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05ED"/>
    <w:rPr>
      <w:color w:val="0563C1" w:themeColor="hyperlink"/>
      <w:u w:val="single"/>
    </w:rPr>
  </w:style>
  <w:style w:type="character" w:customStyle="1" w:styleId="UnresolvedMention1">
    <w:name w:val="Unresolved Mention1"/>
    <w:basedOn w:val="DefaultParagraphFont"/>
    <w:uiPriority w:val="99"/>
    <w:semiHidden/>
    <w:unhideWhenUsed/>
    <w:rsid w:val="009C05ED"/>
    <w:rPr>
      <w:color w:val="605E5C"/>
      <w:shd w:val="clear" w:color="auto" w:fill="E1DFDD"/>
    </w:rPr>
  </w:style>
  <w:style w:type="character" w:customStyle="1" w:styleId="Heading2Char">
    <w:name w:val="Heading 2 Char"/>
    <w:basedOn w:val="DefaultParagraphFont"/>
    <w:link w:val="Heading2"/>
    <w:uiPriority w:val="9"/>
    <w:rsid w:val="002C571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7F5F2B"/>
    <w:pPr>
      <w:spacing w:after="0" w:line="240" w:lineRule="auto"/>
    </w:pPr>
    <w:rPr>
      <w:rFonts w:eastAsiaTheme="minorEastAsia"/>
      <w:sz w:val="24"/>
      <w:lang w:bidi="en-US"/>
    </w:rPr>
  </w:style>
  <w:style w:type="character" w:styleId="CommentReference">
    <w:name w:val="annotation reference"/>
    <w:basedOn w:val="DefaultParagraphFont"/>
    <w:uiPriority w:val="99"/>
    <w:semiHidden/>
    <w:unhideWhenUsed/>
    <w:rsid w:val="002C28DE"/>
    <w:rPr>
      <w:sz w:val="16"/>
      <w:szCs w:val="16"/>
    </w:rPr>
  </w:style>
  <w:style w:type="paragraph" w:styleId="CommentText">
    <w:name w:val="annotation text"/>
    <w:basedOn w:val="Normal"/>
    <w:link w:val="CommentTextChar"/>
    <w:uiPriority w:val="99"/>
    <w:unhideWhenUsed/>
    <w:rsid w:val="002C28DE"/>
    <w:pPr>
      <w:spacing w:line="240" w:lineRule="auto"/>
    </w:pPr>
    <w:rPr>
      <w:sz w:val="20"/>
      <w:szCs w:val="20"/>
    </w:rPr>
  </w:style>
  <w:style w:type="character" w:customStyle="1" w:styleId="CommentTextChar">
    <w:name w:val="Comment Text Char"/>
    <w:basedOn w:val="DefaultParagraphFont"/>
    <w:link w:val="CommentText"/>
    <w:uiPriority w:val="99"/>
    <w:rsid w:val="002C28DE"/>
    <w:rPr>
      <w:sz w:val="20"/>
      <w:szCs w:val="20"/>
    </w:rPr>
  </w:style>
  <w:style w:type="paragraph" w:styleId="CommentSubject">
    <w:name w:val="annotation subject"/>
    <w:basedOn w:val="CommentText"/>
    <w:next w:val="CommentText"/>
    <w:link w:val="CommentSubjectChar"/>
    <w:uiPriority w:val="99"/>
    <w:semiHidden/>
    <w:unhideWhenUsed/>
    <w:rsid w:val="002C28DE"/>
    <w:rPr>
      <w:b/>
      <w:bCs/>
    </w:rPr>
  </w:style>
  <w:style w:type="character" w:customStyle="1" w:styleId="CommentSubjectChar">
    <w:name w:val="Comment Subject Char"/>
    <w:basedOn w:val="CommentTextChar"/>
    <w:link w:val="CommentSubject"/>
    <w:uiPriority w:val="99"/>
    <w:semiHidden/>
    <w:rsid w:val="002C28DE"/>
    <w:rPr>
      <w:b/>
      <w:bCs/>
      <w:sz w:val="20"/>
      <w:szCs w:val="20"/>
    </w:rPr>
  </w:style>
  <w:style w:type="character" w:styleId="FollowedHyperlink">
    <w:name w:val="FollowedHyperlink"/>
    <w:basedOn w:val="DefaultParagraphFont"/>
    <w:uiPriority w:val="99"/>
    <w:semiHidden/>
    <w:unhideWhenUsed/>
    <w:rsid w:val="002C28DE"/>
    <w:rPr>
      <w:color w:val="954F72" w:themeColor="followedHyperlink"/>
      <w:u w:val="single"/>
    </w:rPr>
  </w:style>
  <w:style w:type="table" w:styleId="TableGrid">
    <w:name w:val="Table Grid"/>
    <w:basedOn w:val="TableNormal"/>
    <w:uiPriority w:val="39"/>
    <w:rsid w:val="00F1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9F390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A2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070">
      <w:bodyDiv w:val="1"/>
      <w:marLeft w:val="0"/>
      <w:marRight w:val="0"/>
      <w:marTop w:val="0"/>
      <w:marBottom w:val="0"/>
      <w:divBdr>
        <w:top w:val="none" w:sz="0" w:space="0" w:color="auto"/>
        <w:left w:val="none" w:sz="0" w:space="0" w:color="auto"/>
        <w:bottom w:val="none" w:sz="0" w:space="0" w:color="auto"/>
        <w:right w:val="none" w:sz="0" w:space="0" w:color="auto"/>
      </w:divBdr>
    </w:div>
    <w:div w:id="1132285351">
      <w:bodyDiv w:val="1"/>
      <w:marLeft w:val="0"/>
      <w:marRight w:val="0"/>
      <w:marTop w:val="0"/>
      <w:marBottom w:val="0"/>
      <w:divBdr>
        <w:top w:val="none" w:sz="0" w:space="0" w:color="auto"/>
        <w:left w:val="none" w:sz="0" w:space="0" w:color="auto"/>
        <w:bottom w:val="none" w:sz="0" w:space="0" w:color="auto"/>
        <w:right w:val="none" w:sz="0" w:space="0" w:color="auto"/>
      </w:divBdr>
    </w:div>
    <w:div w:id="1206407040">
      <w:bodyDiv w:val="1"/>
      <w:marLeft w:val="0"/>
      <w:marRight w:val="0"/>
      <w:marTop w:val="0"/>
      <w:marBottom w:val="0"/>
      <w:divBdr>
        <w:top w:val="none" w:sz="0" w:space="0" w:color="auto"/>
        <w:left w:val="none" w:sz="0" w:space="0" w:color="auto"/>
        <w:bottom w:val="none" w:sz="0" w:space="0" w:color="auto"/>
        <w:right w:val="none" w:sz="0" w:space="0" w:color="auto"/>
      </w:divBdr>
    </w:div>
    <w:div w:id="1541895481">
      <w:bodyDiv w:val="1"/>
      <w:marLeft w:val="0"/>
      <w:marRight w:val="0"/>
      <w:marTop w:val="0"/>
      <w:marBottom w:val="0"/>
      <w:divBdr>
        <w:top w:val="none" w:sz="0" w:space="0" w:color="auto"/>
        <w:left w:val="none" w:sz="0" w:space="0" w:color="auto"/>
        <w:bottom w:val="none" w:sz="0" w:space="0" w:color="auto"/>
        <w:right w:val="none" w:sz="0" w:space="0" w:color="auto"/>
      </w:divBdr>
    </w:div>
    <w:div w:id="1610703719">
      <w:bodyDiv w:val="1"/>
      <w:marLeft w:val="0"/>
      <w:marRight w:val="0"/>
      <w:marTop w:val="0"/>
      <w:marBottom w:val="0"/>
      <w:divBdr>
        <w:top w:val="none" w:sz="0" w:space="0" w:color="auto"/>
        <w:left w:val="none" w:sz="0" w:space="0" w:color="auto"/>
        <w:bottom w:val="none" w:sz="0" w:space="0" w:color="auto"/>
        <w:right w:val="none" w:sz="0" w:space="0" w:color="auto"/>
      </w:divBdr>
    </w:div>
    <w:div w:id="1905678275">
      <w:bodyDiv w:val="1"/>
      <w:marLeft w:val="0"/>
      <w:marRight w:val="0"/>
      <w:marTop w:val="0"/>
      <w:marBottom w:val="0"/>
      <w:divBdr>
        <w:top w:val="none" w:sz="0" w:space="0" w:color="auto"/>
        <w:left w:val="none" w:sz="0" w:space="0" w:color="auto"/>
        <w:bottom w:val="none" w:sz="0" w:space="0" w:color="auto"/>
        <w:right w:val="none" w:sz="0" w:space="0" w:color="auto"/>
      </w:divBdr>
    </w:div>
    <w:div w:id="1939213579">
      <w:bodyDiv w:val="1"/>
      <w:marLeft w:val="0"/>
      <w:marRight w:val="0"/>
      <w:marTop w:val="0"/>
      <w:marBottom w:val="0"/>
      <w:divBdr>
        <w:top w:val="none" w:sz="0" w:space="0" w:color="auto"/>
        <w:left w:val="none" w:sz="0" w:space="0" w:color="auto"/>
        <w:bottom w:val="none" w:sz="0" w:space="0" w:color="auto"/>
        <w:right w:val="none" w:sz="0" w:space="0" w:color="auto"/>
      </w:divBdr>
    </w:div>
    <w:div w:id="20604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mass.edu/sped/spp/indicators/indicator14/indicator14-slides-spanish.ppt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ites.ed.gov/idea/spp-apr-letters?selected-category=&amp;selected-year=&amp;state=Massachusetts" TargetMode="External"/><Relationship Id="rId4" Type="http://schemas.openxmlformats.org/officeDocument/2006/relationships/numbering" Target="numbering.xml"/><Relationship Id="rId9" Type="http://schemas.openxmlformats.org/officeDocument/2006/relationships/hyperlink" Target="https://profiles.doe.mass.edu/statereport/special_edu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Hanafin, Bob (DESE)</DisplayName>
        <AccountId>25</AccountId>
        <AccountType/>
      </UserInfo>
      <UserInfo>
        <DisplayName>Tobey, Gregory (DESE)</DisplayName>
        <AccountId>325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57DCB-5547-49A7-A6A2-0BD359890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5F6EA-54F8-4569-830B-F9C8BD953539}">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www.w3.org/XML/1998/namespace"/>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96ADCA00-8912-43AC-9D89-1B1C453D9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Indicator 14: Post-school Outcomes for Students with IEPs — Spanish</vt:lpstr>
    </vt:vector>
  </TitlesOfParts>
  <Company/>
  <LinksUpToDate>false</LinksUpToDate>
  <CharactersWithSpaces>7588</CharactersWithSpaces>
  <SharedDoc>false</SharedDoc>
  <HLinks>
    <vt:vector size="84" baseType="variant">
      <vt:variant>
        <vt:i4>3866742</vt:i4>
      </vt:variant>
      <vt:variant>
        <vt:i4>36</vt:i4>
      </vt:variant>
      <vt:variant>
        <vt:i4>0</vt:i4>
      </vt:variant>
      <vt:variant>
        <vt:i4>5</vt:i4>
      </vt:variant>
      <vt:variant>
        <vt:lpwstr>https://sites.ed.gov/idea/spp-apr-letters?selected-category=&amp;selected-year=&amp;state=Massachusetts</vt:lpwstr>
      </vt:variant>
      <vt:variant>
        <vt:lpwstr/>
      </vt:variant>
      <vt:variant>
        <vt:i4>2818115</vt:i4>
      </vt:variant>
      <vt:variant>
        <vt:i4>33</vt:i4>
      </vt:variant>
      <vt:variant>
        <vt:i4>0</vt:i4>
      </vt:variant>
      <vt:variant>
        <vt:i4>5</vt:i4>
      </vt:variant>
      <vt:variant>
        <vt:lpwstr>https://profiles.doe.mass.edu/statereport/special_education.aspx</vt:lpwstr>
      </vt:variant>
      <vt:variant>
        <vt:lpwstr/>
      </vt:variant>
      <vt:variant>
        <vt:i4>2621560</vt:i4>
      </vt:variant>
      <vt:variant>
        <vt:i4>30</vt:i4>
      </vt:variant>
      <vt:variant>
        <vt:i4>0</vt:i4>
      </vt:variant>
      <vt:variant>
        <vt:i4>5</vt:i4>
      </vt:variant>
      <vt:variant>
        <vt:lpwstr>https://www.doe.mass.edu/sped/secondary-transition/indicator14.html</vt:lpwstr>
      </vt:variant>
      <vt:variant>
        <vt:lpwstr/>
      </vt:variant>
      <vt:variant>
        <vt:i4>4849734</vt:i4>
      </vt:variant>
      <vt:variant>
        <vt:i4>27</vt:i4>
      </vt:variant>
      <vt:variant>
        <vt:i4>0</vt:i4>
      </vt:variant>
      <vt:variant>
        <vt:i4>5</vt:i4>
      </vt:variant>
      <vt:variant>
        <vt:lpwstr>https://www.doe.mass.edu/sped/spp/maspp.html</vt:lpwstr>
      </vt:variant>
      <vt:variant>
        <vt:lpwstr/>
      </vt:variant>
      <vt:variant>
        <vt:i4>4915282</vt:i4>
      </vt:variant>
      <vt:variant>
        <vt:i4>24</vt:i4>
      </vt:variant>
      <vt:variant>
        <vt:i4>0</vt:i4>
      </vt:variant>
      <vt:variant>
        <vt:i4>5</vt:i4>
      </vt:variant>
      <vt:variant>
        <vt:lpwstr>https://www.doe.mass.edu/sped/spp/indicators/indicator14/</vt:lpwstr>
      </vt:variant>
      <vt:variant>
        <vt:lpwstr/>
      </vt:variant>
      <vt:variant>
        <vt:i4>5242971</vt:i4>
      </vt:variant>
      <vt:variant>
        <vt:i4>21</vt:i4>
      </vt:variant>
      <vt:variant>
        <vt:i4>0</vt:i4>
      </vt:variant>
      <vt:variant>
        <vt:i4>5</vt:i4>
      </vt:variant>
      <vt:variant>
        <vt:lpwstr>https://www.doe.mass.edu/sped/spp/indicators/indicator8/</vt:lpwstr>
      </vt:variant>
      <vt:variant>
        <vt:lpwstr/>
      </vt:variant>
      <vt:variant>
        <vt:i4>851991</vt:i4>
      </vt:variant>
      <vt:variant>
        <vt:i4>18</vt:i4>
      </vt:variant>
      <vt:variant>
        <vt:i4>0</vt:i4>
      </vt:variant>
      <vt:variant>
        <vt:i4>5</vt:i4>
      </vt:variant>
      <vt:variant>
        <vt:lpwstr>https://www.doe.mass.edu/sped/ecse/StrategicAreas.html</vt:lpwstr>
      </vt:variant>
      <vt:variant>
        <vt:lpwstr>outcome)%20removed</vt:lpwstr>
      </vt:variant>
      <vt:variant>
        <vt:i4>5242964</vt:i4>
      </vt:variant>
      <vt:variant>
        <vt:i4>15</vt:i4>
      </vt:variant>
      <vt:variant>
        <vt:i4>0</vt:i4>
      </vt:variant>
      <vt:variant>
        <vt:i4>5</vt:i4>
      </vt:variant>
      <vt:variant>
        <vt:lpwstr>https://www.doe.mass.edu/sped/spp/indicators/indicator7/</vt:lpwstr>
      </vt:variant>
      <vt:variant>
        <vt:lpwstr/>
      </vt:variant>
      <vt:variant>
        <vt:i4>5242965</vt:i4>
      </vt:variant>
      <vt:variant>
        <vt:i4>12</vt:i4>
      </vt:variant>
      <vt:variant>
        <vt:i4>0</vt:i4>
      </vt:variant>
      <vt:variant>
        <vt:i4>5</vt:i4>
      </vt:variant>
      <vt:variant>
        <vt:lpwstr>https://www.doe.mass.edu/sped/spp/indicators/indicator6/</vt:lpwstr>
      </vt:variant>
      <vt:variant>
        <vt:lpwstr/>
      </vt:variant>
      <vt:variant>
        <vt:i4>5242966</vt:i4>
      </vt:variant>
      <vt:variant>
        <vt:i4>9</vt:i4>
      </vt:variant>
      <vt:variant>
        <vt:i4>0</vt:i4>
      </vt:variant>
      <vt:variant>
        <vt:i4>5</vt:i4>
      </vt:variant>
      <vt:variant>
        <vt:lpwstr>https://www.doe.mass.edu/sped/spp/indicators/indicator5/</vt:lpwstr>
      </vt:variant>
      <vt:variant>
        <vt:lpwstr/>
      </vt:variant>
      <vt:variant>
        <vt:i4>5242961</vt:i4>
      </vt:variant>
      <vt:variant>
        <vt:i4>6</vt:i4>
      </vt:variant>
      <vt:variant>
        <vt:i4>0</vt:i4>
      </vt:variant>
      <vt:variant>
        <vt:i4>5</vt:i4>
      </vt:variant>
      <vt:variant>
        <vt:lpwstr>https://www.doe.mass.edu/sped/spp/indicators/indicator2/</vt:lpwstr>
      </vt:variant>
      <vt:variant>
        <vt:lpwstr/>
      </vt:variant>
      <vt:variant>
        <vt:i4>6094872</vt:i4>
      </vt:variant>
      <vt:variant>
        <vt:i4>3</vt:i4>
      </vt:variant>
      <vt:variant>
        <vt:i4>0</vt:i4>
      </vt:variant>
      <vt:variant>
        <vt:i4>5</vt:i4>
      </vt:variant>
      <vt:variant>
        <vt:lpwstr>https://www.doe.mass.edu/mcas/graduation.html</vt:lpwstr>
      </vt:variant>
      <vt:variant>
        <vt:lpwstr/>
      </vt:variant>
      <vt:variant>
        <vt:i4>5242962</vt:i4>
      </vt:variant>
      <vt:variant>
        <vt:i4>0</vt:i4>
      </vt:variant>
      <vt:variant>
        <vt:i4>0</vt:i4>
      </vt:variant>
      <vt:variant>
        <vt:i4>5</vt:i4>
      </vt:variant>
      <vt:variant>
        <vt:lpwstr>https://www.doe.mass.edu/sped/spp/indicators/indicator1/</vt:lpwstr>
      </vt:variant>
      <vt:variant>
        <vt:lpwstr/>
      </vt:variant>
      <vt:variant>
        <vt:i4>2621560</vt:i4>
      </vt:variant>
      <vt:variant>
        <vt:i4>0</vt:i4>
      </vt:variant>
      <vt:variant>
        <vt:i4>0</vt:i4>
      </vt:variant>
      <vt:variant>
        <vt:i4>5</vt:i4>
      </vt:variant>
      <vt:variant>
        <vt:lpwstr>https://www.doe.mass.edu/sped/secondary-transition/indicator14.html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14: Post-school Outcomes for Students with IEPs — Spanish</dc:title>
  <dc:subject/>
  <dc:creator>DESE</dc:creator>
  <cp:keywords/>
  <dc:description/>
  <cp:lastModifiedBy>Zou, Dong (EOE)</cp:lastModifiedBy>
  <cp:revision>11</cp:revision>
  <dcterms:created xsi:type="dcterms:W3CDTF">2023-02-27T15:16:00Z</dcterms:created>
  <dcterms:modified xsi:type="dcterms:W3CDTF">2024-05-13T17:48:00Z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2024 12:00AM</vt:lpwstr>
  </property>
</Properties>
</file>