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FD46" w14:textId="4EA548C5" w:rsidR="009F3900" w:rsidRPr="00803ACA" w:rsidRDefault="00145102" w:rsidP="009F3900">
      <w:pPr>
        <w:pStyle w:val="lead"/>
        <w:shd w:val="clear" w:color="auto" w:fill="FFFFFF"/>
        <w:spacing w:before="0" w:beforeAutospacing="0"/>
        <w:rPr>
          <w:rFonts w:ascii="Times New Roman"/>
          <w:color w:val="222222"/>
        </w:rPr>
      </w:pPr>
      <w:r>
        <w:fldChar w:fldCharType="begin"/>
      </w:r>
      <w:r>
        <w:instrText>HYPERLINK "https://www.doe.mass.edu/sped/spp/indicators/indicator14/"</w:instrText>
      </w:r>
      <w:r>
        <w:fldChar w:fldCharType="separate"/>
      </w:r>
      <w:r w:rsidR="009F3900" w:rsidRPr="00835242">
        <w:rPr>
          <w:rStyle w:val="Hyperlink"/>
          <w:rFonts w:ascii="Times New Roman"/>
          <w:b/>
          <w:bCs/>
        </w:rPr>
        <w:t>English</w:t>
      </w:r>
      <w:r>
        <w:rPr>
          <w:rStyle w:val="Hyperlink"/>
          <w:rFonts w:ascii="Times New Roman"/>
          <w:b/>
          <w:bCs/>
        </w:rPr>
        <w:fldChar w:fldCharType="end"/>
      </w:r>
      <w:r w:rsidR="009F3900" w:rsidRPr="00803ACA">
        <w:rPr>
          <w:rFonts w:ascii="Times New Roman"/>
          <w:b/>
          <w:bCs/>
          <w:color w:val="222222"/>
        </w:rPr>
        <w:t xml:space="preserve"> | </w:t>
      </w:r>
      <w:hyperlink r:id="rId8" w:tooltip="下载Word文件" w:history="1">
        <w:proofErr w:type="spellStart"/>
        <w:r w:rsidR="009F3900" w:rsidRPr="00835242">
          <w:rPr>
            <w:rStyle w:val="Hyperlink"/>
            <w:rFonts w:ascii="MS Mincho" w:eastAsia="MS Mincho" w:hAnsi="MS Mincho" w:cs="MS Mincho" w:hint="eastAsia"/>
            <w:b/>
            <w:bCs/>
            <w:color w:val="0060C7"/>
          </w:rPr>
          <w:t>繁體中文</w:t>
        </w:r>
        <w:proofErr w:type="spellEnd"/>
      </w:hyperlink>
      <w:r w:rsidR="009F3900" w:rsidRPr="00803ACA">
        <w:rPr>
          <w:rFonts w:ascii="Times New Roman"/>
          <w:b/>
          <w:bCs/>
          <w:color w:val="222222"/>
        </w:rPr>
        <w:t> | </w:t>
      </w:r>
      <w:hyperlink r:id="rId9" w:tooltip="Telechaje dosye Word" w:history="1">
        <w:r w:rsidR="009F3900" w:rsidRPr="00835242">
          <w:rPr>
            <w:rStyle w:val="Hyperlink"/>
            <w:rFonts w:ascii="Times New Roman"/>
            <w:b/>
            <w:bCs/>
            <w:color w:val="0060C7"/>
          </w:rPr>
          <w:t>Kreyòl Ayisyen</w:t>
        </w:r>
      </w:hyperlink>
      <w:r w:rsidR="009F3900" w:rsidRPr="00803ACA">
        <w:rPr>
          <w:rFonts w:ascii="Times New Roman"/>
          <w:b/>
          <w:bCs/>
          <w:color w:val="222222"/>
        </w:rPr>
        <w:t> | </w:t>
      </w:r>
      <w:hyperlink r:id="rId10" w:tooltip="Baixar arquivo do Word" w:history="1">
        <w:r w:rsidR="009F3900" w:rsidRPr="00835242">
          <w:rPr>
            <w:rStyle w:val="Hyperlink"/>
            <w:rFonts w:ascii="Times New Roman"/>
            <w:b/>
            <w:bCs/>
            <w:color w:val="0060C7"/>
          </w:rPr>
          <w:t>português</w:t>
        </w:r>
        <w:r w:rsidR="009F3900" w:rsidRPr="00803ACA">
          <w:rPr>
            <w:rStyle w:val="Hyperlink"/>
            <w:rFonts w:ascii="Times New Roman"/>
            <w:b/>
            <w:bCs/>
            <w:color w:val="0060C7"/>
            <w:u w:val="none"/>
          </w:rPr>
          <w:t>​</w:t>
        </w:r>
      </w:hyperlink>
      <w:r w:rsidR="009F3900" w:rsidRPr="00803ACA">
        <w:rPr>
          <w:rFonts w:ascii="Times New Roman"/>
          <w:b/>
          <w:bCs/>
          <w:color w:val="222222"/>
        </w:rPr>
        <w:t> | </w:t>
      </w:r>
      <w:hyperlink r:id="rId11" w:tooltip="Descargar archivo de Word" w:history="1">
        <w:r w:rsidR="009F3900" w:rsidRPr="00835242">
          <w:rPr>
            <w:rStyle w:val="Hyperlink"/>
            <w:rFonts w:ascii="Times New Roman"/>
            <w:b/>
            <w:bCs/>
            <w:color w:val="0060C7"/>
          </w:rPr>
          <w:t>español</w:t>
        </w:r>
      </w:hyperlink>
      <w:r w:rsidR="009F3900" w:rsidRPr="00803ACA">
        <w:rPr>
          <w:rFonts w:ascii="Times New Roman"/>
          <w:b/>
          <w:bCs/>
          <w:color w:val="222222"/>
        </w:rPr>
        <w:t> | </w:t>
      </w:r>
      <w:r w:rsidR="009F3900" w:rsidRPr="00751589">
        <w:rPr>
          <w:rFonts w:ascii="Times New Roman"/>
          <w:b/>
          <w:bCs/>
        </w:rPr>
        <w:t>Việt​ </w:t>
      </w:r>
    </w:p>
    <w:p w14:paraId="4E6C2A3D" w14:textId="77777777" w:rsidR="009F3900" w:rsidRPr="00803ACA" w:rsidRDefault="009F3900" w:rsidP="009F3900">
      <w:pPr>
        <w:pStyle w:val="Heading1"/>
        <w:shd w:val="clear" w:color="auto" w:fill="FFFFFF"/>
        <w:rPr>
          <w:rFonts w:ascii="Times New Roman" w:hAnsi="Times New Roman" w:cs="Times New Roman"/>
          <w:color w:val="222222"/>
        </w:rPr>
      </w:pPr>
      <w:r w:rsidRPr="00803ACA">
        <w:rPr>
          <w:rFonts w:ascii="Times New Roman" w:hAnsi="Times New Roman" w:cs="Times New Roman"/>
          <w:b/>
          <w:bCs/>
          <w:color w:val="222222"/>
        </w:rPr>
        <w:t>Chỉ số 14: Kết quả sau giờ học đối với Học sinh có IEP</w:t>
      </w:r>
    </w:p>
    <w:p w14:paraId="171FB970" w14:textId="77777777" w:rsidR="009F3900" w:rsidRPr="00803ACA" w:rsidRDefault="009F3900" w:rsidP="009C05ED">
      <w:pPr>
        <w:rPr>
          <w:rFonts w:ascii="Times New Roman" w:hAnsi="Times New Roman" w:cs="Times New Roman"/>
        </w:rPr>
      </w:pPr>
    </w:p>
    <w:p w14:paraId="378562F8" w14:textId="77777777" w:rsidR="009F3900" w:rsidRPr="00803ACA" w:rsidRDefault="009F3900" w:rsidP="009F3900">
      <w:pPr>
        <w:pStyle w:val="Heading2"/>
        <w:shd w:val="clear" w:color="auto" w:fill="FFFFFF"/>
        <w:rPr>
          <w:rFonts w:ascii="Times New Roman" w:hAnsi="Times New Roman" w:cs="Times New Roman"/>
          <w:color w:val="0C7580"/>
          <w:spacing w:val="12"/>
        </w:rPr>
      </w:pPr>
      <w:r w:rsidRPr="00803ACA">
        <w:rPr>
          <w:rFonts w:ascii="Times New Roman" w:hAnsi="Times New Roman" w:cs="Times New Roman"/>
          <w:b/>
          <w:bCs/>
          <w:color w:val="0C7580"/>
        </w:rPr>
        <w:t>Chỉ số 14 là gì?</w:t>
      </w:r>
    </w:p>
    <w:p w14:paraId="44CAD373" w14:textId="77777777" w:rsidR="00063ACD" w:rsidRPr="00803ACA" w:rsidRDefault="00063ACD" w:rsidP="00063ACD">
      <w:pPr>
        <w:rPr>
          <w:rFonts w:ascii="Times New Roman" w:hAnsi="Times New Roman" w:cs="Times New Roman"/>
        </w:rPr>
      </w:pPr>
      <w:r w:rsidRPr="00803ACA">
        <w:rPr>
          <w:rFonts w:ascii="Times New Roman" w:hAnsi="Times New Roman" w:cs="Times New Roman"/>
          <w:color w:val="222222"/>
          <w:sz w:val="24"/>
          <w:szCs w:val="24"/>
        </w:rPr>
        <w:t xml:space="preserve">Chỉ số 14 là một trong 17 Chỉ số mà Văn phòng Chương trình giáo dục đặc biệt Hoa Kỳ (OSEP) sử dụng để xem liệu các khu học chánh có tuân thủ luật giáo dục đặc biệt hay không và liệu giáo dục đặc biệt có cải thiện kết quả cho học sinh khuyết tật hay không.  </w:t>
      </w:r>
    </w:p>
    <w:p w14:paraId="341EB520" w14:textId="77777777" w:rsidR="00063ACD" w:rsidRPr="00803ACA" w:rsidRDefault="00063ACD" w:rsidP="00063ACD">
      <w:pPr>
        <w:rPr>
          <w:rFonts w:ascii="Times New Roman" w:eastAsia="Calibri" w:hAnsi="Times New Roman" w:cs="Times New Roman"/>
          <w:color w:val="222222"/>
          <w:sz w:val="24"/>
          <w:szCs w:val="24"/>
        </w:rPr>
      </w:pPr>
      <w:r w:rsidRPr="00803ACA">
        <w:rPr>
          <w:rFonts w:ascii="Times New Roman" w:hAnsi="Times New Roman" w:cs="Times New Roman"/>
          <w:color w:val="222222"/>
          <w:sz w:val="24"/>
          <w:szCs w:val="24"/>
        </w:rPr>
        <w:t>Chỉ số 14 cho biết liệu các học sinh có Chương trình giáo dục cá nhân (IEP) là đang đi học hay có việc làm sau một năm các em rời trường trung học phổ thông khi tốt nghiệp, quá 22 tuổi hoặc bỏ học.</w:t>
      </w:r>
    </w:p>
    <w:p w14:paraId="00BB43C6" w14:textId="77777777" w:rsidR="009F3900" w:rsidRPr="00803ACA" w:rsidRDefault="009F3900" w:rsidP="009F3900">
      <w:pPr>
        <w:pStyle w:val="Heading2"/>
        <w:shd w:val="clear" w:color="auto" w:fill="FFFFFF"/>
        <w:rPr>
          <w:rFonts w:ascii="Times New Roman" w:hAnsi="Times New Roman" w:cs="Times New Roman"/>
          <w:color w:val="0C7580"/>
          <w:spacing w:val="12"/>
        </w:rPr>
      </w:pPr>
      <w:r w:rsidRPr="00803ACA">
        <w:rPr>
          <w:rFonts w:ascii="Times New Roman" w:hAnsi="Times New Roman" w:cs="Times New Roman"/>
          <w:b/>
          <w:bCs/>
          <w:color w:val="0C7580"/>
        </w:rPr>
        <w:t>Tại sao Chỉ số 14 lại quan trọng?</w:t>
      </w:r>
    </w:p>
    <w:p w14:paraId="2F97EDDD" w14:textId="77777777" w:rsidR="00063ACD" w:rsidRPr="00803ACA" w:rsidRDefault="00063ACD" w:rsidP="00063ACD">
      <w:pPr>
        <w:rPr>
          <w:rFonts w:ascii="Times New Roman" w:hAnsi="Times New Roman" w:cs="Times New Roman"/>
        </w:rPr>
      </w:pPr>
      <w:r w:rsidRPr="00803ACA">
        <w:rPr>
          <w:rFonts w:ascii="Times New Roman" w:hAnsi="Times New Roman" w:cs="Times New Roman"/>
          <w:color w:val="222222"/>
          <w:sz w:val="24"/>
          <w:szCs w:val="24"/>
        </w:rPr>
        <w:t>Chỉ số 14 cho chúng ta biết về cuộc sống của học sinh có IEP sau một năm các em rời trường trung học phổ thông. Đó là cách để chúng ta biết liệu chương trình học của học sinh có chuẩn bị tốt cho cuộc sống trưởng thành của các em hay không.</w:t>
      </w:r>
    </w:p>
    <w:p w14:paraId="01CF8E54" w14:textId="77777777" w:rsidR="009F3900" w:rsidRPr="00803ACA" w:rsidRDefault="009F3900" w:rsidP="009F3900">
      <w:pPr>
        <w:pStyle w:val="Heading2"/>
        <w:shd w:val="clear" w:color="auto" w:fill="FFFFFF"/>
        <w:rPr>
          <w:rFonts w:ascii="Times New Roman" w:hAnsi="Times New Roman" w:cs="Times New Roman"/>
          <w:color w:val="0C7580"/>
          <w:spacing w:val="12"/>
        </w:rPr>
      </w:pPr>
      <w:r w:rsidRPr="00803ACA">
        <w:rPr>
          <w:rFonts w:ascii="Times New Roman" w:hAnsi="Times New Roman" w:cs="Times New Roman"/>
          <w:b/>
          <w:bCs/>
          <w:color w:val="0C7580"/>
        </w:rPr>
        <w:t>Massachusetts thu thập dữ liệu Chỉ số 14 như thế nào?</w:t>
      </w:r>
    </w:p>
    <w:p w14:paraId="273BBCCB" w14:textId="495D8287" w:rsidR="00063ACD" w:rsidRPr="00803ACA" w:rsidRDefault="00063ACD" w:rsidP="00063ACD">
      <w:pPr>
        <w:rPr>
          <w:rFonts w:ascii="Times New Roman" w:eastAsia="Calibri" w:hAnsi="Times New Roman" w:cs="Times New Roman"/>
          <w:color w:val="222222"/>
          <w:sz w:val="24"/>
          <w:szCs w:val="24"/>
        </w:rPr>
      </w:pPr>
      <w:r w:rsidRPr="00803ACA">
        <w:rPr>
          <w:rFonts w:ascii="Times New Roman" w:hAnsi="Times New Roman" w:cs="Times New Roman"/>
          <w:color w:val="222222"/>
          <w:sz w:val="24"/>
          <w:szCs w:val="24"/>
        </w:rPr>
        <w:t>Bắt đầu vào năm 2023, Massachusetts đang chuyển sang việc thu thập dữ liệu trên toàn tiểu bang. Điều này sẽ cho chúng ta cái nhìn toàn diện hơn về cuộc sống của các học sinh có IEP sau một năm các em rời trường trung học phổ thông.  Sự thay đổi này đối với việc thu thập dữ liệu trên toàn tiểu bang sẽ cải thiện khả năng của Massachusetts trong việc phân tách và phân tích dữ liệu theo cách có ý nghĩa về mặt thống kê và để so sánh tốt hơn giữa dữ liệu Chỉ số 14 với dữ liệu tốt nghiệp (Chỉ số 1) và dữ liệu bỏ học (Chỉ số 2).</w:t>
      </w:r>
    </w:p>
    <w:p w14:paraId="39C678B6" w14:textId="77777777" w:rsidR="00063ACD" w:rsidRPr="00803ACA" w:rsidRDefault="00063ACD" w:rsidP="00063ACD">
      <w:pPr>
        <w:rPr>
          <w:rFonts w:ascii="Times New Roman" w:hAnsi="Times New Roman" w:cs="Times New Roman"/>
        </w:rPr>
      </w:pPr>
      <w:r w:rsidRPr="00803ACA">
        <w:rPr>
          <w:rFonts w:ascii="Times New Roman" w:hAnsi="Times New Roman" w:cs="Times New Roman"/>
          <w:color w:val="222222"/>
          <w:sz w:val="24"/>
          <w:szCs w:val="24"/>
        </w:rPr>
        <w:t xml:space="preserve">Việc thu thập dữ liệu xảy ra vào mùa hè và đầu mùa thu. Các khu học chánh sẽ khảo sát từng học sinh cũ có IEP bằng cách sử dụng </w:t>
      </w:r>
      <w:r w:rsidRPr="00803ACA">
        <w:rPr>
          <w:rFonts w:ascii="Times New Roman" w:hAnsi="Times New Roman" w:cs="Times New Roman"/>
          <w:i/>
          <w:iCs/>
          <w:color w:val="222222"/>
          <w:sz w:val="24"/>
          <w:szCs w:val="24"/>
        </w:rPr>
        <w:t>Khảo sát sau trung học của Massachusetts</w:t>
      </w:r>
      <w:r w:rsidRPr="00803ACA">
        <w:rPr>
          <w:rFonts w:ascii="Times New Roman" w:hAnsi="Times New Roman" w:cs="Times New Roman"/>
          <w:color w:val="222222"/>
          <w:sz w:val="24"/>
          <w:szCs w:val="24"/>
        </w:rPr>
        <w:t>. Sở Giáo dục tiểu học và trung học (DESE) cung cấp khảo sát trực tuyến bằng sáu ngôn ngữ, tiếng Anh, tiếng Tây Ban Nha, tiếng Bồ Đào Nha, tiếng Trung, tiếng Haiti Creole và tiếng Việt.</w:t>
      </w:r>
    </w:p>
    <w:p w14:paraId="1A46FAB3" w14:textId="77777777" w:rsidR="009F3900" w:rsidRPr="00803ACA" w:rsidRDefault="009F3900" w:rsidP="009F3900">
      <w:pPr>
        <w:pStyle w:val="Heading2"/>
        <w:shd w:val="clear" w:color="auto" w:fill="FFFFFF"/>
        <w:rPr>
          <w:rFonts w:ascii="Times New Roman" w:hAnsi="Times New Roman" w:cs="Times New Roman"/>
          <w:color w:val="0C7580"/>
          <w:spacing w:val="12"/>
        </w:rPr>
      </w:pPr>
      <w:r w:rsidRPr="00803ACA">
        <w:rPr>
          <w:rFonts w:ascii="Times New Roman" w:hAnsi="Times New Roman" w:cs="Times New Roman"/>
          <w:b/>
          <w:bCs/>
          <w:color w:val="0C7580"/>
        </w:rPr>
        <w:t>Ba phép đo Chỉ số 14 là gì?</w:t>
      </w:r>
    </w:p>
    <w:p w14:paraId="55D145F2" w14:textId="77777777" w:rsidR="00063ACD" w:rsidRPr="00803ACA" w:rsidRDefault="00063ACD" w:rsidP="00063ACD">
      <w:pPr>
        <w:rPr>
          <w:rFonts w:ascii="Times New Roman" w:hAnsi="Times New Roman" w:cs="Times New Roman"/>
        </w:rPr>
      </w:pPr>
      <w:r w:rsidRPr="00803ACA">
        <w:rPr>
          <w:rFonts w:ascii="Times New Roman" w:hAnsi="Times New Roman" w:cs="Times New Roman"/>
          <w:color w:val="222222"/>
          <w:sz w:val="24"/>
          <w:szCs w:val="24"/>
        </w:rPr>
        <w:t>Văn phòng Chương trình Giáo dục đặc biệt Hoa Kỳ (OSEP) yêu cầu báo cáo về “phần trăm thanh thiếu niên không còn học trung học cơ sở, có IEP có hiệu lực vào thời điểm các em rời trường và trong vòng một năm sau khi rời trường trung học phổ thông là:</w:t>
      </w:r>
    </w:p>
    <w:p w14:paraId="58754036" w14:textId="77777777" w:rsidR="00063ACD" w:rsidRPr="00803ACA" w:rsidRDefault="00063ACD" w:rsidP="00063ACD">
      <w:pPr>
        <w:pStyle w:val="ListParagraph"/>
        <w:numPr>
          <w:ilvl w:val="0"/>
          <w:numId w:val="12"/>
        </w:numPr>
        <w:rPr>
          <w:rFonts w:ascii="Times New Roman" w:eastAsiaTheme="minorEastAsia" w:hAnsi="Times New Roman" w:cs="Times New Roman"/>
          <w:color w:val="212529"/>
          <w:sz w:val="24"/>
          <w:szCs w:val="24"/>
        </w:rPr>
      </w:pPr>
      <w:r w:rsidRPr="00803ACA">
        <w:rPr>
          <w:rFonts w:ascii="Times New Roman" w:hAnsi="Times New Roman" w:cs="Times New Roman"/>
          <w:color w:val="212529"/>
          <w:sz w:val="24"/>
          <w:szCs w:val="24"/>
        </w:rPr>
        <w:t>Đã vào trường đại học</w:t>
      </w:r>
    </w:p>
    <w:p w14:paraId="252D35A7" w14:textId="77777777" w:rsidR="00063ACD" w:rsidRPr="00803ACA" w:rsidRDefault="00063ACD" w:rsidP="00063ACD">
      <w:pPr>
        <w:pStyle w:val="ListParagraph"/>
        <w:numPr>
          <w:ilvl w:val="0"/>
          <w:numId w:val="12"/>
        </w:numPr>
        <w:rPr>
          <w:rFonts w:ascii="Times New Roman" w:eastAsiaTheme="minorEastAsia" w:hAnsi="Times New Roman" w:cs="Times New Roman"/>
          <w:color w:val="212529"/>
          <w:sz w:val="24"/>
          <w:szCs w:val="24"/>
        </w:rPr>
      </w:pPr>
      <w:r w:rsidRPr="00803ACA">
        <w:rPr>
          <w:rFonts w:ascii="Times New Roman" w:hAnsi="Times New Roman" w:cs="Times New Roman"/>
          <w:color w:val="212529"/>
          <w:sz w:val="24"/>
          <w:szCs w:val="24"/>
        </w:rPr>
        <w:t>Đã vào trường đại học hoặc có việc làm cạnh tranh</w:t>
      </w:r>
    </w:p>
    <w:p w14:paraId="52701FEF" w14:textId="77777777" w:rsidR="00063ACD" w:rsidRPr="00803ACA" w:rsidRDefault="00063ACD" w:rsidP="00063ACD">
      <w:pPr>
        <w:pStyle w:val="ListParagraph"/>
        <w:numPr>
          <w:ilvl w:val="0"/>
          <w:numId w:val="12"/>
        </w:numPr>
        <w:rPr>
          <w:rFonts w:ascii="Times New Roman" w:eastAsiaTheme="minorEastAsia" w:hAnsi="Times New Roman" w:cs="Times New Roman"/>
          <w:color w:val="212529"/>
          <w:sz w:val="24"/>
          <w:szCs w:val="24"/>
        </w:rPr>
      </w:pPr>
      <w:r w:rsidRPr="00803ACA">
        <w:rPr>
          <w:rFonts w:ascii="Times New Roman" w:hAnsi="Times New Roman" w:cs="Times New Roman"/>
          <w:color w:val="212529"/>
          <w:sz w:val="24"/>
          <w:szCs w:val="24"/>
        </w:rPr>
        <w:t>Đã vào trường đại học hoặc đang tham gia một số chương trình đào tạo hoặc giáo dục sau trung học khác; hoặc có việc làm cạnh tranh hay đang làm một số công việc khác”</w:t>
      </w:r>
    </w:p>
    <w:p w14:paraId="0F44892F" w14:textId="1F129676" w:rsidR="009F3900" w:rsidRPr="00803ACA" w:rsidRDefault="009F3900" w:rsidP="009F3900">
      <w:pPr>
        <w:pStyle w:val="Heading2"/>
        <w:shd w:val="clear" w:color="auto" w:fill="FFFFFF"/>
        <w:rPr>
          <w:rFonts w:ascii="Times New Roman" w:hAnsi="Times New Roman" w:cs="Times New Roman"/>
          <w:b/>
          <w:bCs/>
          <w:color w:val="0C7580"/>
          <w:spacing w:val="12"/>
        </w:rPr>
      </w:pPr>
      <w:r w:rsidRPr="00803ACA">
        <w:rPr>
          <w:rFonts w:ascii="Times New Roman" w:hAnsi="Times New Roman" w:cs="Times New Roman"/>
          <w:b/>
          <w:bCs/>
          <w:color w:val="0C7580"/>
        </w:rPr>
        <w:t>Yếu tố nào ảnh hưởng đến kết quả của Chỉ số 14?</w:t>
      </w:r>
    </w:p>
    <w:p w14:paraId="56D3263D" w14:textId="77777777" w:rsidR="00063ACD" w:rsidRPr="00803ACA" w:rsidRDefault="00063ACD" w:rsidP="00063ACD">
      <w:pPr>
        <w:pStyle w:val="ListParagraph"/>
        <w:numPr>
          <w:ilvl w:val="0"/>
          <w:numId w:val="11"/>
        </w:numPr>
        <w:rPr>
          <w:rFonts w:ascii="Times New Roman" w:eastAsiaTheme="minorEastAsia" w:hAnsi="Times New Roman" w:cs="Times New Roman"/>
          <w:color w:val="212529"/>
        </w:rPr>
      </w:pPr>
      <w:r w:rsidRPr="00803ACA">
        <w:rPr>
          <w:rFonts w:ascii="Times New Roman" w:hAnsi="Times New Roman" w:cs="Times New Roman"/>
          <w:color w:val="212529"/>
          <w:sz w:val="24"/>
          <w:szCs w:val="24"/>
        </w:rPr>
        <w:t xml:space="preserve">Đại dịch COVID-19 đã ảnh hưởng đến việc liệu các học sinh cũ có IEP có đi học và/hoặc đi làm sau trung học phổ thông hay không.  </w:t>
      </w:r>
    </w:p>
    <w:p w14:paraId="7D6EDEE1" w14:textId="77777777" w:rsidR="00063ACD" w:rsidRPr="00803ACA" w:rsidRDefault="00063ACD" w:rsidP="00063ACD">
      <w:pPr>
        <w:pStyle w:val="ListParagraph"/>
        <w:numPr>
          <w:ilvl w:val="0"/>
          <w:numId w:val="11"/>
        </w:numPr>
        <w:rPr>
          <w:rFonts w:ascii="Times New Roman" w:eastAsiaTheme="minorEastAsia" w:hAnsi="Times New Roman" w:cs="Times New Roman"/>
        </w:rPr>
      </w:pPr>
      <w:r w:rsidRPr="00803ACA">
        <w:rPr>
          <w:rFonts w:ascii="Times New Roman" w:hAnsi="Times New Roman" w:cs="Times New Roman"/>
        </w:rPr>
        <w:lastRenderedPageBreak/>
        <w:t xml:space="preserve">Nếu các nhóm có đại diện quá ít hoặc quá nhiều trong cuộc khảo sát (ví dụ: học sinh La-tinh, học sinh khuyết tật trí tuệ hoặc học sinh đã bỏ học), dữ liệu có thể cho thấy rằng các học sinh cũ có IEP có thể thực sự đang đi học hoặc đi làm nhiều hoặc ít hơn những gì khảo sát được.  </w:t>
      </w:r>
    </w:p>
    <w:p w14:paraId="21694D15" w14:textId="77777777" w:rsidR="00063ACD" w:rsidRPr="00803ACA" w:rsidRDefault="00063ACD" w:rsidP="00063ACD">
      <w:pPr>
        <w:pStyle w:val="ListParagraph"/>
        <w:numPr>
          <w:ilvl w:val="0"/>
          <w:numId w:val="11"/>
        </w:numPr>
        <w:rPr>
          <w:rFonts w:ascii="Times New Roman" w:eastAsiaTheme="minorEastAsia" w:hAnsi="Times New Roman" w:cs="Times New Roman"/>
        </w:rPr>
      </w:pPr>
      <w:r w:rsidRPr="00803ACA">
        <w:rPr>
          <w:rFonts w:ascii="Times New Roman" w:hAnsi="Times New Roman" w:cs="Times New Roman"/>
        </w:rPr>
        <w:t xml:space="preserve">Cả người phỏng vấn và học sinh cũ đều có thể bị thiên vị. </w:t>
      </w:r>
    </w:p>
    <w:p w14:paraId="5FBEF578" w14:textId="77777777" w:rsidR="00063ACD" w:rsidRPr="00803ACA" w:rsidRDefault="00063ACD" w:rsidP="00063ACD">
      <w:pPr>
        <w:pStyle w:val="ListParagraph"/>
        <w:numPr>
          <w:ilvl w:val="0"/>
          <w:numId w:val="11"/>
        </w:numPr>
        <w:rPr>
          <w:rFonts w:ascii="Times New Roman" w:eastAsiaTheme="minorEastAsia" w:hAnsi="Times New Roman" w:cs="Times New Roman"/>
        </w:rPr>
      </w:pPr>
      <w:r w:rsidRPr="00803ACA">
        <w:rPr>
          <w:rFonts w:ascii="Times New Roman" w:hAnsi="Times New Roman" w:cs="Times New Roman"/>
        </w:rPr>
        <w:t>Dựa trên quy mô của nhóm tham gia khảo sát cho các Phép đo A, B và C, sẽ có sai số xấp xỉ cộng hoặc trừ ba phần trăm.</w:t>
      </w:r>
    </w:p>
    <w:p w14:paraId="3BDBEA70" w14:textId="77777777" w:rsidR="00063ACD" w:rsidRPr="00803ACA" w:rsidRDefault="00063ACD" w:rsidP="009F3900">
      <w:pPr>
        <w:spacing w:after="0" w:line="276" w:lineRule="auto"/>
        <w:rPr>
          <w:rFonts w:ascii="Times New Roman" w:hAnsi="Times New Roman" w:cs="Times New Roman"/>
          <w:b/>
          <w:bCs/>
          <w:color w:val="2E74B5" w:themeColor="accent5" w:themeShade="BF"/>
          <w:sz w:val="26"/>
          <w:szCs w:val="26"/>
        </w:rPr>
      </w:pPr>
      <w:r w:rsidRPr="00803ACA">
        <w:rPr>
          <w:rFonts w:ascii="Times New Roman" w:hAnsi="Times New Roman" w:cs="Times New Roman"/>
          <w:b/>
          <w:bCs/>
          <w:color w:val="2E74B5" w:themeColor="accent5" w:themeShade="BF"/>
          <w:sz w:val="26"/>
          <w:szCs w:val="26"/>
        </w:rPr>
        <w:t xml:space="preserve">Kết quả trước đây của Chỉ số 14 </w:t>
      </w:r>
    </w:p>
    <w:p w14:paraId="7EBDAF76" w14:textId="77777777" w:rsidR="00063ACD" w:rsidRPr="00803ACA" w:rsidRDefault="00063ACD" w:rsidP="00063ACD">
      <w:pPr>
        <w:spacing w:line="276" w:lineRule="auto"/>
        <w:rPr>
          <w:rFonts w:ascii="Times New Roman" w:hAnsi="Times New Roman" w:cs="Times New Roman"/>
          <w:sz w:val="24"/>
          <w:szCs w:val="24"/>
        </w:rPr>
      </w:pPr>
      <w:r w:rsidRPr="00803ACA">
        <w:rPr>
          <w:rFonts w:ascii="Times New Roman" w:hAnsi="Times New Roman" w:cs="Times New Roman"/>
          <w:sz w:val="24"/>
          <w:szCs w:val="24"/>
        </w:rPr>
        <w:t xml:space="preserve">Bảng dưới đây bao gồm dữ liệu trong 4 năm như được nêu trong báo cáo APR FFY 2020 của MA đã được gửi tới OSEP vào đầu tháng 2 năm 2022. </w:t>
      </w:r>
    </w:p>
    <w:tbl>
      <w:tblPr>
        <w:tblStyle w:val="TableGrid"/>
        <w:tblW w:w="10350" w:type="dxa"/>
        <w:tblInd w:w="-105" w:type="dxa"/>
        <w:tblLayout w:type="fixed"/>
        <w:tblLook w:val="04A0" w:firstRow="1" w:lastRow="0" w:firstColumn="1" w:lastColumn="0" w:noHBand="0" w:noVBand="1"/>
      </w:tblPr>
      <w:tblGrid>
        <w:gridCol w:w="1170"/>
        <w:gridCol w:w="900"/>
        <w:gridCol w:w="1260"/>
        <w:gridCol w:w="900"/>
        <w:gridCol w:w="900"/>
        <w:gridCol w:w="1260"/>
        <w:gridCol w:w="900"/>
        <w:gridCol w:w="900"/>
        <w:gridCol w:w="1260"/>
        <w:gridCol w:w="900"/>
      </w:tblGrid>
      <w:tr w:rsidR="00063ACD" w:rsidRPr="00803ACA" w14:paraId="5CD49253" w14:textId="77777777" w:rsidTr="000F6BF8">
        <w:tc>
          <w:tcPr>
            <w:tcW w:w="1170" w:type="dxa"/>
            <w:tcBorders>
              <w:top w:val="single" w:sz="12" w:space="0" w:color="auto"/>
              <w:left w:val="single" w:sz="12" w:space="0" w:color="auto"/>
              <w:bottom w:val="nil"/>
              <w:right w:val="single" w:sz="12" w:space="0" w:color="auto"/>
            </w:tcBorders>
          </w:tcPr>
          <w:p w14:paraId="4E014DD5" w14:textId="77777777" w:rsidR="00063ACD" w:rsidRPr="00803ACA" w:rsidRDefault="00063ACD" w:rsidP="00776391">
            <w:pPr>
              <w:rPr>
                <w:rFonts w:ascii="Times New Roman" w:hAnsi="Times New Roman" w:cs="Times New Roman"/>
              </w:rPr>
            </w:pPr>
          </w:p>
        </w:tc>
        <w:tc>
          <w:tcPr>
            <w:tcW w:w="3060" w:type="dxa"/>
            <w:gridSpan w:val="3"/>
            <w:tcBorders>
              <w:top w:val="single" w:sz="12" w:space="0" w:color="auto"/>
              <w:left w:val="single" w:sz="12" w:space="0" w:color="auto"/>
              <w:bottom w:val="single" w:sz="8" w:space="0" w:color="auto"/>
              <w:right w:val="single" w:sz="12" w:space="0" w:color="auto"/>
            </w:tcBorders>
            <w:vAlign w:val="center"/>
          </w:tcPr>
          <w:p w14:paraId="2313C9E9" w14:textId="77777777" w:rsidR="00063ACD" w:rsidRPr="00803ACA" w:rsidRDefault="00063ACD" w:rsidP="00776391">
            <w:pPr>
              <w:jc w:val="center"/>
              <w:rPr>
                <w:rFonts w:ascii="Times New Roman" w:hAnsi="Times New Roman" w:cs="Times New Roman"/>
              </w:rPr>
            </w:pPr>
            <w:r w:rsidRPr="00803ACA">
              <w:rPr>
                <w:rFonts w:ascii="Times New Roman" w:hAnsi="Times New Roman" w:cs="Times New Roman"/>
              </w:rPr>
              <w:t>Phép đo A</w:t>
            </w:r>
          </w:p>
        </w:tc>
        <w:tc>
          <w:tcPr>
            <w:tcW w:w="3060" w:type="dxa"/>
            <w:gridSpan w:val="3"/>
            <w:tcBorders>
              <w:top w:val="single" w:sz="12" w:space="0" w:color="auto"/>
              <w:left w:val="single" w:sz="12" w:space="0" w:color="auto"/>
              <w:right w:val="single" w:sz="12" w:space="0" w:color="auto"/>
            </w:tcBorders>
            <w:vAlign w:val="center"/>
          </w:tcPr>
          <w:p w14:paraId="4935A7D7" w14:textId="77777777" w:rsidR="00063ACD" w:rsidRPr="00803ACA" w:rsidRDefault="00063ACD" w:rsidP="00776391">
            <w:pPr>
              <w:jc w:val="center"/>
              <w:rPr>
                <w:rFonts w:ascii="Times New Roman" w:hAnsi="Times New Roman" w:cs="Times New Roman"/>
              </w:rPr>
            </w:pPr>
            <w:r w:rsidRPr="00803ACA">
              <w:rPr>
                <w:rFonts w:ascii="Times New Roman" w:hAnsi="Times New Roman" w:cs="Times New Roman"/>
              </w:rPr>
              <w:t>Phép đo B</w:t>
            </w:r>
          </w:p>
        </w:tc>
        <w:tc>
          <w:tcPr>
            <w:tcW w:w="3060" w:type="dxa"/>
            <w:gridSpan w:val="3"/>
            <w:tcBorders>
              <w:top w:val="single" w:sz="12" w:space="0" w:color="auto"/>
              <w:left w:val="single" w:sz="12" w:space="0" w:color="auto"/>
              <w:right w:val="single" w:sz="12" w:space="0" w:color="auto"/>
            </w:tcBorders>
            <w:vAlign w:val="center"/>
          </w:tcPr>
          <w:p w14:paraId="2A74C5CA" w14:textId="77777777" w:rsidR="00063ACD" w:rsidRPr="00803ACA" w:rsidRDefault="00063ACD" w:rsidP="00776391">
            <w:pPr>
              <w:jc w:val="center"/>
              <w:rPr>
                <w:rFonts w:ascii="Times New Roman" w:hAnsi="Times New Roman" w:cs="Times New Roman"/>
              </w:rPr>
            </w:pPr>
            <w:r w:rsidRPr="00803ACA">
              <w:rPr>
                <w:rFonts w:ascii="Times New Roman" w:hAnsi="Times New Roman" w:cs="Times New Roman"/>
              </w:rPr>
              <w:t>Phép đo C</w:t>
            </w:r>
          </w:p>
        </w:tc>
      </w:tr>
      <w:tr w:rsidR="00BE68DF" w:rsidRPr="00803ACA" w14:paraId="33A525EC" w14:textId="77777777" w:rsidTr="000F6BF8">
        <w:trPr>
          <w:trHeight w:val="553"/>
        </w:trPr>
        <w:tc>
          <w:tcPr>
            <w:tcW w:w="1170" w:type="dxa"/>
            <w:tcBorders>
              <w:top w:val="nil"/>
              <w:left w:val="single" w:sz="12" w:space="0" w:color="auto"/>
              <w:right w:val="single" w:sz="12" w:space="0" w:color="auto"/>
            </w:tcBorders>
            <w:hideMark/>
          </w:tcPr>
          <w:p w14:paraId="61FE5FFA" w14:textId="77777777" w:rsidR="00063ACD" w:rsidRPr="00803ACA" w:rsidRDefault="00063ACD" w:rsidP="00776391">
            <w:pPr>
              <w:rPr>
                <w:rFonts w:ascii="Times New Roman" w:hAnsi="Times New Roman" w:cs="Times New Roman"/>
                <w:b/>
                <w:bCs/>
              </w:rPr>
            </w:pPr>
            <w:r w:rsidRPr="00803ACA">
              <w:rPr>
                <w:rFonts w:ascii="Times New Roman" w:hAnsi="Times New Roman" w:cs="Times New Roman"/>
                <w:b/>
                <w:bCs/>
                <w:sz w:val="24"/>
                <w:szCs w:val="24"/>
              </w:rPr>
              <w:t>Dữ liệu xu hướng</w:t>
            </w:r>
          </w:p>
        </w:tc>
        <w:tc>
          <w:tcPr>
            <w:tcW w:w="900" w:type="dxa"/>
            <w:tcBorders>
              <w:top w:val="single" w:sz="8" w:space="0" w:color="auto"/>
              <w:left w:val="single" w:sz="12" w:space="0" w:color="auto"/>
              <w:bottom w:val="single" w:sz="8" w:space="0" w:color="auto"/>
              <w:right w:val="single" w:sz="8" w:space="0" w:color="auto"/>
            </w:tcBorders>
            <w:hideMark/>
          </w:tcPr>
          <w:p w14:paraId="76B4F440"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Dữ liệu</w:t>
            </w:r>
          </w:p>
        </w:tc>
        <w:tc>
          <w:tcPr>
            <w:tcW w:w="1260" w:type="dxa"/>
            <w:tcBorders>
              <w:top w:val="single" w:sz="8" w:space="0" w:color="auto"/>
              <w:left w:val="single" w:sz="8" w:space="0" w:color="auto"/>
              <w:bottom w:val="single" w:sz="8" w:space="0" w:color="auto"/>
              <w:right w:val="single" w:sz="8" w:space="0" w:color="auto"/>
            </w:tcBorders>
            <w:hideMark/>
          </w:tcPr>
          <w:p w14:paraId="170B33D0"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Khoảng tin cậy</w:t>
            </w:r>
          </w:p>
        </w:tc>
        <w:tc>
          <w:tcPr>
            <w:tcW w:w="900" w:type="dxa"/>
            <w:tcBorders>
              <w:top w:val="single" w:sz="8" w:space="0" w:color="auto"/>
              <w:left w:val="single" w:sz="8" w:space="0" w:color="auto"/>
              <w:bottom w:val="single" w:sz="8" w:space="0" w:color="auto"/>
              <w:right w:val="single" w:sz="12" w:space="0" w:color="auto"/>
            </w:tcBorders>
            <w:hideMark/>
          </w:tcPr>
          <w:p w14:paraId="23CF7015"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Mục tiêu</w:t>
            </w:r>
          </w:p>
        </w:tc>
        <w:tc>
          <w:tcPr>
            <w:tcW w:w="900" w:type="dxa"/>
            <w:tcBorders>
              <w:left w:val="single" w:sz="12" w:space="0" w:color="auto"/>
            </w:tcBorders>
            <w:hideMark/>
          </w:tcPr>
          <w:p w14:paraId="680B8DF9"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Dữ liệu</w:t>
            </w:r>
          </w:p>
        </w:tc>
        <w:tc>
          <w:tcPr>
            <w:tcW w:w="1260" w:type="dxa"/>
            <w:hideMark/>
          </w:tcPr>
          <w:p w14:paraId="1E527A14"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Khoảng tin cậy</w:t>
            </w:r>
          </w:p>
        </w:tc>
        <w:tc>
          <w:tcPr>
            <w:tcW w:w="900" w:type="dxa"/>
            <w:tcBorders>
              <w:right w:val="single" w:sz="12" w:space="0" w:color="auto"/>
            </w:tcBorders>
            <w:hideMark/>
          </w:tcPr>
          <w:p w14:paraId="5D2204F7"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Mục tiêu</w:t>
            </w:r>
          </w:p>
        </w:tc>
        <w:tc>
          <w:tcPr>
            <w:tcW w:w="900" w:type="dxa"/>
            <w:tcBorders>
              <w:left w:val="single" w:sz="12" w:space="0" w:color="auto"/>
            </w:tcBorders>
            <w:hideMark/>
          </w:tcPr>
          <w:p w14:paraId="7D255E4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Dữ liệu</w:t>
            </w:r>
          </w:p>
        </w:tc>
        <w:tc>
          <w:tcPr>
            <w:tcW w:w="1260" w:type="dxa"/>
            <w:hideMark/>
          </w:tcPr>
          <w:p w14:paraId="1D9FC9BA"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Khoảng tin cậy</w:t>
            </w:r>
          </w:p>
        </w:tc>
        <w:tc>
          <w:tcPr>
            <w:tcW w:w="900" w:type="dxa"/>
            <w:tcBorders>
              <w:right w:val="single" w:sz="12" w:space="0" w:color="auto"/>
            </w:tcBorders>
            <w:hideMark/>
          </w:tcPr>
          <w:p w14:paraId="160AB3EC"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Mục tiêu</w:t>
            </w:r>
          </w:p>
        </w:tc>
      </w:tr>
      <w:tr w:rsidR="00BE68DF" w:rsidRPr="00803ACA" w14:paraId="13219050" w14:textId="77777777" w:rsidTr="000F6BF8">
        <w:tc>
          <w:tcPr>
            <w:tcW w:w="1170" w:type="dxa"/>
            <w:tcBorders>
              <w:left w:val="single" w:sz="12" w:space="0" w:color="auto"/>
              <w:right w:val="single" w:sz="12" w:space="0" w:color="auto"/>
            </w:tcBorders>
          </w:tcPr>
          <w:p w14:paraId="61ACA99F" w14:textId="447F6EE6" w:rsidR="00063ACD" w:rsidRPr="00803ACA" w:rsidRDefault="00063ACD" w:rsidP="00776391">
            <w:pPr>
              <w:rPr>
                <w:rFonts w:ascii="Times New Roman" w:hAnsi="Times New Roman" w:cs="Times New Roman"/>
              </w:rPr>
            </w:pPr>
            <w:r w:rsidRPr="00803ACA">
              <w:rPr>
                <w:rFonts w:ascii="Times New Roman" w:hAnsi="Times New Roman" w:cs="Times New Roman"/>
              </w:rPr>
              <w:t>FFY2017 *</w:t>
            </w:r>
          </w:p>
        </w:tc>
        <w:tc>
          <w:tcPr>
            <w:tcW w:w="900" w:type="dxa"/>
            <w:tcBorders>
              <w:top w:val="single" w:sz="8" w:space="0" w:color="auto"/>
              <w:left w:val="single" w:sz="12" w:space="0" w:color="auto"/>
              <w:bottom w:val="single" w:sz="8" w:space="0" w:color="auto"/>
              <w:right w:val="single" w:sz="8" w:space="0" w:color="auto"/>
            </w:tcBorders>
          </w:tcPr>
          <w:p w14:paraId="37F41F44"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50,00%</w:t>
            </w:r>
          </w:p>
        </w:tc>
        <w:tc>
          <w:tcPr>
            <w:tcW w:w="1260" w:type="dxa"/>
            <w:tcBorders>
              <w:top w:val="single" w:sz="8" w:space="0" w:color="auto"/>
              <w:left w:val="single" w:sz="8" w:space="0" w:color="auto"/>
              <w:bottom w:val="single" w:sz="8" w:space="0" w:color="auto"/>
              <w:right w:val="single" w:sz="8" w:space="0" w:color="auto"/>
            </w:tcBorders>
          </w:tcPr>
          <w:p w14:paraId="2B6039C3"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+- 3,59%</w:t>
            </w:r>
          </w:p>
        </w:tc>
        <w:tc>
          <w:tcPr>
            <w:tcW w:w="900" w:type="dxa"/>
            <w:tcBorders>
              <w:top w:val="single" w:sz="8" w:space="0" w:color="auto"/>
              <w:left w:val="single" w:sz="8" w:space="0" w:color="auto"/>
              <w:bottom w:val="single" w:sz="8" w:space="0" w:color="auto"/>
              <w:right w:val="single" w:sz="12" w:space="0" w:color="auto"/>
            </w:tcBorders>
          </w:tcPr>
          <w:p w14:paraId="2594C150"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53,00%</w:t>
            </w:r>
          </w:p>
        </w:tc>
        <w:tc>
          <w:tcPr>
            <w:tcW w:w="900" w:type="dxa"/>
            <w:tcBorders>
              <w:left w:val="single" w:sz="12" w:space="0" w:color="auto"/>
            </w:tcBorders>
          </w:tcPr>
          <w:p w14:paraId="56C8DAE0"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79,37%</w:t>
            </w:r>
          </w:p>
        </w:tc>
        <w:tc>
          <w:tcPr>
            <w:tcW w:w="1260" w:type="dxa"/>
          </w:tcPr>
          <w:p w14:paraId="7281A1C8"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+- 2,82%</w:t>
            </w:r>
          </w:p>
        </w:tc>
        <w:tc>
          <w:tcPr>
            <w:tcW w:w="900" w:type="dxa"/>
            <w:tcBorders>
              <w:right w:val="single" w:sz="12" w:space="0" w:color="auto"/>
            </w:tcBorders>
          </w:tcPr>
          <w:p w14:paraId="722870C3"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88,00%</w:t>
            </w:r>
          </w:p>
        </w:tc>
        <w:tc>
          <w:tcPr>
            <w:tcW w:w="900" w:type="dxa"/>
            <w:tcBorders>
              <w:left w:val="single" w:sz="12" w:space="0" w:color="auto"/>
            </w:tcBorders>
          </w:tcPr>
          <w:p w14:paraId="147AD377"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87,09%</w:t>
            </w:r>
          </w:p>
        </w:tc>
        <w:tc>
          <w:tcPr>
            <w:tcW w:w="1260" w:type="dxa"/>
          </w:tcPr>
          <w:p w14:paraId="470F41FD"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+- 2,34%</w:t>
            </w:r>
          </w:p>
        </w:tc>
        <w:tc>
          <w:tcPr>
            <w:tcW w:w="900" w:type="dxa"/>
            <w:tcBorders>
              <w:right w:val="single" w:sz="12" w:space="0" w:color="auto"/>
            </w:tcBorders>
          </w:tcPr>
          <w:p w14:paraId="2F6364DF"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95,00%</w:t>
            </w:r>
          </w:p>
        </w:tc>
      </w:tr>
      <w:tr w:rsidR="00BE68DF" w:rsidRPr="00803ACA" w14:paraId="7109C2B0" w14:textId="77777777" w:rsidTr="000F6BF8">
        <w:trPr>
          <w:trHeight w:val="386"/>
        </w:trPr>
        <w:tc>
          <w:tcPr>
            <w:tcW w:w="1170" w:type="dxa"/>
            <w:tcBorders>
              <w:left w:val="single" w:sz="12" w:space="0" w:color="auto"/>
              <w:right w:val="single" w:sz="12" w:space="0" w:color="auto"/>
            </w:tcBorders>
            <w:hideMark/>
          </w:tcPr>
          <w:p w14:paraId="09AA039D"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FFY2018</w:t>
            </w:r>
          </w:p>
        </w:tc>
        <w:tc>
          <w:tcPr>
            <w:tcW w:w="900" w:type="dxa"/>
            <w:tcBorders>
              <w:top w:val="single" w:sz="8" w:space="0" w:color="auto"/>
              <w:left w:val="single" w:sz="12" w:space="0" w:color="auto"/>
              <w:bottom w:val="single" w:sz="8" w:space="0" w:color="auto"/>
              <w:right w:val="single" w:sz="8" w:space="0" w:color="auto"/>
            </w:tcBorders>
            <w:hideMark/>
          </w:tcPr>
          <w:p w14:paraId="5A595A80"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41,18%</w:t>
            </w:r>
          </w:p>
        </w:tc>
        <w:tc>
          <w:tcPr>
            <w:tcW w:w="1260" w:type="dxa"/>
            <w:tcBorders>
              <w:top w:val="single" w:sz="8" w:space="0" w:color="auto"/>
              <w:left w:val="single" w:sz="8" w:space="0" w:color="auto"/>
              <w:bottom w:val="single" w:sz="8" w:space="0" w:color="auto"/>
              <w:right w:val="single" w:sz="8" w:space="0" w:color="auto"/>
            </w:tcBorders>
            <w:hideMark/>
          </w:tcPr>
          <w:p w14:paraId="30F1D0B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+- 3,02%</w:t>
            </w:r>
          </w:p>
        </w:tc>
        <w:tc>
          <w:tcPr>
            <w:tcW w:w="900" w:type="dxa"/>
            <w:tcBorders>
              <w:top w:val="single" w:sz="8" w:space="0" w:color="auto"/>
              <w:left w:val="single" w:sz="8" w:space="0" w:color="auto"/>
              <w:bottom w:val="single" w:sz="8" w:space="0" w:color="auto"/>
              <w:right w:val="single" w:sz="12" w:space="0" w:color="auto"/>
            </w:tcBorders>
            <w:hideMark/>
          </w:tcPr>
          <w:p w14:paraId="47E1E69C"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50,20%</w:t>
            </w:r>
          </w:p>
        </w:tc>
        <w:tc>
          <w:tcPr>
            <w:tcW w:w="900" w:type="dxa"/>
            <w:tcBorders>
              <w:left w:val="single" w:sz="12" w:space="0" w:color="auto"/>
            </w:tcBorders>
            <w:hideMark/>
          </w:tcPr>
          <w:p w14:paraId="4058C37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70,88%</w:t>
            </w:r>
          </w:p>
        </w:tc>
        <w:tc>
          <w:tcPr>
            <w:tcW w:w="1260" w:type="dxa"/>
            <w:hideMark/>
          </w:tcPr>
          <w:p w14:paraId="285083E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+- 2,79%</w:t>
            </w:r>
          </w:p>
        </w:tc>
        <w:tc>
          <w:tcPr>
            <w:tcW w:w="900" w:type="dxa"/>
            <w:tcBorders>
              <w:right w:val="single" w:sz="12" w:space="0" w:color="auto"/>
            </w:tcBorders>
            <w:hideMark/>
          </w:tcPr>
          <w:p w14:paraId="33E1FC0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79,60%</w:t>
            </w:r>
          </w:p>
        </w:tc>
        <w:tc>
          <w:tcPr>
            <w:tcW w:w="900" w:type="dxa"/>
            <w:tcBorders>
              <w:left w:val="single" w:sz="12" w:space="0" w:color="auto"/>
            </w:tcBorders>
            <w:hideMark/>
          </w:tcPr>
          <w:p w14:paraId="7F8F8092"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79,02%</w:t>
            </w:r>
          </w:p>
        </w:tc>
        <w:tc>
          <w:tcPr>
            <w:tcW w:w="1260" w:type="dxa"/>
            <w:hideMark/>
          </w:tcPr>
          <w:p w14:paraId="3F4458ED"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+- 2,05%</w:t>
            </w:r>
          </w:p>
        </w:tc>
        <w:tc>
          <w:tcPr>
            <w:tcW w:w="900" w:type="dxa"/>
            <w:tcBorders>
              <w:right w:val="single" w:sz="12" w:space="0" w:color="auto"/>
            </w:tcBorders>
            <w:hideMark/>
          </w:tcPr>
          <w:p w14:paraId="3C14478D"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87,30%</w:t>
            </w:r>
          </w:p>
        </w:tc>
      </w:tr>
      <w:tr w:rsidR="00BE68DF" w:rsidRPr="00803ACA" w14:paraId="608ACEE6" w14:textId="77777777" w:rsidTr="000F6BF8">
        <w:trPr>
          <w:trHeight w:val="341"/>
        </w:trPr>
        <w:tc>
          <w:tcPr>
            <w:tcW w:w="1170" w:type="dxa"/>
            <w:tcBorders>
              <w:left w:val="single" w:sz="12" w:space="0" w:color="auto"/>
              <w:right w:val="single" w:sz="12" w:space="0" w:color="auto"/>
            </w:tcBorders>
            <w:hideMark/>
          </w:tcPr>
          <w:p w14:paraId="1E7ECB4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FFY2019</w:t>
            </w:r>
          </w:p>
        </w:tc>
        <w:tc>
          <w:tcPr>
            <w:tcW w:w="900" w:type="dxa"/>
            <w:tcBorders>
              <w:top w:val="single" w:sz="8" w:space="0" w:color="auto"/>
              <w:left w:val="single" w:sz="12" w:space="0" w:color="auto"/>
              <w:bottom w:val="single" w:sz="8" w:space="0" w:color="auto"/>
              <w:right w:val="single" w:sz="8" w:space="0" w:color="auto"/>
            </w:tcBorders>
            <w:hideMark/>
          </w:tcPr>
          <w:p w14:paraId="014A4270"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34,79%</w:t>
            </w:r>
          </w:p>
        </w:tc>
        <w:tc>
          <w:tcPr>
            <w:tcW w:w="1260" w:type="dxa"/>
            <w:tcBorders>
              <w:top w:val="single" w:sz="8" w:space="0" w:color="auto"/>
              <w:left w:val="single" w:sz="8" w:space="0" w:color="auto"/>
              <w:bottom w:val="single" w:sz="8" w:space="0" w:color="auto"/>
              <w:right w:val="single" w:sz="8" w:space="0" w:color="auto"/>
            </w:tcBorders>
            <w:hideMark/>
          </w:tcPr>
          <w:p w14:paraId="18E360A9"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xml:space="preserve">+-2,16% </w:t>
            </w:r>
          </w:p>
        </w:tc>
        <w:tc>
          <w:tcPr>
            <w:tcW w:w="900" w:type="dxa"/>
            <w:tcBorders>
              <w:top w:val="single" w:sz="8" w:space="0" w:color="auto"/>
              <w:left w:val="single" w:sz="8" w:space="0" w:color="auto"/>
              <w:bottom w:val="single" w:sz="8" w:space="0" w:color="auto"/>
              <w:right w:val="single" w:sz="12" w:space="0" w:color="auto"/>
            </w:tcBorders>
            <w:hideMark/>
          </w:tcPr>
          <w:p w14:paraId="6600000C"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50,40%</w:t>
            </w:r>
          </w:p>
        </w:tc>
        <w:tc>
          <w:tcPr>
            <w:tcW w:w="900" w:type="dxa"/>
            <w:tcBorders>
              <w:left w:val="single" w:sz="12" w:space="0" w:color="auto"/>
            </w:tcBorders>
            <w:hideMark/>
          </w:tcPr>
          <w:p w14:paraId="290EAABC"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56,55%</w:t>
            </w:r>
          </w:p>
        </w:tc>
        <w:tc>
          <w:tcPr>
            <w:tcW w:w="1260" w:type="dxa"/>
            <w:hideMark/>
          </w:tcPr>
          <w:p w14:paraId="32B8AC57"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+- 2,76%</w:t>
            </w:r>
          </w:p>
        </w:tc>
        <w:tc>
          <w:tcPr>
            <w:tcW w:w="900" w:type="dxa"/>
            <w:tcBorders>
              <w:right w:val="single" w:sz="12" w:space="0" w:color="auto"/>
            </w:tcBorders>
            <w:hideMark/>
          </w:tcPr>
          <w:p w14:paraId="71B8485D"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79,80%</w:t>
            </w:r>
          </w:p>
        </w:tc>
        <w:tc>
          <w:tcPr>
            <w:tcW w:w="900" w:type="dxa"/>
            <w:tcBorders>
              <w:left w:val="single" w:sz="12" w:space="0" w:color="auto"/>
            </w:tcBorders>
            <w:hideMark/>
          </w:tcPr>
          <w:p w14:paraId="45BD11EB"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62,35%</w:t>
            </w:r>
          </w:p>
        </w:tc>
        <w:tc>
          <w:tcPr>
            <w:tcW w:w="1260" w:type="dxa"/>
            <w:hideMark/>
          </w:tcPr>
          <w:p w14:paraId="01654136"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+- 2,90%</w:t>
            </w:r>
          </w:p>
        </w:tc>
        <w:tc>
          <w:tcPr>
            <w:tcW w:w="900" w:type="dxa"/>
            <w:tcBorders>
              <w:right w:val="single" w:sz="12" w:space="0" w:color="auto"/>
            </w:tcBorders>
            <w:hideMark/>
          </w:tcPr>
          <w:p w14:paraId="24836A1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87,50%</w:t>
            </w:r>
          </w:p>
        </w:tc>
      </w:tr>
      <w:tr w:rsidR="00BE68DF" w:rsidRPr="00803ACA" w14:paraId="1E475CD3" w14:textId="77777777" w:rsidTr="000F6BF8">
        <w:trPr>
          <w:trHeight w:val="449"/>
        </w:trPr>
        <w:tc>
          <w:tcPr>
            <w:tcW w:w="1170" w:type="dxa"/>
            <w:tcBorders>
              <w:left w:val="single" w:sz="12" w:space="0" w:color="auto"/>
              <w:bottom w:val="single" w:sz="12" w:space="0" w:color="auto"/>
              <w:right w:val="single" w:sz="12" w:space="0" w:color="auto"/>
            </w:tcBorders>
            <w:hideMark/>
          </w:tcPr>
          <w:p w14:paraId="48303644"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FFY2020</w:t>
            </w:r>
          </w:p>
        </w:tc>
        <w:tc>
          <w:tcPr>
            <w:tcW w:w="900" w:type="dxa"/>
            <w:tcBorders>
              <w:top w:val="single" w:sz="8" w:space="0" w:color="auto"/>
              <w:left w:val="single" w:sz="12" w:space="0" w:color="auto"/>
              <w:bottom w:val="single" w:sz="12" w:space="0" w:color="auto"/>
              <w:right w:val="single" w:sz="8" w:space="0" w:color="auto"/>
            </w:tcBorders>
            <w:hideMark/>
          </w:tcPr>
          <w:p w14:paraId="7C9EB5A7"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39,91%</w:t>
            </w:r>
          </w:p>
        </w:tc>
        <w:tc>
          <w:tcPr>
            <w:tcW w:w="1260" w:type="dxa"/>
            <w:tcBorders>
              <w:top w:val="single" w:sz="8" w:space="0" w:color="auto"/>
              <w:left w:val="single" w:sz="8" w:space="0" w:color="auto"/>
              <w:bottom w:val="single" w:sz="12" w:space="0" w:color="auto"/>
              <w:right w:val="single" w:sz="8" w:space="0" w:color="auto"/>
            </w:tcBorders>
            <w:hideMark/>
          </w:tcPr>
          <w:p w14:paraId="6FABB789"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+-2,48%</w:t>
            </w:r>
          </w:p>
        </w:tc>
        <w:tc>
          <w:tcPr>
            <w:tcW w:w="900" w:type="dxa"/>
            <w:tcBorders>
              <w:top w:val="single" w:sz="8" w:space="0" w:color="auto"/>
              <w:left w:val="single" w:sz="8" w:space="0" w:color="auto"/>
              <w:bottom w:val="single" w:sz="12" w:space="0" w:color="auto"/>
              <w:right w:val="single" w:sz="12" w:space="0" w:color="auto"/>
            </w:tcBorders>
            <w:hideMark/>
          </w:tcPr>
          <w:p w14:paraId="29ACE3F4"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40,00%</w:t>
            </w:r>
          </w:p>
        </w:tc>
        <w:tc>
          <w:tcPr>
            <w:tcW w:w="900" w:type="dxa"/>
            <w:tcBorders>
              <w:left w:val="single" w:sz="12" w:space="0" w:color="auto"/>
              <w:bottom w:val="single" w:sz="12" w:space="0" w:color="auto"/>
            </w:tcBorders>
            <w:hideMark/>
          </w:tcPr>
          <w:p w14:paraId="68B1D1BE"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72,26%</w:t>
            </w:r>
          </w:p>
        </w:tc>
        <w:tc>
          <w:tcPr>
            <w:tcW w:w="1260" w:type="dxa"/>
            <w:tcBorders>
              <w:bottom w:val="single" w:sz="12" w:space="0" w:color="auto"/>
            </w:tcBorders>
            <w:hideMark/>
          </w:tcPr>
          <w:p w14:paraId="08C85884"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+-4,51%</w:t>
            </w:r>
          </w:p>
        </w:tc>
        <w:tc>
          <w:tcPr>
            <w:tcW w:w="900" w:type="dxa"/>
            <w:tcBorders>
              <w:bottom w:val="single" w:sz="12" w:space="0" w:color="auto"/>
              <w:right w:val="single" w:sz="12" w:space="0" w:color="auto"/>
            </w:tcBorders>
            <w:hideMark/>
          </w:tcPr>
          <w:p w14:paraId="08F8886A"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73,00%</w:t>
            </w:r>
          </w:p>
        </w:tc>
        <w:tc>
          <w:tcPr>
            <w:tcW w:w="900" w:type="dxa"/>
            <w:tcBorders>
              <w:left w:val="single" w:sz="12" w:space="0" w:color="auto"/>
              <w:bottom w:val="single" w:sz="12" w:space="0" w:color="auto"/>
            </w:tcBorders>
            <w:hideMark/>
          </w:tcPr>
          <w:p w14:paraId="4195F06C"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78,68%</w:t>
            </w:r>
          </w:p>
        </w:tc>
        <w:tc>
          <w:tcPr>
            <w:tcW w:w="1260" w:type="dxa"/>
            <w:tcBorders>
              <w:bottom w:val="single" w:sz="12" w:space="0" w:color="auto"/>
            </w:tcBorders>
            <w:hideMark/>
          </w:tcPr>
          <w:p w14:paraId="303535A1"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+-4,90%</w:t>
            </w:r>
          </w:p>
        </w:tc>
        <w:tc>
          <w:tcPr>
            <w:tcW w:w="900" w:type="dxa"/>
            <w:tcBorders>
              <w:bottom w:val="single" w:sz="12" w:space="0" w:color="auto"/>
              <w:right w:val="single" w:sz="12" w:space="0" w:color="auto"/>
            </w:tcBorders>
            <w:hideMark/>
          </w:tcPr>
          <w:p w14:paraId="04572587" w14:textId="77777777" w:rsidR="00063ACD" w:rsidRPr="00803ACA" w:rsidRDefault="00063ACD" w:rsidP="00776391">
            <w:pPr>
              <w:rPr>
                <w:rFonts w:ascii="Times New Roman" w:hAnsi="Times New Roman" w:cs="Times New Roman"/>
              </w:rPr>
            </w:pPr>
            <w:r w:rsidRPr="00803ACA">
              <w:rPr>
                <w:rFonts w:ascii="Times New Roman" w:hAnsi="Times New Roman" w:cs="Times New Roman"/>
              </w:rPr>
              <w:t>79,00%</w:t>
            </w:r>
          </w:p>
        </w:tc>
      </w:tr>
    </w:tbl>
    <w:p w14:paraId="32C0C7A5" w14:textId="717273C6" w:rsidR="00063ACD" w:rsidRPr="00803ACA" w:rsidRDefault="00774EEB" w:rsidP="00774EEB">
      <w:pPr>
        <w:pStyle w:val="ListParagraph"/>
        <w:spacing w:line="276" w:lineRule="auto"/>
        <w:rPr>
          <w:rFonts w:ascii="Times New Roman" w:hAnsi="Times New Roman" w:cs="Times New Roman"/>
        </w:rPr>
      </w:pPr>
      <w:r w:rsidRPr="00803ACA">
        <w:rPr>
          <w:rFonts w:ascii="Times New Roman" w:hAnsi="Times New Roman" w:cs="Times New Roman"/>
        </w:rPr>
        <w:t>*Năm cơ sở mới</w:t>
      </w:r>
    </w:p>
    <w:p w14:paraId="28B7D93D" w14:textId="77777777" w:rsidR="00063ACD" w:rsidRPr="00803ACA" w:rsidRDefault="00063ACD" w:rsidP="009F3900">
      <w:pPr>
        <w:spacing w:after="0" w:line="276" w:lineRule="auto"/>
        <w:rPr>
          <w:rFonts w:ascii="Times New Roman" w:hAnsi="Times New Roman" w:cs="Times New Roman"/>
          <w:b/>
          <w:bCs/>
          <w:color w:val="2E74B5" w:themeColor="accent5" w:themeShade="BF"/>
          <w:sz w:val="26"/>
          <w:szCs w:val="26"/>
        </w:rPr>
      </w:pPr>
      <w:r w:rsidRPr="00803ACA">
        <w:rPr>
          <w:rFonts w:ascii="Times New Roman" w:hAnsi="Times New Roman" w:cs="Times New Roman"/>
          <w:b/>
          <w:bCs/>
          <w:color w:val="2E74B5" w:themeColor="accent5" w:themeShade="BF"/>
          <w:sz w:val="26"/>
          <w:szCs w:val="26"/>
        </w:rPr>
        <w:t xml:space="preserve">Tính đại diện của Chỉ số 14 </w:t>
      </w:r>
    </w:p>
    <w:p w14:paraId="3015B9E6" w14:textId="466EF51B" w:rsidR="00063ACD" w:rsidRPr="00803ACA" w:rsidRDefault="00063ACD" w:rsidP="00063ACD">
      <w:pPr>
        <w:spacing w:line="276" w:lineRule="auto"/>
        <w:rPr>
          <w:rFonts w:ascii="Times New Roman" w:eastAsia="Cambria" w:hAnsi="Times New Roman" w:cs="Times New Roman"/>
          <w:color w:val="000000"/>
          <w:sz w:val="24"/>
          <w:szCs w:val="24"/>
        </w:rPr>
      </w:pPr>
      <w:r w:rsidRPr="00803ACA">
        <w:rPr>
          <w:rFonts w:ascii="Times New Roman" w:hAnsi="Times New Roman" w:cs="Times New Roman"/>
          <w:color w:val="000000"/>
          <w:sz w:val="24"/>
          <w:szCs w:val="24"/>
        </w:rPr>
        <w:t>Chỉ số thứ hai về chất lượng của dữ liệu khảo sát là tính đại diện.</w:t>
      </w:r>
      <w:r w:rsidRPr="00803ACA">
        <w:rPr>
          <w:rFonts w:ascii="Times New Roman" w:hAnsi="Times New Roman" w:cs="Times New Roman"/>
          <w:b/>
          <w:bCs/>
          <w:i/>
          <w:iCs/>
          <w:color w:val="000000"/>
          <w:sz w:val="24"/>
          <w:szCs w:val="24"/>
        </w:rPr>
        <w:t xml:space="preserve">  </w:t>
      </w:r>
      <w:r w:rsidRPr="00803ACA">
        <w:rPr>
          <w:rFonts w:ascii="Times New Roman" w:hAnsi="Times New Roman" w:cs="Times New Roman"/>
          <w:i/>
          <w:color w:val="000000"/>
          <w:sz w:val="24"/>
          <w:szCs w:val="24"/>
        </w:rPr>
        <w:t xml:space="preserve">Công cụ tính </w:t>
      </w:r>
      <w:r w:rsidR="00803ACA" w:rsidRPr="00347CDB">
        <w:rPr>
          <w:rFonts w:ascii="Times New Roman" w:hAnsi="Times New Roman" w:cs="Times New Roman"/>
          <w:i/>
          <w:color w:val="000000"/>
          <w:sz w:val="24"/>
          <w:szCs w:val="24"/>
        </w:rPr>
        <w:t xml:space="preserve">toán </w:t>
      </w:r>
      <w:r w:rsidRPr="00803ACA">
        <w:rPr>
          <w:rFonts w:ascii="Times New Roman" w:hAnsi="Times New Roman" w:cs="Times New Roman"/>
          <w:i/>
          <w:color w:val="000000"/>
          <w:sz w:val="24"/>
          <w:szCs w:val="24"/>
        </w:rPr>
        <w:t>phản hồi NPSO/NTACT</w:t>
      </w:r>
      <w:r w:rsidRPr="00803ACA">
        <w:rPr>
          <w:rFonts w:ascii="Times New Roman" w:hAnsi="Times New Roman" w:cs="Times New Roman"/>
          <w:color w:val="000000"/>
          <w:sz w:val="24"/>
          <w:szCs w:val="24"/>
        </w:rPr>
        <w:t xml:space="preserve"> được sử dụng để tính toán tính đại diện của nhóm người trả lời dựa trên các đặc điểm </w:t>
      </w:r>
      <w:r w:rsidR="000E7A70" w:rsidRPr="00347CDB">
        <w:rPr>
          <w:rFonts w:ascii="Times New Roman" w:hAnsi="Times New Roman" w:cs="Times New Roman"/>
          <w:color w:val="000000"/>
          <w:sz w:val="24"/>
          <w:szCs w:val="24"/>
        </w:rPr>
        <w:t>về</w:t>
      </w:r>
      <w:r w:rsidRPr="00803ACA">
        <w:rPr>
          <w:rFonts w:ascii="Times New Roman" w:hAnsi="Times New Roman" w:cs="Times New Roman"/>
          <w:color w:val="000000"/>
          <w:sz w:val="24"/>
          <w:szCs w:val="24"/>
        </w:rPr>
        <w:t xml:space="preserve">: (a) loại khuyết tật, (b) dân tộc, (c) giới tính và (d) tình trạng bỏ học (ví dụ: bỏ học) để xác định xem thanh thiếu niên trả lời phỏng vấn giống hay khác với tổng số thanh thiếu niên có IEP đã rời trường vào năm 2019-20. Theo </w:t>
      </w:r>
      <w:r w:rsidRPr="00803ACA">
        <w:rPr>
          <w:rFonts w:ascii="Times New Roman" w:hAnsi="Times New Roman" w:cs="Times New Roman"/>
          <w:i/>
          <w:color w:val="000000"/>
          <w:sz w:val="24"/>
          <w:szCs w:val="24"/>
        </w:rPr>
        <w:t>Công cụ tính</w:t>
      </w:r>
      <w:r w:rsidR="00803ACA" w:rsidRPr="00347CDB">
        <w:rPr>
          <w:rFonts w:ascii="Times New Roman" w:hAnsi="Times New Roman" w:cs="Times New Roman"/>
          <w:i/>
          <w:color w:val="000000"/>
          <w:sz w:val="24"/>
          <w:szCs w:val="24"/>
        </w:rPr>
        <w:t xml:space="preserve"> toán</w:t>
      </w:r>
      <w:r w:rsidRPr="00803ACA">
        <w:rPr>
          <w:rFonts w:ascii="Times New Roman" w:hAnsi="Times New Roman" w:cs="Times New Roman"/>
          <w:i/>
          <w:color w:val="000000"/>
          <w:sz w:val="24"/>
          <w:szCs w:val="24"/>
        </w:rPr>
        <w:t xml:space="preserve"> phản hồi NPSO/NTACT</w:t>
      </w:r>
      <w:r w:rsidRPr="00803ACA">
        <w:rPr>
          <w:rFonts w:ascii="Times New Roman" w:hAnsi="Times New Roman" w:cs="Times New Roman"/>
          <w:color w:val="000000"/>
          <w:sz w:val="24"/>
          <w:szCs w:val="24"/>
        </w:rPr>
        <w:t xml:space="preserve">, sự khác biệt giữa Nhóm người trả lời và Nhóm người bỏ học mục tiêu của hơn ±3% là rất quan trọng, vì điều này có thể làm sai lệch mức độ gắn kết. Sự khác biệt tiêu cực cho thấy tính đại diện thấp của nhóm và sự khác biệt tích cực cho thấy tính đại diện quá mức. Trong Công cụ tính </w:t>
      </w:r>
      <w:r w:rsidR="000E7A70" w:rsidRPr="00347CDB">
        <w:rPr>
          <w:rFonts w:ascii="Times New Roman" w:hAnsi="Times New Roman" w:cs="Times New Roman"/>
          <w:color w:val="000000"/>
          <w:sz w:val="24"/>
          <w:szCs w:val="24"/>
        </w:rPr>
        <w:t xml:space="preserve">toán </w:t>
      </w:r>
      <w:r w:rsidRPr="00803ACA">
        <w:rPr>
          <w:rFonts w:ascii="Times New Roman" w:hAnsi="Times New Roman" w:cs="Times New Roman"/>
          <w:color w:val="000000"/>
          <w:sz w:val="24"/>
          <w:szCs w:val="24"/>
        </w:rPr>
        <w:t xml:space="preserve">phản hồi, </w:t>
      </w:r>
      <w:r w:rsidRPr="00803ACA">
        <w:rPr>
          <w:rFonts w:ascii="Times New Roman" w:hAnsi="Times New Roman" w:cs="Times New Roman"/>
          <w:b/>
          <w:bCs/>
          <w:sz w:val="24"/>
          <w:szCs w:val="24"/>
        </w:rPr>
        <w:t>phần in đậm</w:t>
      </w:r>
      <w:r w:rsidRPr="00803ACA">
        <w:rPr>
          <w:rFonts w:ascii="Times New Roman" w:hAnsi="Times New Roman" w:cs="Times New Roman"/>
          <w:sz w:val="24"/>
          <w:szCs w:val="24"/>
        </w:rPr>
        <w:t xml:space="preserve"> </w:t>
      </w:r>
      <w:r w:rsidRPr="00803ACA">
        <w:rPr>
          <w:rFonts w:ascii="Times New Roman" w:hAnsi="Times New Roman" w:cs="Times New Roman"/>
          <w:color w:val="000000"/>
          <w:sz w:val="24"/>
          <w:szCs w:val="24"/>
        </w:rPr>
        <w:t xml:space="preserve">được sử dụng để biểu thị sự khác biệt vượt quá khoảng ±3%. </w:t>
      </w:r>
    </w:p>
    <w:p w14:paraId="4C8983FF" w14:textId="77777777" w:rsidR="00063ACD" w:rsidRPr="00803ACA" w:rsidRDefault="00063ACD" w:rsidP="00063ACD">
      <w:pPr>
        <w:pStyle w:val="ListParagraph"/>
        <w:numPr>
          <w:ilvl w:val="0"/>
          <w:numId w:val="11"/>
        </w:numPr>
        <w:spacing w:line="276" w:lineRule="auto"/>
        <w:rPr>
          <w:rFonts w:ascii="Times New Roman" w:hAnsi="Times New Roman" w:cs="Times New Roman"/>
          <w:sz w:val="24"/>
          <w:szCs w:val="24"/>
        </w:rPr>
      </w:pPr>
      <w:r w:rsidRPr="00803ACA">
        <w:rPr>
          <w:rFonts w:ascii="Times New Roman" w:hAnsi="Times New Roman" w:cs="Times New Roman"/>
          <w:b/>
          <w:bCs/>
          <w:sz w:val="24"/>
          <w:szCs w:val="24"/>
          <w:u w:val="single"/>
        </w:rPr>
        <w:t>Người trả lời</w:t>
      </w:r>
      <w:r w:rsidRPr="00803ACA">
        <w:rPr>
          <w:rFonts w:ascii="Times New Roman" w:hAnsi="Times New Roman" w:cs="Times New Roman"/>
          <w:b/>
          <w:bCs/>
          <w:i/>
          <w:iCs/>
          <w:sz w:val="24"/>
          <w:szCs w:val="24"/>
          <w:u w:val="single"/>
        </w:rPr>
        <w:t>:</w:t>
      </w:r>
      <w:r w:rsidRPr="00803ACA">
        <w:rPr>
          <w:rFonts w:ascii="Times New Roman" w:hAnsi="Times New Roman" w:cs="Times New Roman"/>
          <w:sz w:val="24"/>
          <w:szCs w:val="24"/>
        </w:rPr>
        <w:t xml:space="preserve"> Thanh thiếu niên hoặc thành viên gia đình của họ được chỉ định trả lời các câu hỏi khảo sát hoặc phỏng vấn.</w:t>
      </w:r>
    </w:p>
    <w:p w14:paraId="5299A680" w14:textId="291EDF15" w:rsidR="00063ACD" w:rsidRPr="00803ACA" w:rsidRDefault="00063ACD" w:rsidP="00063ACD">
      <w:pPr>
        <w:pStyle w:val="ListParagraph"/>
        <w:numPr>
          <w:ilvl w:val="0"/>
          <w:numId w:val="11"/>
        </w:numPr>
        <w:spacing w:line="276" w:lineRule="auto"/>
        <w:rPr>
          <w:rFonts w:ascii="Times New Roman" w:hAnsi="Times New Roman" w:cs="Times New Roman"/>
          <w:sz w:val="24"/>
          <w:szCs w:val="24"/>
        </w:rPr>
      </w:pPr>
      <w:r w:rsidRPr="00803ACA">
        <w:rPr>
          <w:rFonts w:ascii="Times New Roman" w:hAnsi="Times New Roman" w:cs="Times New Roman"/>
          <w:b/>
          <w:bCs/>
          <w:sz w:val="24"/>
          <w:szCs w:val="24"/>
          <w:u w:val="single"/>
        </w:rPr>
        <w:t>Người nghỉ học:</w:t>
      </w:r>
      <w:r w:rsidRPr="00803ACA">
        <w:rPr>
          <w:rFonts w:ascii="Times New Roman" w:hAnsi="Times New Roman" w:cs="Times New Roman"/>
          <w:sz w:val="24"/>
          <w:szCs w:val="24"/>
        </w:rPr>
        <w:t xml:space="preserve"> Thanh thiếu niên rời trường sau khi tốt nghiệp với bằng tốt nghiệp chính quy hoặc sửa đổi, đã quá tuổi đi học, rời trường sớm (nghĩa là bỏ học) hoặc những người dự kiến sẽ quay lại trường nhưng </w:t>
      </w:r>
      <w:r w:rsidR="000E7A70" w:rsidRPr="00347CDB">
        <w:rPr>
          <w:rFonts w:ascii="Times New Roman" w:hAnsi="Times New Roman" w:cs="Times New Roman"/>
          <w:sz w:val="24"/>
          <w:szCs w:val="24"/>
        </w:rPr>
        <w:t xml:space="preserve">đã </w:t>
      </w:r>
      <w:r w:rsidRPr="00803ACA">
        <w:rPr>
          <w:rFonts w:ascii="Times New Roman" w:hAnsi="Times New Roman" w:cs="Times New Roman"/>
          <w:sz w:val="24"/>
          <w:szCs w:val="24"/>
        </w:rPr>
        <w:t>không quay lại.</w:t>
      </w:r>
    </w:p>
    <w:tbl>
      <w:tblPr>
        <w:tblStyle w:val="TableGrid"/>
        <w:tblW w:w="0" w:type="auto"/>
        <w:tblLook w:val="04A0" w:firstRow="1" w:lastRow="0" w:firstColumn="1" w:lastColumn="0" w:noHBand="0" w:noVBand="1"/>
      </w:tblPr>
      <w:tblGrid>
        <w:gridCol w:w="3685"/>
        <w:gridCol w:w="1170"/>
        <w:gridCol w:w="1080"/>
        <w:gridCol w:w="1080"/>
        <w:gridCol w:w="1170"/>
        <w:gridCol w:w="1165"/>
      </w:tblGrid>
      <w:tr w:rsidR="00E87E48" w:rsidRPr="00803ACA" w14:paraId="1C3263ED" w14:textId="77777777" w:rsidTr="00776391">
        <w:tc>
          <w:tcPr>
            <w:tcW w:w="9350" w:type="dxa"/>
            <w:gridSpan w:val="6"/>
          </w:tcPr>
          <w:p w14:paraId="0EEFAFA7" w14:textId="140B6FA0" w:rsidR="00E87E48" w:rsidRPr="00803ACA" w:rsidRDefault="00E87E48" w:rsidP="000C178C">
            <w:pPr>
              <w:spacing w:line="276" w:lineRule="auto"/>
              <w:rPr>
                <w:rFonts w:ascii="Times New Roman" w:hAnsi="Times New Roman" w:cs="Times New Roman"/>
                <w:b/>
                <w:bCs/>
                <w:sz w:val="24"/>
                <w:szCs w:val="24"/>
              </w:rPr>
            </w:pPr>
            <w:r w:rsidRPr="00803ACA">
              <w:rPr>
                <w:rFonts w:ascii="Times New Roman" w:hAnsi="Times New Roman" w:cs="Times New Roman"/>
                <w:b/>
                <w:bCs/>
                <w:sz w:val="24"/>
                <w:szCs w:val="24"/>
              </w:rPr>
              <w:t>Tính đại diện trên toàn tiểu bang theo phần trăm (1/2)</w:t>
            </w:r>
          </w:p>
        </w:tc>
      </w:tr>
      <w:tr w:rsidR="00F95086" w:rsidRPr="00803ACA" w14:paraId="40458ED3" w14:textId="77777777" w:rsidTr="005D3C7A">
        <w:tc>
          <w:tcPr>
            <w:tcW w:w="3685" w:type="dxa"/>
          </w:tcPr>
          <w:p w14:paraId="6ADE3843" w14:textId="77777777" w:rsidR="00D8059D" w:rsidRDefault="00D8059D" w:rsidP="005D3C7A">
            <w:pPr>
              <w:spacing w:line="276" w:lineRule="auto"/>
              <w:jc w:val="right"/>
              <w:rPr>
                <w:rFonts w:ascii="Times New Roman" w:hAnsi="Times New Roman" w:cs="Times New Roman"/>
                <w:b/>
                <w:bCs/>
                <w:sz w:val="24"/>
                <w:szCs w:val="24"/>
              </w:rPr>
            </w:pPr>
          </w:p>
          <w:p w14:paraId="1BC5F7BA" w14:textId="77777777" w:rsidR="00D8059D" w:rsidRDefault="00D8059D" w:rsidP="005D3C7A">
            <w:pPr>
              <w:spacing w:line="276" w:lineRule="auto"/>
              <w:jc w:val="right"/>
              <w:rPr>
                <w:rFonts w:ascii="Times New Roman" w:hAnsi="Times New Roman" w:cs="Times New Roman"/>
                <w:b/>
                <w:bCs/>
                <w:sz w:val="24"/>
                <w:szCs w:val="24"/>
              </w:rPr>
            </w:pPr>
          </w:p>
          <w:p w14:paraId="54302ECC" w14:textId="6A2154FA" w:rsidR="00F95086" w:rsidRPr="00803ACA" w:rsidRDefault="00E87E48"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Phân loại tình trạng khuyết tật</w:t>
            </w:r>
          </w:p>
        </w:tc>
        <w:tc>
          <w:tcPr>
            <w:tcW w:w="1170" w:type="dxa"/>
            <w:vAlign w:val="bottom"/>
          </w:tcPr>
          <w:p w14:paraId="57802EAF" w14:textId="41F9DF65" w:rsidR="00F95086" w:rsidRPr="00803ACA" w:rsidRDefault="00E87E48"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Tổng</w:t>
            </w:r>
          </w:p>
        </w:tc>
        <w:tc>
          <w:tcPr>
            <w:tcW w:w="1080" w:type="dxa"/>
            <w:vAlign w:val="bottom"/>
          </w:tcPr>
          <w:p w14:paraId="6B8BE2F6" w14:textId="0555509B" w:rsidR="00F95086" w:rsidRPr="00803ACA" w:rsidRDefault="00E87E48"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SLD</w:t>
            </w:r>
          </w:p>
        </w:tc>
        <w:tc>
          <w:tcPr>
            <w:tcW w:w="1080" w:type="dxa"/>
            <w:vAlign w:val="bottom"/>
          </w:tcPr>
          <w:p w14:paraId="708EED14" w14:textId="25B19961" w:rsidR="00F95086" w:rsidRPr="00803ACA" w:rsidRDefault="00E87E48"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ED</w:t>
            </w:r>
          </w:p>
        </w:tc>
        <w:tc>
          <w:tcPr>
            <w:tcW w:w="1170" w:type="dxa"/>
            <w:vAlign w:val="bottom"/>
          </w:tcPr>
          <w:p w14:paraId="3629FFE4" w14:textId="5E1E76D9" w:rsidR="00F95086" w:rsidRPr="00803ACA" w:rsidRDefault="00E87E48"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ID</w:t>
            </w:r>
          </w:p>
        </w:tc>
        <w:tc>
          <w:tcPr>
            <w:tcW w:w="1165" w:type="dxa"/>
            <w:vAlign w:val="bottom"/>
          </w:tcPr>
          <w:p w14:paraId="044AAFC3" w14:textId="142DBBE8" w:rsidR="00F95086" w:rsidRPr="00803ACA" w:rsidRDefault="00E87E48"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 xml:space="preserve">Tất cả </w:t>
            </w:r>
            <w:r w:rsidR="000E7A70" w:rsidRPr="00347CDB">
              <w:rPr>
                <w:rFonts w:ascii="Times New Roman" w:hAnsi="Times New Roman" w:cs="Times New Roman"/>
                <w:b/>
                <w:bCs/>
                <w:sz w:val="24"/>
                <w:szCs w:val="24"/>
              </w:rPr>
              <w:t xml:space="preserve">tình </w:t>
            </w:r>
            <w:r w:rsidR="000E7A70" w:rsidRPr="00347CDB">
              <w:rPr>
                <w:rFonts w:ascii="Times New Roman" w:hAnsi="Times New Roman" w:cs="Times New Roman"/>
                <w:b/>
                <w:bCs/>
                <w:sz w:val="24"/>
                <w:szCs w:val="24"/>
              </w:rPr>
              <w:lastRenderedPageBreak/>
              <w:t>trạng k</w:t>
            </w:r>
            <w:r w:rsidRPr="00803ACA">
              <w:rPr>
                <w:rFonts w:ascii="Times New Roman" w:hAnsi="Times New Roman" w:cs="Times New Roman"/>
                <w:b/>
                <w:bCs/>
                <w:sz w:val="24"/>
                <w:szCs w:val="24"/>
              </w:rPr>
              <w:t>hác</w:t>
            </w:r>
          </w:p>
        </w:tc>
      </w:tr>
      <w:tr w:rsidR="00F95086" w:rsidRPr="00803ACA" w14:paraId="651A7121" w14:textId="77777777" w:rsidTr="005D3C7A">
        <w:tc>
          <w:tcPr>
            <w:tcW w:w="3685" w:type="dxa"/>
          </w:tcPr>
          <w:p w14:paraId="47851D54" w14:textId="4244116F" w:rsidR="00F95086" w:rsidRPr="00803ACA" w:rsidRDefault="00E87E48"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lastRenderedPageBreak/>
              <w:t>Tổng số người nghỉ học mục tiêu</w:t>
            </w:r>
          </w:p>
        </w:tc>
        <w:tc>
          <w:tcPr>
            <w:tcW w:w="1170" w:type="dxa"/>
          </w:tcPr>
          <w:p w14:paraId="58C2EFD6" w14:textId="09CED3AE"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2.816</w:t>
            </w:r>
          </w:p>
        </w:tc>
        <w:tc>
          <w:tcPr>
            <w:tcW w:w="1080" w:type="dxa"/>
          </w:tcPr>
          <w:p w14:paraId="4977DA28" w14:textId="5AB1122D"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786</w:t>
            </w:r>
          </w:p>
        </w:tc>
        <w:tc>
          <w:tcPr>
            <w:tcW w:w="1080" w:type="dxa"/>
          </w:tcPr>
          <w:p w14:paraId="15F8FC36" w14:textId="7CA99A58"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564</w:t>
            </w:r>
          </w:p>
        </w:tc>
        <w:tc>
          <w:tcPr>
            <w:tcW w:w="1170" w:type="dxa"/>
          </w:tcPr>
          <w:p w14:paraId="0BF068A1" w14:textId="4AC19505"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160</w:t>
            </w:r>
          </w:p>
        </w:tc>
        <w:tc>
          <w:tcPr>
            <w:tcW w:w="1165" w:type="dxa"/>
          </w:tcPr>
          <w:p w14:paraId="20EAA721" w14:textId="0AF15471"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1.306</w:t>
            </w:r>
          </w:p>
        </w:tc>
      </w:tr>
      <w:tr w:rsidR="00F95086" w:rsidRPr="00803ACA" w14:paraId="6525C274" w14:textId="77777777" w:rsidTr="005D3C7A">
        <w:tc>
          <w:tcPr>
            <w:tcW w:w="3685" w:type="dxa"/>
          </w:tcPr>
          <w:p w14:paraId="4272FE84" w14:textId="6D6BB000" w:rsidR="00F95086" w:rsidRPr="00803ACA" w:rsidRDefault="00E87E48"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Tổng số người trả lời</w:t>
            </w:r>
          </w:p>
        </w:tc>
        <w:tc>
          <w:tcPr>
            <w:tcW w:w="1170" w:type="dxa"/>
          </w:tcPr>
          <w:p w14:paraId="509AEDA3" w14:textId="5E9B67FE"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1.060</w:t>
            </w:r>
          </w:p>
        </w:tc>
        <w:tc>
          <w:tcPr>
            <w:tcW w:w="1080" w:type="dxa"/>
          </w:tcPr>
          <w:p w14:paraId="629B5E54" w14:textId="4830177C"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293</w:t>
            </w:r>
          </w:p>
        </w:tc>
        <w:tc>
          <w:tcPr>
            <w:tcW w:w="1080" w:type="dxa"/>
          </w:tcPr>
          <w:p w14:paraId="7D7EADBB" w14:textId="102BEE2B"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187</w:t>
            </w:r>
          </w:p>
        </w:tc>
        <w:tc>
          <w:tcPr>
            <w:tcW w:w="1170" w:type="dxa"/>
          </w:tcPr>
          <w:p w14:paraId="7FDBCA61" w14:textId="7A862D76"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67</w:t>
            </w:r>
          </w:p>
        </w:tc>
        <w:tc>
          <w:tcPr>
            <w:tcW w:w="1165" w:type="dxa"/>
          </w:tcPr>
          <w:p w14:paraId="2DEFD75C" w14:textId="39879709"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513</w:t>
            </w:r>
          </w:p>
        </w:tc>
      </w:tr>
      <w:tr w:rsidR="00F95086" w:rsidRPr="00803ACA" w14:paraId="4F1D8BF9" w14:textId="77777777" w:rsidTr="005D3C7A">
        <w:trPr>
          <w:trHeight w:val="233"/>
        </w:trPr>
        <w:tc>
          <w:tcPr>
            <w:tcW w:w="3685" w:type="dxa"/>
          </w:tcPr>
          <w:p w14:paraId="74A1DAC4" w14:textId="77777777" w:rsidR="00F95086" w:rsidRPr="00803ACA" w:rsidRDefault="00F95086" w:rsidP="005D3C7A">
            <w:pPr>
              <w:spacing w:line="276" w:lineRule="auto"/>
              <w:jc w:val="right"/>
              <w:rPr>
                <w:rFonts w:ascii="Times New Roman" w:hAnsi="Times New Roman" w:cs="Times New Roman"/>
                <w:b/>
                <w:bCs/>
                <w:sz w:val="24"/>
                <w:szCs w:val="24"/>
              </w:rPr>
            </w:pPr>
          </w:p>
        </w:tc>
        <w:tc>
          <w:tcPr>
            <w:tcW w:w="1170" w:type="dxa"/>
          </w:tcPr>
          <w:p w14:paraId="0052905C" w14:textId="77777777" w:rsidR="00F95086" w:rsidRPr="00803ACA" w:rsidRDefault="00F95086" w:rsidP="001A73CE">
            <w:pPr>
              <w:spacing w:line="276" w:lineRule="auto"/>
              <w:jc w:val="center"/>
              <w:rPr>
                <w:rFonts w:ascii="Times New Roman" w:hAnsi="Times New Roman" w:cs="Times New Roman"/>
                <w:sz w:val="24"/>
                <w:szCs w:val="24"/>
              </w:rPr>
            </w:pPr>
          </w:p>
        </w:tc>
        <w:tc>
          <w:tcPr>
            <w:tcW w:w="1080" w:type="dxa"/>
          </w:tcPr>
          <w:p w14:paraId="7A78D656" w14:textId="77777777" w:rsidR="00F95086" w:rsidRPr="00803ACA" w:rsidRDefault="00F95086" w:rsidP="001A73CE">
            <w:pPr>
              <w:spacing w:line="276" w:lineRule="auto"/>
              <w:jc w:val="center"/>
              <w:rPr>
                <w:rFonts w:ascii="Times New Roman" w:hAnsi="Times New Roman" w:cs="Times New Roman"/>
                <w:sz w:val="24"/>
                <w:szCs w:val="24"/>
              </w:rPr>
            </w:pPr>
          </w:p>
        </w:tc>
        <w:tc>
          <w:tcPr>
            <w:tcW w:w="1080" w:type="dxa"/>
          </w:tcPr>
          <w:p w14:paraId="08C394F0" w14:textId="77777777" w:rsidR="00F95086" w:rsidRPr="00803ACA" w:rsidRDefault="00F95086" w:rsidP="001A73CE">
            <w:pPr>
              <w:spacing w:line="276" w:lineRule="auto"/>
              <w:jc w:val="center"/>
              <w:rPr>
                <w:rFonts w:ascii="Times New Roman" w:hAnsi="Times New Roman" w:cs="Times New Roman"/>
                <w:sz w:val="24"/>
                <w:szCs w:val="24"/>
              </w:rPr>
            </w:pPr>
          </w:p>
        </w:tc>
        <w:tc>
          <w:tcPr>
            <w:tcW w:w="1170" w:type="dxa"/>
          </w:tcPr>
          <w:p w14:paraId="52356812" w14:textId="77777777" w:rsidR="00F95086" w:rsidRPr="00803ACA" w:rsidRDefault="00F95086" w:rsidP="001A73CE">
            <w:pPr>
              <w:spacing w:line="276" w:lineRule="auto"/>
              <w:jc w:val="center"/>
              <w:rPr>
                <w:rFonts w:ascii="Times New Roman" w:hAnsi="Times New Roman" w:cs="Times New Roman"/>
                <w:sz w:val="24"/>
                <w:szCs w:val="24"/>
              </w:rPr>
            </w:pPr>
          </w:p>
        </w:tc>
        <w:tc>
          <w:tcPr>
            <w:tcW w:w="1165" w:type="dxa"/>
          </w:tcPr>
          <w:p w14:paraId="65E64CCF" w14:textId="77777777" w:rsidR="00F95086" w:rsidRPr="00803ACA" w:rsidRDefault="00F95086" w:rsidP="001A73CE">
            <w:pPr>
              <w:spacing w:line="276" w:lineRule="auto"/>
              <w:jc w:val="center"/>
              <w:rPr>
                <w:rFonts w:ascii="Times New Roman" w:hAnsi="Times New Roman" w:cs="Times New Roman"/>
                <w:sz w:val="24"/>
                <w:szCs w:val="24"/>
              </w:rPr>
            </w:pPr>
          </w:p>
        </w:tc>
      </w:tr>
      <w:tr w:rsidR="00F95086" w:rsidRPr="00803ACA" w14:paraId="532A03D9" w14:textId="77777777" w:rsidTr="005D3C7A">
        <w:tc>
          <w:tcPr>
            <w:tcW w:w="3685" w:type="dxa"/>
          </w:tcPr>
          <w:p w14:paraId="3B8FA314" w14:textId="7A9ADD96" w:rsidR="00F95086" w:rsidRPr="00803ACA" w:rsidRDefault="00E87E48"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Đại diện cho người nghỉ học mục tiêu</w:t>
            </w:r>
          </w:p>
        </w:tc>
        <w:tc>
          <w:tcPr>
            <w:tcW w:w="1170" w:type="dxa"/>
          </w:tcPr>
          <w:p w14:paraId="10700505" w14:textId="77777777" w:rsidR="00F95086" w:rsidRPr="00803ACA" w:rsidRDefault="00F95086" w:rsidP="001A73CE">
            <w:pPr>
              <w:spacing w:line="276" w:lineRule="auto"/>
              <w:jc w:val="center"/>
              <w:rPr>
                <w:rFonts w:ascii="Times New Roman" w:hAnsi="Times New Roman" w:cs="Times New Roman"/>
                <w:sz w:val="24"/>
                <w:szCs w:val="24"/>
              </w:rPr>
            </w:pPr>
          </w:p>
        </w:tc>
        <w:tc>
          <w:tcPr>
            <w:tcW w:w="1080" w:type="dxa"/>
          </w:tcPr>
          <w:p w14:paraId="347D409F" w14:textId="73CA24E2" w:rsidR="00E87E48"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27,91%</w:t>
            </w:r>
          </w:p>
        </w:tc>
        <w:tc>
          <w:tcPr>
            <w:tcW w:w="1080" w:type="dxa"/>
          </w:tcPr>
          <w:p w14:paraId="4424E941" w14:textId="317AD095"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20,03%</w:t>
            </w:r>
          </w:p>
        </w:tc>
        <w:tc>
          <w:tcPr>
            <w:tcW w:w="1170" w:type="dxa"/>
          </w:tcPr>
          <w:p w14:paraId="5715461E" w14:textId="332A0D45"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5,68%</w:t>
            </w:r>
          </w:p>
        </w:tc>
        <w:tc>
          <w:tcPr>
            <w:tcW w:w="1165" w:type="dxa"/>
          </w:tcPr>
          <w:p w14:paraId="662FCF21" w14:textId="60612924"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46,38%</w:t>
            </w:r>
          </w:p>
        </w:tc>
      </w:tr>
      <w:tr w:rsidR="00F95086" w:rsidRPr="00803ACA" w14:paraId="251FC2A5" w14:textId="77777777" w:rsidTr="005D3C7A">
        <w:tc>
          <w:tcPr>
            <w:tcW w:w="3685" w:type="dxa"/>
          </w:tcPr>
          <w:p w14:paraId="0DE27407" w14:textId="0B1584C4" w:rsidR="00F95086" w:rsidRPr="00803ACA" w:rsidRDefault="00E87E48"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Đại diện cho người trả lời</w:t>
            </w:r>
          </w:p>
        </w:tc>
        <w:tc>
          <w:tcPr>
            <w:tcW w:w="1170" w:type="dxa"/>
          </w:tcPr>
          <w:p w14:paraId="4389DC00" w14:textId="77777777" w:rsidR="00F95086" w:rsidRPr="00803ACA" w:rsidRDefault="00F95086" w:rsidP="001A73CE">
            <w:pPr>
              <w:spacing w:line="276" w:lineRule="auto"/>
              <w:jc w:val="center"/>
              <w:rPr>
                <w:rFonts w:ascii="Times New Roman" w:hAnsi="Times New Roman" w:cs="Times New Roman"/>
                <w:sz w:val="24"/>
                <w:szCs w:val="24"/>
              </w:rPr>
            </w:pPr>
          </w:p>
        </w:tc>
        <w:tc>
          <w:tcPr>
            <w:tcW w:w="1080" w:type="dxa"/>
          </w:tcPr>
          <w:p w14:paraId="1AC9D354" w14:textId="64271FB5"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27,64%</w:t>
            </w:r>
          </w:p>
        </w:tc>
        <w:tc>
          <w:tcPr>
            <w:tcW w:w="1080" w:type="dxa"/>
          </w:tcPr>
          <w:p w14:paraId="4BBD0380" w14:textId="02C9967A"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17,64%</w:t>
            </w:r>
          </w:p>
        </w:tc>
        <w:tc>
          <w:tcPr>
            <w:tcW w:w="1170" w:type="dxa"/>
          </w:tcPr>
          <w:p w14:paraId="2D3C1201" w14:textId="4D8C2EDB"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6,32%</w:t>
            </w:r>
          </w:p>
        </w:tc>
        <w:tc>
          <w:tcPr>
            <w:tcW w:w="1165" w:type="dxa"/>
          </w:tcPr>
          <w:p w14:paraId="748B754B" w14:textId="0A1F94F9"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48,40%</w:t>
            </w:r>
          </w:p>
        </w:tc>
      </w:tr>
      <w:tr w:rsidR="00F95086" w:rsidRPr="00803ACA" w14:paraId="3C55BD8F" w14:textId="77777777" w:rsidTr="005D3C7A">
        <w:tc>
          <w:tcPr>
            <w:tcW w:w="3685" w:type="dxa"/>
          </w:tcPr>
          <w:p w14:paraId="4E7B0C48" w14:textId="1908859B" w:rsidR="00F95086" w:rsidRPr="00803ACA" w:rsidRDefault="00E87E48"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Chênh lệch</w:t>
            </w:r>
          </w:p>
        </w:tc>
        <w:tc>
          <w:tcPr>
            <w:tcW w:w="1170" w:type="dxa"/>
          </w:tcPr>
          <w:p w14:paraId="619305EA" w14:textId="77777777" w:rsidR="00F95086" w:rsidRPr="00803ACA" w:rsidRDefault="00F95086" w:rsidP="001A73CE">
            <w:pPr>
              <w:spacing w:line="276" w:lineRule="auto"/>
              <w:jc w:val="center"/>
              <w:rPr>
                <w:rFonts w:ascii="Times New Roman" w:hAnsi="Times New Roman" w:cs="Times New Roman"/>
                <w:sz w:val="24"/>
                <w:szCs w:val="24"/>
              </w:rPr>
            </w:pPr>
          </w:p>
        </w:tc>
        <w:tc>
          <w:tcPr>
            <w:tcW w:w="1080" w:type="dxa"/>
          </w:tcPr>
          <w:p w14:paraId="6056C117" w14:textId="139F68C7" w:rsidR="00F95086" w:rsidRPr="00803ACA" w:rsidRDefault="00E87E48"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-0,27%</w:t>
            </w:r>
          </w:p>
        </w:tc>
        <w:tc>
          <w:tcPr>
            <w:tcW w:w="1080" w:type="dxa"/>
          </w:tcPr>
          <w:p w14:paraId="7B3A7C73" w14:textId="65D2A1A4" w:rsidR="00F95086" w:rsidRPr="00803ACA" w:rsidRDefault="00955CA3"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-2,39%</w:t>
            </w:r>
          </w:p>
        </w:tc>
        <w:tc>
          <w:tcPr>
            <w:tcW w:w="1170" w:type="dxa"/>
          </w:tcPr>
          <w:p w14:paraId="0DC5339A" w14:textId="70C02FB5" w:rsidR="00F95086" w:rsidRPr="00803ACA" w:rsidRDefault="00955CA3"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0,64%</w:t>
            </w:r>
          </w:p>
        </w:tc>
        <w:tc>
          <w:tcPr>
            <w:tcW w:w="1165" w:type="dxa"/>
          </w:tcPr>
          <w:p w14:paraId="61595D1B" w14:textId="7057DDD1" w:rsidR="00F95086" w:rsidRPr="00803ACA" w:rsidRDefault="00955CA3"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2,02%</w:t>
            </w:r>
          </w:p>
        </w:tc>
      </w:tr>
    </w:tbl>
    <w:p w14:paraId="40DBF627" w14:textId="77777777" w:rsidR="000C178C" w:rsidRPr="00803ACA" w:rsidRDefault="000C178C" w:rsidP="000C178C">
      <w:pPr>
        <w:spacing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30"/>
        <w:gridCol w:w="1142"/>
        <w:gridCol w:w="1696"/>
        <w:gridCol w:w="1047"/>
        <w:gridCol w:w="1160"/>
        <w:gridCol w:w="1075"/>
      </w:tblGrid>
      <w:tr w:rsidR="00955CA3" w:rsidRPr="00803ACA" w14:paraId="0A924847" w14:textId="77777777" w:rsidTr="00776391">
        <w:tc>
          <w:tcPr>
            <w:tcW w:w="9350" w:type="dxa"/>
            <w:gridSpan w:val="6"/>
          </w:tcPr>
          <w:p w14:paraId="30E6352A" w14:textId="0014BCA9" w:rsidR="00955CA3" w:rsidRPr="00803ACA" w:rsidRDefault="00955CA3" w:rsidP="00776391">
            <w:pPr>
              <w:spacing w:line="276" w:lineRule="auto"/>
              <w:rPr>
                <w:rFonts w:ascii="Times New Roman" w:hAnsi="Times New Roman" w:cs="Times New Roman"/>
                <w:b/>
                <w:bCs/>
                <w:sz w:val="24"/>
                <w:szCs w:val="24"/>
              </w:rPr>
            </w:pPr>
            <w:r w:rsidRPr="00803ACA">
              <w:rPr>
                <w:rFonts w:ascii="Times New Roman" w:hAnsi="Times New Roman" w:cs="Times New Roman"/>
                <w:b/>
                <w:bCs/>
                <w:sz w:val="24"/>
                <w:szCs w:val="24"/>
              </w:rPr>
              <w:t>Tính đại diện trên toàn tiểu bang theo phần trăm (2/2)</w:t>
            </w:r>
          </w:p>
        </w:tc>
      </w:tr>
      <w:tr w:rsidR="003D1A3F" w:rsidRPr="00803ACA" w14:paraId="472E2478" w14:textId="77777777" w:rsidTr="005D3C7A">
        <w:tc>
          <w:tcPr>
            <w:tcW w:w="3230" w:type="dxa"/>
            <w:vAlign w:val="bottom"/>
          </w:tcPr>
          <w:p w14:paraId="28EB923A" w14:textId="031C062C" w:rsidR="00955CA3" w:rsidRPr="00803ACA" w:rsidRDefault="003D1A3F"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Danh mục nhân khẩu học</w:t>
            </w:r>
          </w:p>
        </w:tc>
        <w:tc>
          <w:tcPr>
            <w:tcW w:w="1142" w:type="dxa"/>
            <w:vAlign w:val="bottom"/>
          </w:tcPr>
          <w:p w14:paraId="70558B04" w14:textId="09F10D6F" w:rsidR="00955CA3" w:rsidRPr="00803ACA" w:rsidRDefault="003D1A3F"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Bỏ học</w:t>
            </w:r>
          </w:p>
        </w:tc>
        <w:tc>
          <w:tcPr>
            <w:tcW w:w="1696" w:type="dxa"/>
            <w:vAlign w:val="bottom"/>
          </w:tcPr>
          <w:p w14:paraId="1CC31164" w14:textId="268663AD" w:rsidR="00955CA3" w:rsidRPr="00803ACA" w:rsidRDefault="003D1A3F"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Khó khăn về kinh tế</w:t>
            </w:r>
          </w:p>
        </w:tc>
        <w:tc>
          <w:tcPr>
            <w:tcW w:w="1047" w:type="dxa"/>
            <w:vAlign w:val="bottom"/>
          </w:tcPr>
          <w:p w14:paraId="027EE367" w14:textId="55237C3D" w:rsidR="00955CA3" w:rsidRPr="00803ACA" w:rsidRDefault="003D1A3F"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Nữ</w:t>
            </w:r>
          </w:p>
        </w:tc>
        <w:tc>
          <w:tcPr>
            <w:tcW w:w="1160" w:type="dxa"/>
            <w:vAlign w:val="bottom"/>
          </w:tcPr>
          <w:p w14:paraId="58E69120" w14:textId="6F8B2B75" w:rsidR="00955CA3" w:rsidRPr="00803ACA" w:rsidRDefault="003D1A3F"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Dân tộc thiểu số</w:t>
            </w:r>
          </w:p>
        </w:tc>
        <w:tc>
          <w:tcPr>
            <w:tcW w:w="1075" w:type="dxa"/>
            <w:vAlign w:val="bottom"/>
          </w:tcPr>
          <w:p w14:paraId="205A6700" w14:textId="122B2954" w:rsidR="00955CA3" w:rsidRPr="00803ACA" w:rsidRDefault="007074AE" w:rsidP="005D3C7A">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EL</w:t>
            </w:r>
          </w:p>
        </w:tc>
      </w:tr>
      <w:tr w:rsidR="003D1A3F" w:rsidRPr="00803ACA" w14:paraId="28065D57" w14:textId="77777777" w:rsidTr="005D3C7A">
        <w:tc>
          <w:tcPr>
            <w:tcW w:w="3230" w:type="dxa"/>
            <w:vAlign w:val="bottom"/>
          </w:tcPr>
          <w:p w14:paraId="5039F5A5" w14:textId="77777777" w:rsidR="00955CA3" w:rsidRPr="00803ACA" w:rsidRDefault="00955CA3"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Tổng số người nghỉ học mục tiêu</w:t>
            </w:r>
          </w:p>
        </w:tc>
        <w:tc>
          <w:tcPr>
            <w:tcW w:w="1142" w:type="dxa"/>
          </w:tcPr>
          <w:p w14:paraId="5A91A3EA" w14:textId="7C588AE4"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218</w:t>
            </w:r>
          </w:p>
        </w:tc>
        <w:tc>
          <w:tcPr>
            <w:tcW w:w="1696" w:type="dxa"/>
          </w:tcPr>
          <w:p w14:paraId="204A3435" w14:textId="67412C5E"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1.079</w:t>
            </w:r>
          </w:p>
        </w:tc>
        <w:tc>
          <w:tcPr>
            <w:tcW w:w="1047" w:type="dxa"/>
          </w:tcPr>
          <w:p w14:paraId="59C193D1" w14:textId="4A5010A1"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1.052</w:t>
            </w:r>
          </w:p>
        </w:tc>
        <w:tc>
          <w:tcPr>
            <w:tcW w:w="1160" w:type="dxa"/>
          </w:tcPr>
          <w:p w14:paraId="7250AC76" w14:textId="7C9ABB57"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1.050</w:t>
            </w:r>
          </w:p>
        </w:tc>
        <w:tc>
          <w:tcPr>
            <w:tcW w:w="1075" w:type="dxa"/>
          </w:tcPr>
          <w:p w14:paraId="1BF52E85" w14:textId="2D4B1524"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133</w:t>
            </w:r>
          </w:p>
        </w:tc>
      </w:tr>
      <w:tr w:rsidR="003D1A3F" w:rsidRPr="00803ACA" w14:paraId="3295025E" w14:textId="77777777" w:rsidTr="005D3C7A">
        <w:tc>
          <w:tcPr>
            <w:tcW w:w="3230" w:type="dxa"/>
            <w:vAlign w:val="bottom"/>
          </w:tcPr>
          <w:p w14:paraId="17378EDA" w14:textId="77777777" w:rsidR="00955CA3" w:rsidRPr="00803ACA" w:rsidRDefault="00955CA3"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Tổng số người trả lời</w:t>
            </w:r>
          </w:p>
        </w:tc>
        <w:tc>
          <w:tcPr>
            <w:tcW w:w="1142" w:type="dxa"/>
          </w:tcPr>
          <w:p w14:paraId="496FF62B" w14:textId="4D2326F1"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38</w:t>
            </w:r>
          </w:p>
        </w:tc>
        <w:tc>
          <w:tcPr>
            <w:tcW w:w="1696" w:type="dxa"/>
          </w:tcPr>
          <w:p w14:paraId="6743B991" w14:textId="61A9ADCD"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367</w:t>
            </w:r>
          </w:p>
        </w:tc>
        <w:tc>
          <w:tcPr>
            <w:tcW w:w="1047" w:type="dxa"/>
          </w:tcPr>
          <w:p w14:paraId="2C32E9BC" w14:textId="728D90AD"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400</w:t>
            </w:r>
          </w:p>
        </w:tc>
        <w:tc>
          <w:tcPr>
            <w:tcW w:w="1160" w:type="dxa"/>
          </w:tcPr>
          <w:p w14:paraId="383DA704" w14:textId="4EC3C1D1"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391</w:t>
            </w:r>
          </w:p>
        </w:tc>
        <w:tc>
          <w:tcPr>
            <w:tcW w:w="1075" w:type="dxa"/>
          </w:tcPr>
          <w:p w14:paraId="303D1680" w14:textId="64D89819"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56</w:t>
            </w:r>
          </w:p>
        </w:tc>
      </w:tr>
      <w:tr w:rsidR="003D1A3F" w:rsidRPr="00803ACA" w14:paraId="0D5FBE9F" w14:textId="77777777" w:rsidTr="005D3C7A">
        <w:trPr>
          <w:trHeight w:val="233"/>
        </w:trPr>
        <w:tc>
          <w:tcPr>
            <w:tcW w:w="3230" w:type="dxa"/>
            <w:vAlign w:val="bottom"/>
          </w:tcPr>
          <w:p w14:paraId="1988B022" w14:textId="77777777" w:rsidR="00955CA3" w:rsidRPr="00803ACA" w:rsidRDefault="00955CA3" w:rsidP="005D3C7A">
            <w:pPr>
              <w:spacing w:line="276" w:lineRule="auto"/>
              <w:jc w:val="right"/>
              <w:rPr>
                <w:rFonts w:ascii="Times New Roman" w:hAnsi="Times New Roman" w:cs="Times New Roman"/>
                <w:b/>
                <w:bCs/>
                <w:sz w:val="24"/>
                <w:szCs w:val="24"/>
              </w:rPr>
            </w:pPr>
          </w:p>
        </w:tc>
        <w:tc>
          <w:tcPr>
            <w:tcW w:w="1142" w:type="dxa"/>
          </w:tcPr>
          <w:p w14:paraId="2BD9D5FB" w14:textId="77777777" w:rsidR="00955CA3" w:rsidRPr="00803ACA" w:rsidRDefault="00955CA3" w:rsidP="001A73CE">
            <w:pPr>
              <w:spacing w:line="276" w:lineRule="auto"/>
              <w:jc w:val="center"/>
              <w:rPr>
                <w:rFonts w:ascii="Times New Roman" w:hAnsi="Times New Roman" w:cs="Times New Roman"/>
                <w:sz w:val="24"/>
                <w:szCs w:val="24"/>
              </w:rPr>
            </w:pPr>
          </w:p>
        </w:tc>
        <w:tc>
          <w:tcPr>
            <w:tcW w:w="1696" w:type="dxa"/>
          </w:tcPr>
          <w:p w14:paraId="5EF2B88D" w14:textId="77777777" w:rsidR="00955CA3" w:rsidRPr="00803ACA" w:rsidRDefault="00955CA3" w:rsidP="001A73CE">
            <w:pPr>
              <w:spacing w:line="276" w:lineRule="auto"/>
              <w:jc w:val="center"/>
              <w:rPr>
                <w:rFonts w:ascii="Times New Roman" w:hAnsi="Times New Roman" w:cs="Times New Roman"/>
                <w:sz w:val="24"/>
                <w:szCs w:val="24"/>
              </w:rPr>
            </w:pPr>
          </w:p>
        </w:tc>
        <w:tc>
          <w:tcPr>
            <w:tcW w:w="1047" w:type="dxa"/>
          </w:tcPr>
          <w:p w14:paraId="209EE62C" w14:textId="77777777" w:rsidR="00955CA3" w:rsidRPr="00803ACA" w:rsidRDefault="00955CA3" w:rsidP="001A73CE">
            <w:pPr>
              <w:spacing w:line="276" w:lineRule="auto"/>
              <w:jc w:val="center"/>
              <w:rPr>
                <w:rFonts w:ascii="Times New Roman" w:hAnsi="Times New Roman" w:cs="Times New Roman"/>
                <w:sz w:val="24"/>
                <w:szCs w:val="24"/>
              </w:rPr>
            </w:pPr>
          </w:p>
        </w:tc>
        <w:tc>
          <w:tcPr>
            <w:tcW w:w="1160" w:type="dxa"/>
          </w:tcPr>
          <w:p w14:paraId="0AF0DD83" w14:textId="77777777" w:rsidR="00955CA3" w:rsidRPr="00803ACA" w:rsidRDefault="00955CA3" w:rsidP="001A73CE">
            <w:pPr>
              <w:spacing w:line="276" w:lineRule="auto"/>
              <w:jc w:val="center"/>
              <w:rPr>
                <w:rFonts w:ascii="Times New Roman" w:hAnsi="Times New Roman" w:cs="Times New Roman"/>
                <w:sz w:val="24"/>
                <w:szCs w:val="24"/>
              </w:rPr>
            </w:pPr>
          </w:p>
        </w:tc>
        <w:tc>
          <w:tcPr>
            <w:tcW w:w="1075" w:type="dxa"/>
          </w:tcPr>
          <w:p w14:paraId="556E8E8E" w14:textId="77777777" w:rsidR="00955CA3" w:rsidRPr="00803ACA" w:rsidRDefault="00955CA3" w:rsidP="001A73CE">
            <w:pPr>
              <w:spacing w:line="276" w:lineRule="auto"/>
              <w:jc w:val="center"/>
              <w:rPr>
                <w:rFonts w:ascii="Times New Roman" w:hAnsi="Times New Roman" w:cs="Times New Roman"/>
                <w:sz w:val="24"/>
                <w:szCs w:val="24"/>
              </w:rPr>
            </w:pPr>
          </w:p>
        </w:tc>
      </w:tr>
      <w:tr w:rsidR="003D1A3F" w:rsidRPr="00803ACA" w14:paraId="4DC5B4F7" w14:textId="77777777" w:rsidTr="005D3C7A">
        <w:tc>
          <w:tcPr>
            <w:tcW w:w="3230" w:type="dxa"/>
            <w:vAlign w:val="bottom"/>
          </w:tcPr>
          <w:p w14:paraId="2D2095DB" w14:textId="77777777" w:rsidR="00955CA3" w:rsidRPr="00803ACA" w:rsidRDefault="00955CA3"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Đại diện cho người nghỉ học mục tiêu</w:t>
            </w:r>
          </w:p>
        </w:tc>
        <w:tc>
          <w:tcPr>
            <w:tcW w:w="1142" w:type="dxa"/>
          </w:tcPr>
          <w:p w14:paraId="5621BFF5" w14:textId="64A0E450"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7,74%</w:t>
            </w:r>
          </w:p>
        </w:tc>
        <w:tc>
          <w:tcPr>
            <w:tcW w:w="1696" w:type="dxa"/>
          </w:tcPr>
          <w:p w14:paraId="67CE0C31" w14:textId="781D30B6"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38,32%</w:t>
            </w:r>
          </w:p>
        </w:tc>
        <w:tc>
          <w:tcPr>
            <w:tcW w:w="1047" w:type="dxa"/>
          </w:tcPr>
          <w:p w14:paraId="66B6AD1C" w14:textId="71228E76"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37,36%</w:t>
            </w:r>
          </w:p>
        </w:tc>
        <w:tc>
          <w:tcPr>
            <w:tcW w:w="1160" w:type="dxa"/>
          </w:tcPr>
          <w:p w14:paraId="091BE7F0" w14:textId="097CE525"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37,29%</w:t>
            </w:r>
          </w:p>
        </w:tc>
        <w:tc>
          <w:tcPr>
            <w:tcW w:w="1075" w:type="dxa"/>
          </w:tcPr>
          <w:p w14:paraId="0E9D90B9" w14:textId="39A8E490"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4,72%</w:t>
            </w:r>
          </w:p>
        </w:tc>
      </w:tr>
      <w:tr w:rsidR="003D1A3F" w:rsidRPr="00803ACA" w14:paraId="6B9415AE" w14:textId="77777777" w:rsidTr="005D3C7A">
        <w:tc>
          <w:tcPr>
            <w:tcW w:w="3230" w:type="dxa"/>
            <w:vAlign w:val="bottom"/>
          </w:tcPr>
          <w:p w14:paraId="34BC4491" w14:textId="77777777" w:rsidR="00955CA3" w:rsidRPr="00803ACA" w:rsidRDefault="00955CA3"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Đại diện cho người trả lời</w:t>
            </w:r>
          </w:p>
        </w:tc>
        <w:tc>
          <w:tcPr>
            <w:tcW w:w="1142" w:type="dxa"/>
          </w:tcPr>
          <w:p w14:paraId="359F4A8A" w14:textId="5AB729EC"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3,58%</w:t>
            </w:r>
          </w:p>
        </w:tc>
        <w:tc>
          <w:tcPr>
            <w:tcW w:w="1696" w:type="dxa"/>
          </w:tcPr>
          <w:p w14:paraId="3AFB5E22" w14:textId="7FB83170"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34,62%</w:t>
            </w:r>
          </w:p>
        </w:tc>
        <w:tc>
          <w:tcPr>
            <w:tcW w:w="1047" w:type="dxa"/>
          </w:tcPr>
          <w:p w14:paraId="58571B90" w14:textId="2329A6D2"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37,74%</w:t>
            </w:r>
          </w:p>
        </w:tc>
        <w:tc>
          <w:tcPr>
            <w:tcW w:w="1160" w:type="dxa"/>
          </w:tcPr>
          <w:p w14:paraId="20C93BA8" w14:textId="43FF492C"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36,89%</w:t>
            </w:r>
          </w:p>
        </w:tc>
        <w:tc>
          <w:tcPr>
            <w:tcW w:w="1075" w:type="dxa"/>
          </w:tcPr>
          <w:p w14:paraId="6302556D" w14:textId="7CDF7C62" w:rsidR="00955CA3" w:rsidRPr="00803ACA" w:rsidRDefault="007074AE"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5,28%</w:t>
            </w:r>
          </w:p>
        </w:tc>
      </w:tr>
      <w:tr w:rsidR="003D1A3F" w:rsidRPr="00803ACA" w14:paraId="0C715F37" w14:textId="77777777" w:rsidTr="005D3C7A">
        <w:tc>
          <w:tcPr>
            <w:tcW w:w="3230" w:type="dxa"/>
            <w:vAlign w:val="bottom"/>
          </w:tcPr>
          <w:p w14:paraId="2B10A14F" w14:textId="77777777" w:rsidR="00955CA3" w:rsidRPr="00803ACA" w:rsidRDefault="00955CA3" w:rsidP="005D3C7A">
            <w:pPr>
              <w:spacing w:line="276" w:lineRule="auto"/>
              <w:jc w:val="right"/>
              <w:rPr>
                <w:rFonts w:ascii="Times New Roman" w:hAnsi="Times New Roman" w:cs="Times New Roman"/>
                <w:b/>
                <w:bCs/>
                <w:sz w:val="24"/>
                <w:szCs w:val="24"/>
              </w:rPr>
            </w:pPr>
            <w:r w:rsidRPr="00803ACA">
              <w:rPr>
                <w:rFonts w:ascii="Times New Roman" w:hAnsi="Times New Roman" w:cs="Times New Roman"/>
                <w:b/>
                <w:bCs/>
                <w:sz w:val="24"/>
                <w:szCs w:val="24"/>
              </w:rPr>
              <w:t>Chênh lệch</w:t>
            </w:r>
          </w:p>
        </w:tc>
        <w:tc>
          <w:tcPr>
            <w:tcW w:w="1142" w:type="dxa"/>
          </w:tcPr>
          <w:p w14:paraId="38091929" w14:textId="534690C1" w:rsidR="00955CA3" w:rsidRPr="00803ACA" w:rsidRDefault="00381F8D" w:rsidP="001A73CE">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-4,16%</w:t>
            </w:r>
          </w:p>
        </w:tc>
        <w:tc>
          <w:tcPr>
            <w:tcW w:w="1696" w:type="dxa"/>
          </w:tcPr>
          <w:p w14:paraId="5016FBFB" w14:textId="6FD708DD" w:rsidR="00955CA3" w:rsidRPr="00803ACA" w:rsidRDefault="005D3C7A" w:rsidP="001A73CE">
            <w:pPr>
              <w:spacing w:line="276" w:lineRule="auto"/>
              <w:jc w:val="center"/>
              <w:rPr>
                <w:rFonts w:ascii="Times New Roman" w:hAnsi="Times New Roman" w:cs="Times New Roman"/>
                <w:b/>
                <w:bCs/>
                <w:sz w:val="24"/>
                <w:szCs w:val="24"/>
              </w:rPr>
            </w:pPr>
            <w:r w:rsidRPr="00803ACA">
              <w:rPr>
                <w:rFonts w:ascii="Times New Roman" w:hAnsi="Times New Roman" w:cs="Times New Roman"/>
                <w:b/>
                <w:bCs/>
                <w:sz w:val="24"/>
                <w:szCs w:val="24"/>
              </w:rPr>
              <w:t>-3,69%</w:t>
            </w:r>
          </w:p>
        </w:tc>
        <w:tc>
          <w:tcPr>
            <w:tcW w:w="1047" w:type="dxa"/>
          </w:tcPr>
          <w:p w14:paraId="1CCDADF8" w14:textId="7B3C7F3B" w:rsidR="00955CA3" w:rsidRPr="00803ACA" w:rsidRDefault="005D3C7A"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0,38%</w:t>
            </w:r>
          </w:p>
        </w:tc>
        <w:tc>
          <w:tcPr>
            <w:tcW w:w="1160" w:type="dxa"/>
          </w:tcPr>
          <w:p w14:paraId="1997B825" w14:textId="2B97C32C" w:rsidR="00955CA3" w:rsidRPr="00803ACA" w:rsidRDefault="005D3C7A"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-0,40%</w:t>
            </w:r>
          </w:p>
        </w:tc>
        <w:tc>
          <w:tcPr>
            <w:tcW w:w="1075" w:type="dxa"/>
          </w:tcPr>
          <w:p w14:paraId="6C802DFE" w14:textId="311793B9" w:rsidR="00955CA3" w:rsidRPr="00803ACA" w:rsidRDefault="005D3C7A" w:rsidP="001A73CE">
            <w:pPr>
              <w:spacing w:line="276" w:lineRule="auto"/>
              <w:jc w:val="center"/>
              <w:rPr>
                <w:rFonts w:ascii="Times New Roman" w:hAnsi="Times New Roman" w:cs="Times New Roman"/>
                <w:sz w:val="24"/>
                <w:szCs w:val="24"/>
              </w:rPr>
            </w:pPr>
            <w:r w:rsidRPr="00803ACA">
              <w:rPr>
                <w:rFonts w:ascii="Times New Roman" w:hAnsi="Times New Roman" w:cs="Times New Roman"/>
                <w:sz w:val="24"/>
                <w:szCs w:val="24"/>
              </w:rPr>
              <w:t>0,56%</w:t>
            </w:r>
          </w:p>
        </w:tc>
      </w:tr>
    </w:tbl>
    <w:p w14:paraId="72412DA8" w14:textId="77777777" w:rsidR="00955CA3" w:rsidRPr="00803ACA" w:rsidRDefault="00955CA3" w:rsidP="000C178C">
      <w:pPr>
        <w:spacing w:line="276" w:lineRule="auto"/>
        <w:rPr>
          <w:rFonts w:ascii="Times New Roman" w:hAnsi="Times New Roman" w:cs="Times New Roman"/>
          <w:sz w:val="24"/>
          <w:szCs w:val="24"/>
        </w:rPr>
      </w:pPr>
    </w:p>
    <w:p w14:paraId="5D90BD15" w14:textId="13AB4913" w:rsidR="00063ACD" w:rsidRPr="00803ACA" w:rsidRDefault="001B33A8" w:rsidP="00063ACD">
      <w:pPr>
        <w:rPr>
          <w:rFonts w:ascii="Times New Roman" w:eastAsia="Calibri" w:hAnsi="Times New Roman" w:cs="Times New Roman"/>
          <w:color w:val="212529"/>
          <w:sz w:val="24"/>
          <w:szCs w:val="24"/>
        </w:rPr>
      </w:pPr>
      <w:r w:rsidRPr="00347CDB">
        <w:rPr>
          <w:rFonts w:ascii="Times New Roman" w:hAnsi="Times New Roman" w:cs="Times New Roman"/>
          <w:color w:val="212529"/>
          <w:sz w:val="24"/>
          <w:szCs w:val="24"/>
        </w:rPr>
        <w:t>Tài liệu tham khảo về</w:t>
      </w:r>
      <w:r w:rsidR="00063ACD" w:rsidRPr="00803ACA">
        <w:rPr>
          <w:rFonts w:ascii="Times New Roman" w:hAnsi="Times New Roman" w:cs="Times New Roman"/>
          <w:color w:val="212529"/>
          <w:sz w:val="24"/>
          <w:szCs w:val="24"/>
        </w:rPr>
        <w:t xml:space="preserve"> Chỉ số 14</w:t>
      </w:r>
    </w:p>
    <w:p w14:paraId="3D114B48" w14:textId="01AEC389" w:rsidR="001A73CE" w:rsidRPr="00803ACA" w:rsidRDefault="00145102" w:rsidP="00145102">
      <w:pPr>
        <w:pStyle w:val="NoSpacing"/>
        <w:numPr>
          <w:ilvl w:val="0"/>
          <w:numId w:val="10"/>
        </w:numPr>
        <w:rPr>
          <w:rFonts w:ascii="Times New Roman" w:hAnsi="Times New Roman" w:cs="Times New Roman"/>
          <w:color w:val="0563C1"/>
        </w:rPr>
      </w:pPr>
      <w:hyperlink r:id="rId12" w:history="1">
        <w:r w:rsidR="001A73CE" w:rsidRPr="009207EF">
          <w:rPr>
            <w:rStyle w:val="Hyperlink"/>
            <w:rFonts w:ascii="Times New Roman" w:hAnsi="Times New Roman" w:cs="Times New Roman"/>
          </w:rPr>
          <w:t>PowerPoint về Chỉ số 14</w:t>
        </w:r>
      </w:hyperlink>
      <w:r w:rsidR="001A73CE" w:rsidRPr="00803ACA">
        <w:rPr>
          <w:rFonts w:ascii="Times New Roman" w:hAnsi="Times New Roman" w:cs="Times New Roman"/>
          <w:color w:val="0563C1"/>
        </w:rPr>
        <w:t xml:space="preserve"> </w:t>
      </w:r>
    </w:p>
    <w:p w14:paraId="283D2F81" w14:textId="3442D25C" w:rsidR="00063ACD" w:rsidRPr="00803ACA" w:rsidRDefault="00306ABB" w:rsidP="00063ACD">
      <w:pPr>
        <w:pStyle w:val="NoSpacing"/>
        <w:numPr>
          <w:ilvl w:val="0"/>
          <w:numId w:val="10"/>
        </w:numPr>
        <w:rPr>
          <w:rStyle w:val="Hyperlink"/>
          <w:rFonts w:ascii="Times New Roman" w:hAnsi="Times New Roman" w:cs="Times New Roman"/>
        </w:rPr>
      </w:pPr>
      <w:r w:rsidRPr="00803ACA">
        <w:rPr>
          <w:rFonts w:ascii="Times New Roman" w:hAnsi="Times New Roman" w:cs="Times New Roman"/>
        </w:rPr>
        <w:fldChar w:fldCharType="begin"/>
      </w:r>
      <w:r w:rsidRPr="00803ACA">
        <w:rPr>
          <w:rFonts w:ascii="Times New Roman" w:hAnsi="Times New Roman" w:cs="Times New Roman"/>
        </w:rPr>
        <w:instrText xml:space="preserve"> HYPERLINK "https://www.doe.mass.edu/sped/secondary-transition/indicator14.html" </w:instrText>
      </w:r>
      <w:r w:rsidRPr="00803ACA">
        <w:rPr>
          <w:rFonts w:ascii="Times New Roman" w:hAnsi="Times New Roman" w:cs="Times New Roman"/>
        </w:rPr>
      </w:r>
      <w:r w:rsidRPr="00803ACA">
        <w:rPr>
          <w:rFonts w:ascii="Times New Roman" w:hAnsi="Times New Roman" w:cs="Times New Roman"/>
        </w:rPr>
        <w:fldChar w:fldCharType="separate"/>
      </w:r>
      <w:r w:rsidRPr="00803ACA">
        <w:rPr>
          <w:rStyle w:val="Hyperlink"/>
          <w:rFonts w:ascii="Times New Roman" w:hAnsi="Times New Roman" w:cs="Times New Roman"/>
        </w:rPr>
        <w:t>Massachusetts Indicator 14</w:t>
      </w:r>
    </w:p>
    <w:p w14:paraId="4E54332A" w14:textId="0ADDC8BA" w:rsidR="00063ACD" w:rsidRPr="00803ACA" w:rsidRDefault="00306ABB" w:rsidP="00063ACD">
      <w:pPr>
        <w:pStyle w:val="NoSpacing"/>
        <w:numPr>
          <w:ilvl w:val="0"/>
          <w:numId w:val="10"/>
        </w:numPr>
        <w:rPr>
          <w:rFonts w:ascii="Times New Roman" w:hAnsi="Times New Roman" w:cs="Times New Roman"/>
          <w:color w:val="0563C1"/>
        </w:rPr>
      </w:pPr>
      <w:r w:rsidRPr="00803ACA">
        <w:rPr>
          <w:rFonts w:ascii="Times New Roman" w:hAnsi="Times New Roman" w:cs="Times New Roman"/>
        </w:rPr>
        <w:fldChar w:fldCharType="end"/>
      </w:r>
      <w:hyperlink r:id="rId13">
        <w:r w:rsidRPr="00803ACA">
          <w:rPr>
            <w:rStyle w:val="Hyperlink"/>
            <w:rFonts w:ascii="Times New Roman" w:hAnsi="Times New Roman" w:cs="Times New Roman"/>
          </w:rPr>
          <w:t>Statewide Indicator Data</w:t>
        </w:r>
      </w:hyperlink>
    </w:p>
    <w:p w14:paraId="0F3BC128" w14:textId="77777777" w:rsidR="00063ACD" w:rsidRPr="00803ACA" w:rsidRDefault="00145102" w:rsidP="00063ACD">
      <w:pPr>
        <w:pStyle w:val="NoSpacing"/>
        <w:numPr>
          <w:ilvl w:val="0"/>
          <w:numId w:val="10"/>
        </w:numPr>
        <w:rPr>
          <w:rFonts w:ascii="Times New Roman" w:hAnsi="Times New Roman" w:cs="Times New Roman"/>
          <w:color w:val="0563C1"/>
        </w:rPr>
      </w:pPr>
      <w:hyperlink r:id="rId14">
        <w:r w:rsidR="00063ACD" w:rsidRPr="00803ACA">
          <w:rPr>
            <w:rStyle w:val="Hyperlink"/>
            <w:rFonts w:ascii="Times New Roman" w:hAnsi="Times New Roman" w:cs="Times New Roman"/>
          </w:rPr>
          <w:t>U.S. Office of Special Education Programs (OSEP) SPP/APR Letters</w:t>
        </w:r>
      </w:hyperlink>
    </w:p>
    <w:p w14:paraId="1159109D" w14:textId="7B36B076" w:rsidR="009C05ED" w:rsidRPr="00803ACA" w:rsidRDefault="009C05ED" w:rsidP="009C05ED">
      <w:pPr>
        <w:rPr>
          <w:rFonts w:ascii="Times New Roman" w:hAnsi="Times New Roman" w:cs="Times New Roman"/>
        </w:rPr>
      </w:pPr>
    </w:p>
    <w:sectPr w:rsidR="009C05ED" w:rsidRPr="00803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8CC"/>
    <w:multiLevelType w:val="hybridMultilevel"/>
    <w:tmpl w:val="59F6913C"/>
    <w:lvl w:ilvl="0" w:tplc="4598297C">
      <w:start w:val="1"/>
      <w:numFmt w:val="bullet"/>
      <w:lvlText w:val=""/>
      <w:lvlJc w:val="left"/>
      <w:pPr>
        <w:ind w:left="720" w:hanging="360"/>
      </w:pPr>
      <w:rPr>
        <w:rFonts w:ascii="Symbol" w:hAnsi="Symbol" w:hint="default"/>
      </w:rPr>
    </w:lvl>
    <w:lvl w:ilvl="1" w:tplc="D84698CE">
      <w:start w:val="1"/>
      <w:numFmt w:val="bullet"/>
      <w:lvlText w:val="o"/>
      <w:lvlJc w:val="left"/>
      <w:pPr>
        <w:ind w:left="1440" w:hanging="360"/>
      </w:pPr>
      <w:rPr>
        <w:rFonts w:ascii="Courier New" w:hAnsi="Courier New" w:hint="default"/>
      </w:rPr>
    </w:lvl>
    <w:lvl w:ilvl="2" w:tplc="9ED84922">
      <w:start w:val="1"/>
      <w:numFmt w:val="bullet"/>
      <w:lvlText w:val=""/>
      <w:lvlJc w:val="left"/>
      <w:pPr>
        <w:ind w:left="2160" w:hanging="360"/>
      </w:pPr>
      <w:rPr>
        <w:rFonts w:ascii="Wingdings" w:hAnsi="Wingdings" w:hint="default"/>
      </w:rPr>
    </w:lvl>
    <w:lvl w:ilvl="3" w:tplc="0DCEF960">
      <w:start w:val="1"/>
      <w:numFmt w:val="bullet"/>
      <w:lvlText w:val=""/>
      <w:lvlJc w:val="left"/>
      <w:pPr>
        <w:ind w:left="2880" w:hanging="360"/>
      </w:pPr>
      <w:rPr>
        <w:rFonts w:ascii="Symbol" w:hAnsi="Symbol" w:hint="default"/>
      </w:rPr>
    </w:lvl>
    <w:lvl w:ilvl="4" w:tplc="683E7C46">
      <w:start w:val="1"/>
      <w:numFmt w:val="bullet"/>
      <w:lvlText w:val="o"/>
      <w:lvlJc w:val="left"/>
      <w:pPr>
        <w:ind w:left="3600" w:hanging="360"/>
      </w:pPr>
      <w:rPr>
        <w:rFonts w:ascii="Courier New" w:hAnsi="Courier New" w:hint="default"/>
      </w:rPr>
    </w:lvl>
    <w:lvl w:ilvl="5" w:tplc="10305D64">
      <w:start w:val="1"/>
      <w:numFmt w:val="bullet"/>
      <w:lvlText w:val=""/>
      <w:lvlJc w:val="left"/>
      <w:pPr>
        <w:ind w:left="4320" w:hanging="360"/>
      </w:pPr>
      <w:rPr>
        <w:rFonts w:ascii="Wingdings" w:hAnsi="Wingdings" w:hint="default"/>
      </w:rPr>
    </w:lvl>
    <w:lvl w:ilvl="6" w:tplc="1EC6E472">
      <w:start w:val="1"/>
      <w:numFmt w:val="bullet"/>
      <w:lvlText w:val=""/>
      <w:lvlJc w:val="left"/>
      <w:pPr>
        <w:ind w:left="5040" w:hanging="360"/>
      </w:pPr>
      <w:rPr>
        <w:rFonts w:ascii="Symbol" w:hAnsi="Symbol" w:hint="default"/>
      </w:rPr>
    </w:lvl>
    <w:lvl w:ilvl="7" w:tplc="7B40BDE2">
      <w:start w:val="1"/>
      <w:numFmt w:val="bullet"/>
      <w:lvlText w:val="o"/>
      <w:lvlJc w:val="left"/>
      <w:pPr>
        <w:ind w:left="5760" w:hanging="360"/>
      </w:pPr>
      <w:rPr>
        <w:rFonts w:ascii="Courier New" w:hAnsi="Courier New" w:hint="default"/>
      </w:rPr>
    </w:lvl>
    <w:lvl w:ilvl="8" w:tplc="0074E136">
      <w:start w:val="1"/>
      <w:numFmt w:val="bullet"/>
      <w:lvlText w:val=""/>
      <w:lvlJc w:val="left"/>
      <w:pPr>
        <w:ind w:left="6480" w:hanging="360"/>
      </w:pPr>
      <w:rPr>
        <w:rFonts w:ascii="Wingdings" w:hAnsi="Wingdings" w:hint="default"/>
      </w:rPr>
    </w:lvl>
  </w:abstractNum>
  <w:abstractNum w:abstractNumId="1" w15:restartNumberingAfterBreak="0">
    <w:nsid w:val="0E3C3AC6"/>
    <w:multiLevelType w:val="hybridMultilevel"/>
    <w:tmpl w:val="4B3A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B6D7E"/>
    <w:multiLevelType w:val="hybridMultilevel"/>
    <w:tmpl w:val="A1D86C94"/>
    <w:lvl w:ilvl="0" w:tplc="08005008">
      <w:start w:val="1"/>
      <w:numFmt w:val="bullet"/>
      <w:lvlText w:val=""/>
      <w:lvlJc w:val="left"/>
      <w:pPr>
        <w:ind w:left="720" w:hanging="360"/>
      </w:pPr>
      <w:rPr>
        <w:rFonts w:ascii="Symbol" w:hAnsi="Symbol" w:hint="default"/>
      </w:rPr>
    </w:lvl>
    <w:lvl w:ilvl="1" w:tplc="B824EE6C">
      <w:start w:val="1"/>
      <w:numFmt w:val="bullet"/>
      <w:lvlText w:val="o"/>
      <w:lvlJc w:val="left"/>
      <w:pPr>
        <w:ind w:left="1440" w:hanging="360"/>
      </w:pPr>
      <w:rPr>
        <w:rFonts w:ascii="Courier New" w:hAnsi="Courier New" w:hint="default"/>
      </w:rPr>
    </w:lvl>
    <w:lvl w:ilvl="2" w:tplc="2402B5A8">
      <w:start w:val="1"/>
      <w:numFmt w:val="bullet"/>
      <w:lvlText w:val=""/>
      <w:lvlJc w:val="left"/>
      <w:pPr>
        <w:ind w:left="2160" w:hanging="360"/>
      </w:pPr>
      <w:rPr>
        <w:rFonts w:ascii="Wingdings" w:hAnsi="Wingdings" w:hint="default"/>
      </w:rPr>
    </w:lvl>
    <w:lvl w:ilvl="3" w:tplc="8AA8D410">
      <w:start w:val="1"/>
      <w:numFmt w:val="bullet"/>
      <w:lvlText w:val=""/>
      <w:lvlJc w:val="left"/>
      <w:pPr>
        <w:ind w:left="2880" w:hanging="360"/>
      </w:pPr>
      <w:rPr>
        <w:rFonts w:ascii="Symbol" w:hAnsi="Symbol" w:hint="default"/>
      </w:rPr>
    </w:lvl>
    <w:lvl w:ilvl="4" w:tplc="244E0640">
      <w:start w:val="1"/>
      <w:numFmt w:val="bullet"/>
      <w:lvlText w:val="o"/>
      <w:lvlJc w:val="left"/>
      <w:pPr>
        <w:ind w:left="3600" w:hanging="360"/>
      </w:pPr>
      <w:rPr>
        <w:rFonts w:ascii="Courier New" w:hAnsi="Courier New" w:hint="default"/>
      </w:rPr>
    </w:lvl>
    <w:lvl w:ilvl="5" w:tplc="2220AB2C">
      <w:start w:val="1"/>
      <w:numFmt w:val="bullet"/>
      <w:lvlText w:val=""/>
      <w:lvlJc w:val="left"/>
      <w:pPr>
        <w:ind w:left="4320" w:hanging="360"/>
      </w:pPr>
      <w:rPr>
        <w:rFonts w:ascii="Wingdings" w:hAnsi="Wingdings" w:hint="default"/>
      </w:rPr>
    </w:lvl>
    <w:lvl w:ilvl="6" w:tplc="53926490">
      <w:start w:val="1"/>
      <w:numFmt w:val="bullet"/>
      <w:lvlText w:val=""/>
      <w:lvlJc w:val="left"/>
      <w:pPr>
        <w:ind w:left="5040" w:hanging="360"/>
      </w:pPr>
      <w:rPr>
        <w:rFonts w:ascii="Symbol" w:hAnsi="Symbol" w:hint="default"/>
      </w:rPr>
    </w:lvl>
    <w:lvl w:ilvl="7" w:tplc="7604ECA0">
      <w:start w:val="1"/>
      <w:numFmt w:val="bullet"/>
      <w:lvlText w:val="o"/>
      <w:lvlJc w:val="left"/>
      <w:pPr>
        <w:ind w:left="5760" w:hanging="360"/>
      </w:pPr>
      <w:rPr>
        <w:rFonts w:ascii="Courier New" w:hAnsi="Courier New" w:hint="default"/>
      </w:rPr>
    </w:lvl>
    <w:lvl w:ilvl="8" w:tplc="547203EE">
      <w:start w:val="1"/>
      <w:numFmt w:val="bullet"/>
      <w:lvlText w:val=""/>
      <w:lvlJc w:val="left"/>
      <w:pPr>
        <w:ind w:left="6480" w:hanging="360"/>
      </w:pPr>
      <w:rPr>
        <w:rFonts w:ascii="Wingdings" w:hAnsi="Wingdings" w:hint="default"/>
      </w:rPr>
    </w:lvl>
  </w:abstractNum>
  <w:abstractNum w:abstractNumId="3" w15:restartNumberingAfterBreak="0">
    <w:nsid w:val="32D97E46"/>
    <w:multiLevelType w:val="hybridMultilevel"/>
    <w:tmpl w:val="3C0E6E02"/>
    <w:lvl w:ilvl="0" w:tplc="B2FE3F3E">
      <w:start w:val="1"/>
      <w:numFmt w:val="upperLetter"/>
      <w:lvlText w:val="%1."/>
      <w:lvlJc w:val="left"/>
      <w:pPr>
        <w:ind w:left="720" w:hanging="360"/>
      </w:pPr>
    </w:lvl>
    <w:lvl w:ilvl="1" w:tplc="84808E58">
      <w:start w:val="1"/>
      <w:numFmt w:val="lowerLetter"/>
      <w:lvlText w:val="%2."/>
      <w:lvlJc w:val="left"/>
      <w:pPr>
        <w:ind w:left="1440" w:hanging="360"/>
      </w:pPr>
    </w:lvl>
    <w:lvl w:ilvl="2" w:tplc="38B85106">
      <w:start w:val="1"/>
      <w:numFmt w:val="lowerRoman"/>
      <w:lvlText w:val="%3."/>
      <w:lvlJc w:val="right"/>
      <w:pPr>
        <w:ind w:left="2160" w:hanging="180"/>
      </w:pPr>
    </w:lvl>
    <w:lvl w:ilvl="3" w:tplc="C32CE154">
      <w:start w:val="1"/>
      <w:numFmt w:val="decimal"/>
      <w:lvlText w:val="%4."/>
      <w:lvlJc w:val="left"/>
      <w:pPr>
        <w:ind w:left="2880" w:hanging="360"/>
      </w:pPr>
    </w:lvl>
    <w:lvl w:ilvl="4" w:tplc="FD3EF874">
      <w:start w:val="1"/>
      <w:numFmt w:val="lowerLetter"/>
      <w:lvlText w:val="%5."/>
      <w:lvlJc w:val="left"/>
      <w:pPr>
        <w:ind w:left="3600" w:hanging="360"/>
      </w:pPr>
    </w:lvl>
    <w:lvl w:ilvl="5" w:tplc="13920FF6">
      <w:start w:val="1"/>
      <w:numFmt w:val="lowerRoman"/>
      <w:lvlText w:val="%6."/>
      <w:lvlJc w:val="right"/>
      <w:pPr>
        <w:ind w:left="4320" w:hanging="180"/>
      </w:pPr>
    </w:lvl>
    <w:lvl w:ilvl="6" w:tplc="CC1AAE88">
      <w:start w:val="1"/>
      <w:numFmt w:val="decimal"/>
      <w:lvlText w:val="%7."/>
      <w:lvlJc w:val="left"/>
      <w:pPr>
        <w:ind w:left="5040" w:hanging="360"/>
      </w:pPr>
    </w:lvl>
    <w:lvl w:ilvl="7" w:tplc="2E8C2220">
      <w:start w:val="1"/>
      <w:numFmt w:val="lowerLetter"/>
      <w:lvlText w:val="%8."/>
      <w:lvlJc w:val="left"/>
      <w:pPr>
        <w:ind w:left="5760" w:hanging="360"/>
      </w:pPr>
    </w:lvl>
    <w:lvl w:ilvl="8" w:tplc="876223F8">
      <w:start w:val="1"/>
      <w:numFmt w:val="lowerRoman"/>
      <w:lvlText w:val="%9."/>
      <w:lvlJc w:val="right"/>
      <w:pPr>
        <w:ind w:left="6480" w:hanging="180"/>
      </w:pPr>
    </w:lvl>
  </w:abstractNum>
  <w:abstractNum w:abstractNumId="4" w15:restartNumberingAfterBreak="0">
    <w:nsid w:val="42031E4D"/>
    <w:multiLevelType w:val="hybridMultilevel"/>
    <w:tmpl w:val="70FA9F96"/>
    <w:lvl w:ilvl="0" w:tplc="1BBC4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D08E9"/>
    <w:multiLevelType w:val="hybridMultilevel"/>
    <w:tmpl w:val="DC1A7EBC"/>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85D59EF"/>
    <w:multiLevelType w:val="hybridMultilevel"/>
    <w:tmpl w:val="B22E16DE"/>
    <w:lvl w:ilvl="0" w:tplc="12D49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722BB"/>
    <w:multiLevelType w:val="hybridMultilevel"/>
    <w:tmpl w:val="2A22BCF6"/>
    <w:lvl w:ilvl="0" w:tplc="18D6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D3051"/>
    <w:multiLevelType w:val="multilevel"/>
    <w:tmpl w:val="7CF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600F3"/>
    <w:multiLevelType w:val="hybridMultilevel"/>
    <w:tmpl w:val="33BE4D8E"/>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221E0"/>
    <w:multiLevelType w:val="hybridMultilevel"/>
    <w:tmpl w:val="2F08B964"/>
    <w:lvl w:ilvl="0" w:tplc="BC30F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293180">
    <w:abstractNumId w:val="1"/>
  </w:num>
  <w:num w:numId="2" w16cid:durableId="2010476013">
    <w:abstractNumId w:val="11"/>
  </w:num>
  <w:num w:numId="3" w16cid:durableId="1945844584">
    <w:abstractNumId w:val="4"/>
  </w:num>
  <w:num w:numId="4" w16cid:durableId="424691024">
    <w:abstractNumId w:val="7"/>
  </w:num>
  <w:num w:numId="5" w16cid:durableId="2007708954">
    <w:abstractNumId w:val="10"/>
  </w:num>
  <w:num w:numId="6" w16cid:durableId="209998046">
    <w:abstractNumId w:val="5"/>
  </w:num>
  <w:num w:numId="7" w16cid:durableId="1942565774">
    <w:abstractNumId w:val="8"/>
  </w:num>
  <w:num w:numId="8" w16cid:durableId="1644962927">
    <w:abstractNumId w:val="9"/>
  </w:num>
  <w:num w:numId="9" w16cid:durableId="274949053">
    <w:abstractNumId w:val="6"/>
  </w:num>
  <w:num w:numId="10" w16cid:durableId="1146703631">
    <w:abstractNumId w:val="0"/>
  </w:num>
  <w:num w:numId="11" w16cid:durableId="1903981740">
    <w:abstractNumId w:val="2"/>
  </w:num>
  <w:num w:numId="12" w16cid:durableId="963390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FC"/>
    <w:rsid w:val="00004674"/>
    <w:rsid w:val="00047FB3"/>
    <w:rsid w:val="00063ACD"/>
    <w:rsid w:val="000C178C"/>
    <w:rsid w:val="000D4F15"/>
    <w:rsid w:val="000E7A70"/>
    <w:rsid w:val="000F6BF8"/>
    <w:rsid w:val="00137A4E"/>
    <w:rsid w:val="00145102"/>
    <w:rsid w:val="00172C45"/>
    <w:rsid w:val="00187B3E"/>
    <w:rsid w:val="001A73CE"/>
    <w:rsid w:val="001B33A8"/>
    <w:rsid w:val="002043E0"/>
    <w:rsid w:val="0021614E"/>
    <w:rsid w:val="00251C1D"/>
    <w:rsid w:val="002C28DE"/>
    <w:rsid w:val="002C5716"/>
    <w:rsid w:val="00306ABB"/>
    <w:rsid w:val="00326486"/>
    <w:rsid w:val="00336791"/>
    <w:rsid w:val="00347CDB"/>
    <w:rsid w:val="00381F8D"/>
    <w:rsid w:val="003873B1"/>
    <w:rsid w:val="003C2826"/>
    <w:rsid w:val="003D1A3F"/>
    <w:rsid w:val="00447069"/>
    <w:rsid w:val="00464AA3"/>
    <w:rsid w:val="00481B5A"/>
    <w:rsid w:val="004A57FC"/>
    <w:rsid w:val="004E4D6D"/>
    <w:rsid w:val="005A3A44"/>
    <w:rsid w:val="005A501B"/>
    <w:rsid w:val="005D3C7A"/>
    <w:rsid w:val="006B58F7"/>
    <w:rsid w:val="006D0686"/>
    <w:rsid w:val="006E767E"/>
    <w:rsid w:val="007074AE"/>
    <w:rsid w:val="00736E44"/>
    <w:rsid w:val="00751589"/>
    <w:rsid w:val="00774EEB"/>
    <w:rsid w:val="00776391"/>
    <w:rsid w:val="007F222E"/>
    <w:rsid w:val="007F5F2B"/>
    <w:rsid w:val="00803ACA"/>
    <w:rsid w:val="00812294"/>
    <w:rsid w:val="008250E9"/>
    <w:rsid w:val="00830DAA"/>
    <w:rsid w:val="00835242"/>
    <w:rsid w:val="00837A93"/>
    <w:rsid w:val="00852E50"/>
    <w:rsid w:val="008B1869"/>
    <w:rsid w:val="008F1927"/>
    <w:rsid w:val="009207EF"/>
    <w:rsid w:val="00955CA3"/>
    <w:rsid w:val="00991F09"/>
    <w:rsid w:val="009C05ED"/>
    <w:rsid w:val="009F3900"/>
    <w:rsid w:val="00A06DF3"/>
    <w:rsid w:val="00A25109"/>
    <w:rsid w:val="00A57B27"/>
    <w:rsid w:val="00A719CF"/>
    <w:rsid w:val="00B20D71"/>
    <w:rsid w:val="00B3032C"/>
    <w:rsid w:val="00B66E4C"/>
    <w:rsid w:val="00B77FEC"/>
    <w:rsid w:val="00BA68EE"/>
    <w:rsid w:val="00BE68DF"/>
    <w:rsid w:val="00BE7B45"/>
    <w:rsid w:val="00C64402"/>
    <w:rsid w:val="00C727AA"/>
    <w:rsid w:val="00C857BE"/>
    <w:rsid w:val="00CD0566"/>
    <w:rsid w:val="00D0241E"/>
    <w:rsid w:val="00D41ED8"/>
    <w:rsid w:val="00D74EC9"/>
    <w:rsid w:val="00D8059D"/>
    <w:rsid w:val="00E01E7C"/>
    <w:rsid w:val="00E36FDD"/>
    <w:rsid w:val="00E83114"/>
    <w:rsid w:val="00E87E48"/>
    <w:rsid w:val="00EA55CD"/>
    <w:rsid w:val="00ED33FF"/>
    <w:rsid w:val="00F0167C"/>
    <w:rsid w:val="00F050A8"/>
    <w:rsid w:val="00F10545"/>
    <w:rsid w:val="00F55201"/>
    <w:rsid w:val="00F75AAA"/>
    <w:rsid w:val="00F93ACF"/>
    <w:rsid w:val="00F95086"/>
    <w:rsid w:val="00FB6BBC"/>
    <w:rsid w:val="3BACB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763B"/>
  <w15:chartTrackingRefBased/>
  <w15:docId w15:val="{1D499A38-570B-4F09-8719-80CA7E03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66"/>
    <w:pPr>
      <w:ind w:left="720"/>
      <w:contextualSpacing/>
    </w:pPr>
  </w:style>
  <w:style w:type="character" w:customStyle="1" w:styleId="Heading1Char">
    <w:name w:val="Heading 1 Char"/>
    <w:basedOn w:val="DefaultParagraphFont"/>
    <w:link w:val="Heading1"/>
    <w:uiPriority w:val="9"/>
    <w:rsid w:val="00B20D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05ED"/>
    <w:rPr>
      <w:color w:val="0563C1" w:themeColor="hyperlink"/>
      <w:u w:val="single"/>
    </w:rPr>
  </w:style>
  <w:style w:type="character" w:styleId="UnresolvedMention">
    <w:name w:val="Unresolved Mention"/>
    <w:basedOn w:val="DefaultParagraphFont"/>
    <w:uiPriority w:val="99"/>
    <w:semiHidden/>
    <w:unhideWhenUsed/>
    <w:rsid w:val="009C05ED"/>
    <w:rPr>
      <w:color w:val="605E5C"/>
      <w:shd w:val="clear" w:color="auto" w:fill="E1DFDD"/>
    </w:rPr>
  </w:style>
  <w:style w:type="character" w:customStyle="1" w:styleId="Heading2Char">
    <w:name w:val="Heading 2 Char"/>
    <w:basedOn w:val="DefaultParagraphFont"/>
    <w:link w:val="Heading2"/>
    <w:uiPriority w:val="9"/>
    <w:rsid w:val="002C571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F5F2B"/>
    <w:pPr>
      <w:spacing w:after="0" w:line="240" w:lineRule="auto"/>
    </w:pPr>
    <w:rPr>
      <w:rFonts w:eastAsiaTheme="minorEastAsia"/>
      <w:sz w:val="24"/>
      <w:lang w:bidi="en-US"/>
    </w:rPr>
  </w:style>
  <w:style w:type="character" w:styleId="CommentReference">
    <w:name w:val="annotation reference"/>
    <w:basedOn w:val="DefaultParagraphFont"/>
    <w:uiPriority w:val="99"/>
    <w:semiHidden/>
    <w:unhideWhenUsed/>
    <w:rsid w:val="002C28DE"/>
    <w:rPr>
      <w:sz w:val="16"/>
      <w:szCs w:val="16"/>
    </w:rPr>
  </w:style>
  <w:style w:type="paragraph" w:styleId="CommentText">
    <w:name w:val="annotation text"/>
    <w:basedOn w:val="Normal"/>
    <w:link w:val="CommentTextChar"/>
    <w:uiPriority w:val="99"/>
    <w:unhideWhenUsed/>
    <w:rsid w:val="002C28DE"/>
    <w:pPr>
      <w:spacing w:line="240" w:lineRule="auto"/>
    </w:pPr>
    <w:rPr>
      <w:sz w:val="20"/>
      <w:szCs w:val="20"/>
    </w:rPr>
  </w:style>
  <w:style w:type="character" w:customStyle="1" w:styleId="CommentTextChar">
    <w:name w:val="Comment Text Char"/>
    <w:basedOn w:val="DefaultParagraphFont"/>
    <w:link w:val="CommentText"/>
    <w:uiPriority w:val="99"/>
    <w:rsid w:val="002C28DE"/>
    <w:rPr>
      <w:sz w:val="20"/>
      <w:szCs w:val="20"/>
    </w:rPr>
  </w:style>
  <w:style w:type="paragraph" w:styleId="CommentSubject">
    <w:name w:val="annotation subject"/>
    <w:basedOn w:val="CommentText"/>
    <w:next w:val="CommentText"/>
    <w:link w:val="CommentSubjectChar"/>
    <w:uiPriority w:val="99"/>
    <w:semiHidden/>
    <w:unhideWhenUsed/>
    <w:rsid w:val="002C28DE"/>
    <w:rPr>
      <w:b/>
      <w:bCs/>
    </w:rPr>
  </w:style>
  <w:style w:type="character" w:customStyle="1" w:styleId="CommentSubjectChar">
    <w:name w:val="Comment Subject Char"/>
    <w:basedOn w:val="CommentTextChar"/>
    <w:link w:val="CommentSubject"/>
    <w:uiPriority w:val="99"/>
    <w:semiHidden/>
    <w:rsid w:val="002C28DE"/>
    <w:rPr>
      <w:b/>
      <w:bCs/>
      <w:sz w:val="20"/>
      <w:szCs w:val="20"/>
    </w:rPr>
  </w:style>
  <w:style w:type="character" w:styleId="FollowedHyperlink">
    <w:name w:val="FollowedHyperlink"/>
    <w:basedOn w:val="DefaultParagraphFont"/>
    <w:uiPriority w:val="99"/>
    <w:semiHidden/>
    <w:unhideWhenUsed/>
    <w:rsid w:val="002C28DE"/>
    <w:rPr>
      <w:color w:val="954F72" w:themeColor="followedHyperlink"/>
      <w:u w:val="single"/>
    </w:rPr>
  </w:style>
  <w:style w:type="table" w:styleId="TableGrid">
    <w:name w:val="Table Grid"/>
    <w:basedOn w:val="TableNormal"/>
    <w:uiPriority w:val="39"/>
    <w:rsid w:val="00F1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9F3900"/>
    <w:pPr>
      <w:spacing w:before="100" w:beforeAutospacing="1" w:after="100" w:afterAutospacing="1" w:line="240" w:lineRule="auto"/>
    </w:pPr>
    <w:rPr>
      <w:rFonts w:ascii="Arial"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070">
      <w:bodyDiv w:val="1"/>
      <w:marLeft w:val="0"/>
      <w:marRight w:val="0"/>
      <w:marTop w:val="0"/>
      <w:marBottom w:val="0"/>
      <w:divBdr>
        <w:top w:val="none" w:sz="0" w:space="0" w:color="auto"/>
        <w:left w:val="none" w:sz="0" w:space="0" w:color="auto"/>
        <w:bottom w:val="none" w:sz="0" w:space="0" w:color="auto"/>
        <w:right w:val="none" w:sz="0" w:space="0" w:color="auto"/>
      </w:divBdr>
    </w:div>
    <w:div w:id="1132285351">
      <w:bodyDiv w:val="1"/>
      <w:marLeft w:val="0"/>
      <w:marRight w:val="0"/>
      <w:marTop w:val="0"/>
      <w:marBottom w:val="0"/>
      <w:divBdr>
        <w:top w:val="none" w:sz="0" w:space="0" w:color="auto"/>
        <w:left w:val="none" w:sz="0" w:space="0" w:color="auto"/>
        <w:bottom w:val="none" w:sz="0" w:space="0" w:color="auto"/>
        <w:right w:val="none" w:sz="0" w:space="0" w:color="auto"/>
      </w:divBdr>
    </w:div>
    <w:div w:id="1206407040">
      <w:bodyDiv w:val="1"/>
      <w:marLeft w:val="0"/>
      <w:marRight w:val="0"/>
      <w:marTop w:val="0"/>
      <w:marBottom w:val="0"/>
      <w:divBdr>
        <w:top w:val="none" w:sz="0" w:space="0" w:color="auto"/>
        <w:left w:val="none" w:sz="0" w:space="0" w:color="auto"/>
        <w:bottom w:val="none" w:sz="0" w:space="0" w:color="auto"/>
        <w:right w:val="none" w:sz="0" w:space="0" w:color="auto"/>
      </w:divBdr>
    </w:div>
    <w:div w:id="1541895481">
      <w:bodyDiv w:val="1"/>
      <w:marLeft w:val="0"/>
      <w:marRight w:val="0"/>
      <w:marTop w:val="0"/>
      <w:marBottom w:val="0"/>
      <w:divBdr>
        <w:top w:val="none" w:sz="0" w:space="0" w:color="auto"/>
        <w:left w:val="none" w:sz="0" w:space="0" w:color="auto"/>
        <w:bottom w:val="none" w:sz="0" w:space="0" w:color="auto"/>
        <w:right w:val="none" w:sz="0" w:space="0" w:color="auto"/>
      </w:divBdr>
    </w:div>
    <w:div w:id="1610703719">
      <w:bodyDiv w:val="1"/>
      <w:marLeft w:val="0"/>
      <w:marRight w:val="0"/>
      <w:marTop w:val="0"/>
      <w:marBottom w:val="0"/>
      <w:divBdr>
        <w:top w:val="none" w:sz="0" w:space="0" w:color="auto"/>
        <w:left w:val="none" w:sz="0" w:space="0" w:color="auto"/>
        <w:bottom w:val="none" w:sz="0" w:space="0" w:color="auto"/>
        <w:right w:val="none" w:sz="0" w:space="0" w:color="auto"/>
      </w:divBdr>
    </w:div>
    <w:div w:id="1905678275">
      <w:bodyDiv w:val="1"/>
      <w:marLeft w:val="0"/>
      <w:marRight w:val="0"/>
      <w:marTop w:val="0"/>
      <w:marBottom w:val="0"/>
      <w:divBdr>
        <w:top w:val="none" w:sz="0" w:space="0" w:color="auto"/>
        <w:left w:val="none" w:sz="0" w:space="0" w:color="auto"/>
        <w:bottom w:val="none" w:sz="0" w:space="0" w:color="auto"/>
        <w:right w:val="none" w:sz="0" w:space="0" w:color="auto"/>
      </w:divBdr>
    </w:div>
    <w:div w:id="1939213579">
      <w:bodyDiv w:val="1"/>
      <w:marLeft w:val="0"/>
      <w:marRight w:val="0"/>
      <w:marTop w:val="0"/>
      <w:marBottom w:val="0"/>
      <w:divBdr>
        <w:top w:val="none" w:sz="0" w:space="0" w:color="auto"/>
        <w:left w:val="none" w:sz="0" w:space="0" w:color="auto"/>
        <w:bottom w:val="none" w:sz="0" w:space="0" w:color="auto"/>
        <w:right w:val="none" w:sz="0" w:space="0" w:color="auto"/>
      </w:divBdr>
    </w:div>
    <w:div w:id="20604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4/indicator14-chinese.docx" TargetMode="External"/><Relationship Id="rId13" Type="http://schemas.openxmlformats.org/officeDocument/2006/relationships/hyperlink" Target="https://profiles.doe.mass.edu/statereport/special_education.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spp/indicators/indicator14/indicator14-slides-vietnamese.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4/indicator14-spanish.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sped/spp/indicators/indicator14/indicator14-portuguese.docx" TargetMode="External"/><Relationship Id="rId4" Type="http://schemas.openxmlformats.org/officeDocument/2006/relationships/numbering" Target="numbering.xml"/><Relationship Id="rId9" Type="http://schemas.openxmlformats.org/officeDocument/2006/relationships/hyperlink" Target="https://www.doe.mass.edu/sped/spp/indicators/indicator14/indicator14-haitiancreole.docx" TargetMode="External"/><Relationship Id="rId14" Type="http://schemas.openxmlformats.org/officeDocument/2006/relationships/hyperlink" Target="https://sites.ed.gov/idea/spp-apr-letters?selected-category=&amp;selected-year=&amp;state=Massachuse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Hanafin, Bob (DESE)</DisplayName>
        <AccountId>25</AccountId>
        <AccountType/>
      </UserInfo>
      <UserInfo>
        <DisplayName>Tobey, Gregory (DESE)</DisplayName>
        <AccountId>325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5F6EA-54F8-4569-830B-F9C8BD953539}">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88957DCB-5547-49A7-A6A2-0BD359890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DCA00-8912-43AC-9D89-1B1C453D9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Indicator 14: Post-school Outcomes for Students with IEPs — Vietnamese</vt:lpstr>
    </vt:vector>
  </TitlesOfParts>
  <Company/>
  <LinksUpToDate>false</LinksUpToDate>
  <CharactersWithSpaces>6742</CharactersWithSpaces>
  <SharedDoc>false</SharedDoc>
  <HLinks>
    <vt:vector size="84" baseType="variant">
      <vt:variant>
        <vt:i4>3866742</vt:i4>
      </vt:variant>
      <vt:variant>
        <vt:i4>36</vt:i4>
      </vt:variant>
      <vt:variant>
        <vt:i4>0</vt:i4>
      </vt:variant>
      <vt:variant>
        <vt:i4>5</vt:i4>
      </vt:variant>
      <vt:variant>
        <vt:lpwstr>https://sites.ed.gov/idea/spp-apr-letters?selected-category=&amp;selected-year=&amp;state=Massachusetts</vt:lpwstr>
      </vt:variant>
      <vt:variant>
        <vt:lpwstr/>
      </vt:variant>
      <vt:variant>
        <vt:i4>2818115</vt:i4>
      </vt:variant>
      <vt:variant>
        <vt:i4>33</vt:i4>
      </vt:variant>
      <vt:variant>
        <vt:i4>0</vt:i4>
      </vt:variant>
      <vt:variant>
        <vt:i4>5</vt:i4>
      </vt:variant>
      <vt:variant>
        <vt:lpwstr>https://profiles.doe.mass.edu/statereport/special_education.aspx</vt:lpwstr>
      </vt:variant>
      <vt:variant>
        <vt:lpwstr/>
      </vt:variant>
      <vt:variant>
        <vt:i4>2621560</vt:i4>
      </vt:variant>
      <vt:variant>
        <vt:i4>30</vt:i4>
      </vt:variant>
      <vt:variant>
        <vt:i4>0</vt:i4>
      </vt:variant>
      <vt:variant>
        <vt:i4>5</vt:i4>
      </vt:variant>
      <vt:variant>
        <vt:lpwstr>https://www.doe.mass.edu/sped/secondary-transition/indicator14.html</vt:lpwstr>
      </vt:variant>
      <vt:variant>
        <vt:lpwstr/>
      </vt:variant>
      <vt:variant>
        <vt:i4>4849734</vt:i4>
      </vt:variant>
      <vt:variant>
        <vt:i4>27</vt:i4>
      </vt:variant>
      <vt:variant>
        <vt:i4>0</vt:i4>
      </vt:variant>
      <vt:variant>
        <vt:i4>5</vt:i4>
      </vt:variant>
      <vt:variant>
        <vt:lpwstr>https://www.doe.mass.edu/sped/spp/maspp.html</vt:lpwstr>
      </vt:variant>
      <vt:variant>
        <vt:lpwstr/>
      </vt:variant>
      <vt:variant>
        <vt:i4>4915282</vt:i4>
      </vt:variant>
      <vt:variant>
        <vt:i4>24</vt:i4>
      </vt:variant>
      <vt:variant>
        <vt:i4>0</vt:i4>
      </vt:variant>
      <vt:variant>
        <vt:i4>5</vt:i4>
      </vt:variant>
      <vt:variant>
        <vt:lpwstr>https://www.doe.mass.edu/sped/spp/indicators/indicator14/</vt:lpwstr>
      </vt:variant>
      <vt:variant>
        <vt:lpwstr/>
      </vt:variant>
      <vt:variant>
        <vt:i4>5242971</vt:i4>
      </vt:variant>
      <vt:variant>
        <vt:i4>21</vt:i4>
      </vt:variant>
      <vt:variant>
        <vt:i4>0</vt:i4>
      </vt:variant>
      <vt:variant>
        <vt:i4>5</vt:i4>
      </vt:variant>
      <vt:variant>
        <vt:lpwstr>https://www.doe.mass.edu/sped/spp/indicators/indicator8/</vt:lpwstr>
      </vt:variant>
      <vt:variant>
        <vt:lpwstr/>
      </vt:variant>
      <vt:variant>
        <vt:i4>851991</vt:i4>
      </vt:variant>
      <vt:variant>
        <vt:i4>18</vt:i4>
      </vt:variant>
      <vt:variant>
        <vt:i4>0</vt:i4>
      </vt:variant>
      <vt:variant>
        <vt:i4>5</vt:i4>
      </vt:variant>
      <vt:variant>
        <vt:lpwstr>https://www.doe.mass.edu/sped/ecse/StrategicAreas.html</vt:lpwstr>
      </vt:variant>
      <vt:variant>
        <vt:lpwstr>outcome)%20removed</vt:lpwstr>
      </vt:variant>
      <vt:variant>
        <vt:i4>5242964</vt:i4>
      </vt:variant>
      <vt:variant>
        <vt:i4>15</vt:i4>
      </vt:variant>
      <vt:variant>
        <vt:i4>0</vt:i4>
      </vt:variant>
      <vt:variant>
        <vt:i4>5</vt:i4>
      </vt:variant>
      <vt:variant>
        <vt:lpwstr>https://www.doe.mass.edu/sped/spp/indicators/indicator7/</vt:lpwstr>
      </vt:variant>
      <vt:variant>
        <vt:lpwstr/>
      </vt:variant>
      <vt:variant>
        <vt:i4>5242965</vt:i4>
      </vt:variant>
      <vt:variant>
        <vt:i4>12</vt:i4>
      </vt:variant>
      <vt:variant>
        <vt:i4>0</vt:i4>
      </vt:variant>
      <vt:variant>
        <vt:i4>5</vt:i4>
      </vt:variant>
      <vt:variant>
        <vt:lpwstr>https://www.doe.mass.edu/sped/spp/indicators/indicator6/</vt:lpwstr>
      </vt:variant>
      <vt:variant>
        <vt:lpwstr/>
      </vt:variant>
      <vt:variant>
        <vt:i4>5242966</vt:i4>
      </vt:variant>
      <vt:variant>
        <vt:i4>9</vt:i4>
      </vt:variant>
      <vt:variant>
        <vt:i4>0</vt:i4>
      </vt:variant>
      <vt:variant>
        <vt:i4>5</vt:i4>
      </vt:variant>
      <vt:variant>
        <vt:lpwstr>https://www.doe.mass.edu/sped/spp/indicators/indicator5/</vt:lpwstr>
      </vt:variant>
      <vt:variant>
        <vt:lpwstr/>
      </vt:variant>
      <vt:variant>
        <vt:i4>5242961</vt:i4>
      </vt:variant>
      <vt:variant>
        <vt:i4>6</vt:i4>
      </vt:variant>
      <vt:variant>
        <vt:i4>0</vt:i4>
      </vt:variant>
      <vt:variant>
        <vt:i4>5</vt:i4>
      </vt:variant>
      <vt:variant>
        <vt:lpwstr>https://www.doe.mass.edu/sped/spp/indicators/indicator2/</vt:lpwstr>
      </vt:variant>
      <vt:variant>
        <vt:lpwstr/>
      </vt:variant>
      <vt:variant>
        <vt:i4>6094872</vt:i4>
      </vt:variant>
      <vt:variant>
        <vt:i4>3</vt:i4>
      </vt:variant>
      <vt:variant>
        <vt:i4>0</vt:i4>
      </vt:variant>
      <vt:variant>
        <vt:i4>5</vt:i4>
      </vt:variant>
      <vt:variant>
        <vt:lpwstr>https://www.doe.mass.edu/mcas/graduation.html</vt:lpwstr>
      </vt:variant>
      <vt:variant>
        <vt:lpwstr/>
      </vt:variant>
      <vt:variant>
        <vt:i4>5242962</vt:i4>
      </vt:variant>
      <vt:variant>
        <vt:i4>0</vt:i4>
      </vt:variant>
      <vt:variant>
        <vt:i4>0</vt:i4>
      </vt:variant>
      <vt:variant>
        <vt:i4>5</vt:i4>
      </vt:variant>
      <vt:variant>
        <vt:lpwstr>https://www.doe.mass.edu/sped/spp/indicators/indicator1/</vt:lpwstr>
      </vt:variant>
      <vt:variant>
        <vt:lpwstr/>
      </vt:variant>
      <vt:variant>
        <vt:i4>2621560</vt:i4>
      </vt:variant>
      <vt:variant>
        <vt:i4>0</vt:i4>
      </vt:variant>
      <vt:variant>
        <vt:i4>0</vt:i4>
      </vt:variant>
      <vt:variant>
        <vt:i4>5</vt:i4>
      </vt:variant>
      <vt:variant>
        <vt:lpwstr>https://www.doe.mass.edu/sped/secondary-transition/indicator14.html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14: Post-school Outcomes for Students with IEPs — Vietnamese</dc:title>
  <dc:subject/>
  <dc:creator>DESE</dc:creator>
  <cp:keywords/>
  <dc:description/>
  <cp:lastModifiedBy>Zou, Dong (EOE)</cp:lastModifiedBy>
  <cp:revision>11</cp:revision>
  <dcterms:created xsi:type="dcterms:W3CDTF">2023-02-24T18:24:00Z</dcterms:created>
  <dcterms:modified xsi:type="dcterms:W3CDTF">2024-05-13T17:47:00Z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2024 12:00AM</vt:lpwstr>
  </property>
</Properties>
</file>