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19504618"/>
    <w:p w14:paraId="768AB15D" w14:textId="0D0DE24B" w:rsidR="00E16A95" w:rsidRPr="006670A1" w:rsidRDefault="00C64D9F" w:rsidP="00E16A95">
      <w:pPr>
        <w:shd w:val="clear" w:color="auto" w:fill="FFFFFF"/>
        <w:spacing w:before="100" w:beforeAutospacing="1" w:after="100" w:afterAutospacing="1" w:line="240" w:lineRule="auto"/>
        <w:outlineLvl w:val="1"/>
        <w:rPr>
          <w:rFonts w:eastAsia="Times New Roman"/>
          <w:b/>
          <w:bCs/>
          <w:shd w:val="clear" w:color="auto" w:fill="FFFFFF"/>
        </w:rPr>
      </w:pPr>
      <w:r>
        <w:rPr>
          <w:rFonts w:ascii="SimSun" w:eastAsia="SimSun" w:hAnsi="SimSun" w:cs="SimSun"/>
          <w:b/>
          <w:bCs/>
          <w:shd w:val="clear" w:color="auto" w:fill="FFFFFF"/>
        </w:rPr>
        <w:fldChar w:fldCharType="begin"/>
      </w:r>
      <w:r>
        <w:rPr>
          <w:rFonts w:ascii="SimSun" w:eastAsia="SimSun" w:hAnsi="SimSun" w:cs="SimSun"/>
          <w:b/>
          <w:bCs/>
          <w:shd w:val="clear" w:color="auto" w:fill="FFFFFF"/>
        </w:rPr>
        <w:instrText xml:space="preserve"> HYPERLINK "https://www.doe.mass.edu/sped/spp/indicators/indicator15/" </w:instrText>
      </w:r>
      <w:r>
        <w:rPr>
          <w:rFonts w:ascii="SimSun" w:eastAsia="SimSun" w:hAnsi="SimSun" w:cs="SimSun"/>
          <w:b/>
          <w:bCs/>
          <w:shd w:val="clear" w:color="auto" w:fill="FFFFFF"/>
        </w:rPr>
        <w:fldChar w:fldCharType="separate"/>
      </w:r>
      <w:r w:rsidR="00E16A95" w:rsidRPr="00C64D9F">
        <w:rPr>
          <w:rStyle w:val="Hyperlink"/>
          <w:rFonts w:ascii="SimSun" w:eastAsia="SimSun" w:hAnsi="SimSun" w:cs="SimSun"/>
          <w:b/>
          <w:bCs/>
          <w:shd w:val="clear" w:color="auto" w:fill="FFFFFF"/>
        </w:rPr>
        <w:t>English</w:t>
      </w:r>
      <w:r>
        <w:rPr>
          <w:rFonts w:ascii="SimSun" w:eastAsia="SimSun" w:hAnsi="SimSun" w:cs="SimSun"/>
          <w:b/>
          <w:bCs/>
          <w:shd w:val="clear" w:color="auto" w:fill="FFFFFF"/>
        </w:rPr>
        <w:fldChar w:fldCharType="end"/>
      </w:r>
      <w:r w:rsidR="00E16A95" w:rsidRPr="006670A1">
        <w:rPr>
          <w:rFonts w:ascii="SimSun" w:eastAsia="SimSun" w:hAnsi="SimSun" w:cs="SimSun"/>
          <w:b/>
          <w:bCs/>
          <w:shd w:val="clear" w:color="auto" w:fill="FFFFFF"/>
        </w:rPr>
        <w:t> | </w:t>
      </w:r>
      <w:r w:rsidR="00E16A95" w:rsidRPr="00C64D9F">
        <w:rPr>
          <w:rFonts w:ascii="SimSun" w:eastAsia="SimSun" w:hAnsi="SimSun" w:cs="SimSun" w:hint="eastAsia"/>
          <w:b/>
          <w:bCs/>
        </w:rPr>
        <w:t>繁體中文</w:t>
      </w:r>
      <w:r w:rsidR="00E16A95" w:rsidRPr="006670A1">
        <w:rPr>
          <w:rFonts w:ascii="SimSun" w:eastAsia="SimSun" w:hAnsi="SimSun" w:cs="SimSun"/>
          <w:b/>
          <w:bCs/>
          <w:shd w:val="clear" w:color="auto" w:fill="FFFFFF"/>
        </w:rPr>
        <w:t> | </w:t>
      </w:r>
      <w:hyperlink r:id="rId8" w:history="1">
        <w:r w:rsidR="00E16A95" w:rsidRPr="00C64D9F">
          <w:rPr>
            <w:rStyle w:val="Hyperlink"/>
            <w:rFonts w:ascii="SimSun" w:eastAsia="SimSun" w:hAnsi="SimSun" w:cs="SimSun"/>
            <w:b/>
            <w:bCs/>
            <w:shd w:val="clear" w:color="auto" w:fill="FFFFFF"/>
          </w:rPr>
          <w:t>Kreyòl Ayisyen</w:t>
        </w:r>
      </w:hyperlink>
      <w:r w:rsidR="00E16A95" w:rsidRPr="006670A1">
        <w:rPr>
          <w:rFonts w:ascii="SimSun" w:eastAsia="SimSun" w:hAnsi="SimSun" w:cs="SimSun"/>
          <w:b/>
          <w:bCs/>
          <w:shd w:val="clear" w:color="auto" w:fill="FFFFFF"/>
        </w:rPr>
        <w:t> | </w:t>
      </w:r>
      <w:hyperlink r:id="rId9" w:history="1">
        <w:r w:rsidR="00E16A95" w:rsidRPr="00C64D9F">
          <w:rPr>
            <w:rStyle w:val="Hyperlink"/>
            <w:rFonts w:ascii="SimSun" w:eastAsia="SimSun" w:hAnsi="SimSun" w:cs="SimSun"/>
            <w:b/>
            <w:bCs/>
            <w:shd w:val="clear" w:color="auto" w:fill="FFFFFF"/>
          </w:rPr>
          <w:t>português</w:t>
        </w:r>
      </w:hyperlink>
      <w:r w:rsidR="00E16A95" w:rsidRPr="006670A1">
        <w:rPr>
          <w:rFonts w:ascii="SimSun" w:eastAsia="SimSun" w:hAnsi="SimSun" w:cs="SimSun"/>
          <w:b/>
          <w:bCs/>
          <w:shd w:val="clear" w:color="auto" w:fill="FFFFFF"/>
        </w:rPr>
        <w:t>​ | </w:t>
      </w:r>
      <w:hyperlink r:id="rId10" w:history="1">
        <w:r w:rsidR="00E16A95" w:rsidRPr="00C64D9F">
          <w:rPr>
            <w:rStyle w:val="Hyperlink"/>
            <w:rFonts w:ascii="SimSun" w:eastAsia="SimSun" w:hAnsi="SimSun" w:cs="SimSun"/>
            <w:b/>
            <w:bCs/>
            <w:shd w:val="clear" w:color="auto" w:fill="FFFFFF"/>
          </w:rPr>
          <w:t>español</w:t>
        </w:r>
      </w:hyperlink>
      <w:r w:rsidR="00E16A95" w:rsidRPr="006670A1">
        <w:rPr>
          <w:rFonts w:ascii="SimSun" w:eastAsia="SimSun" w:hAnsi="SimSun" w:cs="SimSun"/>
          <w:b/>
          <w:bCs/>
          <w:shd w:val="clear" w:color="auto" w:fill="FFFFFF"/>
        </w:rPr>
        <w:t> | </w:t>
      </w:r>
      <w:hyperlink r:id="rId11" w:history="1">
        <w:r w:rsidR="00E16A95" w:rsidRPr="00C64D9F">
          <w:rPr>
            <w:rStyle w:val="Hyperlink"/>
            <w:rFonts w:ascii="SimSun" w:eastAsia="SimSun" w:hAnsi="SimSun" w:cs="SimSun"/>
            <w:b/>
            <w:bCs/>
            <w:shd w:val="clear" w:color="auto" w:fill="FFFFFF"/>
          </w:rPr>
          <w:t>Vi</w:t>
        </w:r>
        <w:r w:rsidR="00E16A95" w:rsidRPr="00C64D9F">
          <w:rPr>
            <w:rStyle w:val="Hyperlink"/>
            <w:rFonts w:ascii="Cambria" w:eastAsia="SimSun" w:hAnsi="Cambria" w:cs="Cambria"/>
            <w:b/>
            <w:bCs/>
            <w:shd w:val="clear" w:color="auto" w:fill="FFFFFF"/>
          </w:rPr>
          <w:t>ệ</w:t>
        </w:r>
        <w:r w:rsidR="00E16A95" w:rsidRPr="00C64D9F">
          <w:rPr>
            <w:rStyle w:val="Hyperlink"/>
            <w:rFonts w:ascii="SimSun" w:eastAsia="SimSun" w:hAnsi="SimSun" w:cs="SimSun"/>
            <w:b/>
            <w:bCs/>
            <w:shd w:val="clear" w:color="auto" w:fill="FFFFFF"/>
          </w:rPr>
          <w:t>t</w:t>
        </w:r>
      </w:hyperlink>
    </w:p>
    <w:bookmarkEnd w:id="0"/>
    <w:p w14:paraId="2C078E63" w14:textId="737FDA4D" w:rsidR="00CB3534" w:rsidRDefault="00014881" w:rsidP="77FDFB75">
      <w:pPr>
        <w:rPr>
          <w:b/>
          <w:bCs/>
        </w:rPr>
      </w:pPr>
      <w:r w:rsidRPr="77FDFB75">
        <w:rPr>
          <w:rFonts w:ascii="SimSun" w:eastAsia="SimSun" w:hAnsi="SimSun" w:cs="SimSun"/>
          <w:b/>
          <w:bCs/>
        </w:rPr>
        <w:t>什么是指标15？</w:t>
      </w:r>
    </w:p>
    <w:p w14:paraId="68EF8D61" w14:textId="63A83B44" w:rsidR="77FDFB75" w:rsidRDefault="00014881" w:rsidP="77FDFB75">
      <w:pPr>
        <w:pStyle w:val="ListParagraph"/>
        <w:numPr>
          <w:ilvl w:val="0"/>
          <w:numId w:val="2"/>
        </w:numPr>
        <w:rPr>
          <w:rFonts w:eastAsiaTheme="minorEastAsia"/>
        </w:rPr>
      </w:pPr>
      <w:r>
        <w:rPr>
          <w:rFonts w:ascii="SimSun" w:eastAsia="SimSun" w:hAnsi="SimSun" w:cs="SimSun"/>
        </w:rPr>
        <w:t>指标15是衡量通过决议会议和解协议解决听证会请求的百分比。</w:t>
      </w:r>
    </w:p>
    <w:p w14:paraId="2783EB81" w14:textId="603E385A" w:rsidR="77FDFB75" w:rsidRDefault="00014881" w:rsidP="77FDFB75">
      <w:pPr>
        <w:pStyle w:val="ListParagraph"/>
        <w:numPr>
          <w:ilvl w:val="0"/>
          <w:numId w:val="2"/>
        </w:numPr>
        <w:rPr>
          <w:rFonts w:eastAsiaTheme="minorEastAsia"/>
        </w:rPr>
      </w:pPr>
      <w:r>
        <w:rPr>
          <w:rFonts w:ascii="SimSun" w:eastAsia="SimSun" w:hAnsi="SimSun" w:cs="SimSun"/>
        </w:rPr>
        <w:t>决议会议是由当地教育主管部门(LEA)在收到家长提交的听证会请求后必须召集的一种会议。</w:t>
      </w:r>
    </w:p>
    <w:p w14:paraId="24F04CF3" w14:textId="2154778E" w:rsidR="77FDFB75" w:rsidRDefault="00014881" w:rsidP="77FDFB75">
      <w:pPr>
        <w:pStyle w:val="ListParagraph"/>
        <w:numPr>
          <w:ilvl w:val="0"/>
          <w:numId w:val="2"/>
        </w:numPr>
        <w:rPr>
          <w:rFonts w:eastAsiaTheme="minorEastAsia"/>
        </w:rPr>
      </w:pPr>
      <w:r>
        <w:rPr>
          <w:rFonts w:ascii="SimSun" w:eastAsia="SimSun" w:hAnsi="SimSun" w:cs="SimSun"/>
        </w:rPr>
        <w:t>召开会议的目的是试图通无需通过诉讼就能解决引发听证会请求的争议。</w:t>
      </w:r>
    </w:p>
    <w:p w14:paraId="74E52D24" w14:textId="67D7C24E" w:rsidR="77FDFB75" w:rsidRDefault="00014881" w:rsidP="77FDFB75">
      <w:pPr>
        <w:rPr>
          <w:b/>
          <w:bCs/>
        </w:rPr>
      </w:pPr>
      <w:r w:rsidRPr="77FDFB75">
        <w:rPr>
          <w:rFonts w:ascii="SimSun" w:eastAsia="SimSun" w:hAnsi="SimSun" w:cs="SimSun"/>
          <w:b/>
          <w:bCs/>
        </w:rPr>
        <w:t>决议会议的指导方针</w:t>
      </w:r>
    </w:p>
    <w:p w14:paraId="795B84AE" w14:textId="77677E64" w:rsidR="77FDFB75" w:rsidRDefault="00014881" w:rsidP="77FDFB75">
      <w:r>
        <w:rPr>
          <w:rFonts w:ascii="SimSun" w:eastAsia="SimSun" w:hAnsi="SimSun" w:cs="SimSun"/>
        </w:rPr>
        <w:t>不能应家长的听证会要求召开决议会议，除非：</w:t>
      </w:r>
    </w:p>
    <w:p w14:paraId="1E44E1E7" w14:textId="7240A383" w:rsidR="77FDFB75" w:rsidRDefault="00014881" w:rsidP="77FDFB75">
      <w:pPr>
        <w:pStyle w:val="ListParagraph"/>
        <w:numPr>
          <w:ilvl w:val="0"/>
          <w:numId w:val="1"/>
        </w:numPr>
        <w:rPr>
          <w:rFonts w:eastAsiaTheme="minorEastAsia"/>
        </w:rPr>
      </w:pPr>
      <w:r>
        <w:rPr>
          <w:rFonts w:ascii="SimSun" w:eastAsia="SimSun" w:hAnsi="SimSun" w:cs="SimSun"/>
        </w:rPr>
        <w:t>LEA已在收到听证会请求后15个日历日内召集并参加决议会议；或者</w:t>
      </w:r>
    </w:p>
    <w:p w14:paraId="69959164" w14:textId="7ECF6468" w:rsidR="77FDFB75" w:rsidRDefault="00014881" w:rsidP="77FDFB75">
      <w:pPr>
        <w:pStyle w:val="ListParagraph"/>
        <w:numPr>
          <w:ilvl w:val="0"/>
          <w:numId w:val="1"/>
        </w:numPr>
        <w:rPr>
          <w:rFonts w:eastAsiaTheme="minorEastAsia"/>
        </w:rPr>
      </w:pPr>
      <w:r>
        <w:rPr>
          <w:rFonts w:ascii="SimSun" w:eastAsia="SimSun" w:hAnsi="SimSun" w:cs="SimSun"/>
        </w:rPr>
        <w:t>当事人已同意参加调解代替会议；或者</w:t>
      </w:r>
    </w:p>
    <w:p w14:paraId="7EFDF506" w14:textId="09C27DCD" w:rsidR="77FDFB75" w:rsidRDefault="00014881" w:rsidP="77FDFB75">
      <w:pPr>
        <w:pStyle w:val="ListParagraph"/>
        <w:numPr>
          <w:ilvl w:val="0"/>
          <w:numId w:val="1"/>
        </w:numPr>
        <w:rPr>
          <w:rFonts w:eastAsiaTheme="minorEastAsia"/>
        </w:rPr>
      </w:pPr>
      <w:r>
        <w:rPr>
          <w:rFonts w:ascii="SimSun" w:eastAsia="SimSun" w:hAnsi="SimSun" w:cs="SimSun"/>
        </w:rPr>
        <w:t>当事人书面放弃了决议会议。</w:t>
      </w:r>
    </w:p>
    <w:p w14:paraId="046F225C" w14:textId="0C8314F0" w:rsidR="77FDFB75" w:rsidRDefault="00014881" w:rsidP="77FDFB75">
      <w:pPr>
        <w:rPr>
          <w:b/>
          <w:bCs/>
        </w:rPr>
      </w:pPr>
      <w:r w:rsidRPr="77FDFB75">
        <w:rPr>
          <w:rFonts w:ascii="SimSun" w:eastAsia="SimSun" w:hAnsi="SimSun" w:cs="SimSun"/>
          <w:b/>
          <w:bCs/>
        </w:rPr>
        <w:t>如何测衡量15号指标?</w:t>
      </w:r>
    </w:p>
    <w:p w14:paraId="24411C29" w14:textId="77143C88" w:rsidR="77FDFB75" w:rsidRDefault="00014881" w:rsidP="77FDFB75">
      <w:r>
        <w:rPr>
          <w:rFonts w:ascii="SimSun" w:eastAsia="SimSun" w:hAnsi="SimSun" w:cs="SimSun"/>
        </w:rPr>
        <w:t>指标15是提交到决议会议的听证会请求通过决议会议和解协议解决的百分比。</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61F01" w14:paraId="55C5A87E" w14:textId="77777777" w:rsidTr="0099695E">
        <w:tc>
          <w:tcPr>
            <w:tcW w:w="1558" w:type="dxa"/>
          </w:tcPr>
          <w:p w14:paraId="3B8819DD" w14:textId="770D1324" w:rsidR="0099695E" w:rsidRPr="00AA725F" w:rsidRDefault="00014881" w:rsidP="77FDFB75">
            <w:pPr>
              <w:rPr>
                <w:b/>
                <w:bCs/>
              </w:rPr>
            </w:pPr>
            <w:r w:rsidRPr="00AA725F">
              <w:rPr>
                <w:rFonts w:ascii="SimSun" w:eastAsia="SimSun" w:hAnsi="SimSun" w:cs="SimSun"/>
                <w:b/>
                <w:bCs/>
              </w:rPr>
              <w:t>15联邦财政年度（FFY15 ）</w:t>
            </w:r>
          </w:p>
        </w:tc>
        <w:tc>
          <w:tcPr>
            <w:tcW w:w="1558" w:type="dxa"/>
          </w:tcPr>
          <w:p w14:paraId="6F5511FE" w14:textId="544D5A93" w:rsidR="0099695E" w:rsidRPr="00AA725F" w:rsidRDefault="00014881" w:rsidP="77FDFB75">
            <w:pPr>
              <w:rPr>
                <w:b/>
                <w:bCs/>
              </w:rPr>
            </w:pPr>
            <w:r w:rsidRPr="00AA725F">
              <w:rPr>
                <w:rFonts w:ascii="SimSun" w:eastAsia="SimSun" w:hAnsi="SimSun" w:cs="SimSun"/>
                <w:b/>
                <w:bCs/>
              </w:rPr>
              <w:t>16联邦财政年度（FFY16 ）</w:t>
            </w:r>
          </w:p>
        </w:tc>
        <w:tc>
          <w:tcPr>
            <w:tcW w:w="1558" w:type="dxa"/>
          </w:tcPr>
          <w:p w14:paraId="2DA02DE4" w14:textId="573C81D5" w:rsidR="0099695E" w:rsidRPr="00AA725F" w:rsidRDefault="00014881" w:rsidP="77FDFB75">
            <w:pPr>
              <w:rPr>
                <w:b/>
                <w:bCs/>
              </w:rPr>
            </w:pPr>
            <w:r w:rsidRPr="00AA725F">
              <w:rPr>
                <w:rFonts w:ascii="SimSun" w:eastAsia="SimSun" w:hAnsi="SimSun" w:cs="SimSun"/>
                <w:b/>
                <w:bCs/>
              </w:rPr>
              <w:t>17联邦财政年度（FFY17 ）</w:t>
            </w:r>
          </w:p>
        </w:tc>
        <w:tc>
          <w:tcPr>
            <w:tcW w:w="1558" w:type="dxa"/>
          </w:tcPr>
          <w:p w14:paraId="750D5DF7" w14:textId="07239770" w:rsidR="0099695E" w:rsidRPr="00AA725F" w:rsidRDefault="00014881" w:rsidP="77FDFB75">
            <w:pPr>
              <w:rPr>
                <w:b/>
                <w:bCs/>
              </w:rPr>
            </w:pPr>
            <w:r w:rsidRPr="00AA725F">
              <w:rPr>
                <w:rFonts w:ascii="SimSun" w:eastAsia="SimSun" w:hAnsi="SimSun" w:cs="SimSun"/>
                <w:b/>
                <w:bCs/>
              </w:rPr>
              <w:t>18联邦财政年度（FFY18 ）</w:t>
            </w:r>
          </w:p>
        </w:tc>
        <w:tc>
          <w:tcPr>
            <w:tcW w:w="1559" w:type="dxa"/>
          </w:tcPr>
          <w:p w14:paraId="1CDABA47" w14:textId="16F0DF1F" w:rsidR="0099695E" w:rsidRPr="00AA725F" w:rsidRDefault="00014881" w:rsidP="77FDFB75">
            <w:pPr>
              <w:rPr>
                <w:b/>
                <w:bCs/>
              </w:rPr>
            </w:pPr>
            <w:r w:rsidRPr="00AA725F">
              <w:rPr>
                <w:rFonts w:ascii="SimSun" w:eastAsia="SimSun" w:hAnsi="SimSun" w:cs="SimSun"/>
                <w:b/>
                <w:bCs/>
              </w:rPr>
              <w:t>19联邦财政年度（FFY19 ）</w:t>
            </w:r>
          </w:p>
        </w:tc>
        <w:tc>
          <w:tcPr>
            <w:tcW w:w="1559" w:type="dxa"/>
          </w:tcPr>
          <w:p w14:paraId="0E28FEDA" w14:textId="62FF1ED6" w:rsidR="0099695E" w:rsidRPr="00AA725F" w:rsidRDefault="00014881" w:rsidP="77FDFB75">
            <w:pPr>
              <w:rPr>
                <w:b/>
                <w:bCs/>
              </w:rPr>
            </w:pPr>
            <w:r w:rsidRPr="00AA725F">
              <w:rPr>
                <w:rFonts w:ascii="SimSun" w:eastAsia="SimSun" w:hAnsi="SimSun" w:cs="SimSun"/>
                <w:b/>
                <w:bCs/>
              </w:rPr>
              <w:t>20联邦财政年度（FFY20 ）</w:t>
            </w:r>
          </w:p>
        </w:tc>
      </w:tr>
      <w:tr w:rsidR="00761F01" w14:paraId="37173698" w14:textId="77777777" w:rsidTr="0099695E">
        <w:tc>
          <w:tcPr>
            <w:tcW w:w="1558" w:type="dxa"/>
          </w:tcPr>
          <w:p w14:paraId="1ADDC590" w14:textId="1213E450" w:rsidR="0099695E" w:rsidRDefault="00014881" w:rsidP="77FDFB75">
            <w:r>
              <w:rPr>
                <w:rFonts w:ascii="SimSun" w:eastAsia="SimSun" w:hAnsi="SimSun" w:cs="SimSun"/>
              </w:rPr>
              <w:t>41.67%</w:t>
            </w:r>
          </w:p>
        </w:tc>
        <w:tc>
          <w:tcPr>
            <w:tcW w:w="1558" w:type="dxa"/>
          </w:tcPr>
          <w:p w14:paraId="48F0EC58" w14:textId="491469A1" w:rsidR="0099695E" w:rsidRDefault="00014881" w:rsidP="77FDFB75">
            <w:r>
              <w:rPr>
                <w:rFonts w:ascii="SimSun" w:eastAsia="SimSun" w:hAnsi="SimSun" w:cs="SimSun"/>
              </w:rPr>
              <w:t>57.14%</w:t>
            </w:r>
          </w:p>
        </w:tc>
        <w:tc>
          <w:tcPr>
            <w:tcW w:w="1558" w:type="dxa"/>
          </w:tcPr>
          <w:p w14:paraId="5DA7CD4D" w14:textId="7CEC9A9C" w:rsidR="0099695E" w:rsidRDefault="00014881" w:rsidP="77FDFB75">
            <w:r>
              <w:rPr>
                <w:rFonts w:ascii="SimSun" w:eastAsia="SimSun" w:hAnsi="SimSun" w:cs="SimSun"/>
              </w:rPr>
              <w:t>53.85%</w:t>
            </w:r>
          </w:p>
        </w:tc>
        <w:tc>
          <w:tcPr>
            <w:tcW w:w="1558" w:type="dxa"/>
          </w:tcPr>
          <w:p w14:paraId="097BDAF1" w14:textId="331D8DE3" w:rsidR="0099695E" w:rsidRDefault="00014881" w:rsidP="77FDFB75">
            <w:r>
              <w:rPr>
                <w:rFonts w:ascii="SimSun" w:eastAsia="SimSun" w:hAnsi="SimSun" w:cs="SimSun"/>
              </w:rPr>
              <w:t>70.83%</w:t>
            </w:r>
          </w:p>
        </w:tc>
        <w:tc>
          <w:tcPr>
            <w:tcW w:w="1559" w:type="dxa"/>
          </w:tcPr>
          <w:p w14:paraId="6F8B0C77" w14:textId="40592210" w:rsidR="0099695E" w:rsidRDefault="00014881" w:rsidP="77FDFB75">
            <w:r>
              <w:rPr>
                <w:rFonts w:ascii="SimSun" w:eastAsia="SimSun" w:hAnsi="SimSun" w:cs="SimSun"/>
              </w:rPr>
              <w:t>25.00%</w:t>
            </w:r>
          </w:p>
        </w:tc>
        <w:tc>
          <w:tcPr>
            <w:tcW w:w="1559" w:type="dxa"/>
          </w:tcPr>
          <w:p w14:paraId="446A24EB" w14:textId="75556FCE" w:rsidR="0099695E" w:rsidRDefault="00014881" w:rsidP="77FDFB75">
            <w:r>
              <w:rPr>
                <w:rFonts w:ascii="SimSun" w:eastAsia="SimSun" w:hAnsi="SimSun" w:cs="SimSun"/>
              </w:rPr>
              <w:t>100%</w:t>
            </w:r>
          </w:p>
        </w:tc>
      </w:tr>
    </w:tbl>
    <w:p w14:paraId="1A7CA46A" w14:textId="77777777" w:rsidR="0099695E" w:rsidRDefault="0099695E" w:rsidP="77FDFB75"/>
    <w:p w14:paraId="74A0404B" w14:textId="143F0118" w:rsidR="001A5FDF" w:rsidRPr="001A5FDF" w:rsidRDefault="005A5AF2" w:rsidP="77FDFB75">
      <w:pPr>
        <w:rPr>
          <w:i/>
          <w:iCs/>
        </w:rPr>
      </w:pPr>
      <w:hyperlink r:id="rId12" w:history="1">
        <w:r w:rsidR="00014881" w:rsidRPr="00242992">
          <w:rPr>
            <w:rStyle w:val="Hyperlink"/>
            <w:rFonts w:ascii="SimSun" w:eastAsia="SimSun" w:hAnsi="SimSun" w:cs="SimSun"/>
            <w:i/>
            <w:iCs/>
          </w:rPr>
          <w:t>指标15 PowerPoint</w:t>
        </w:r>
      </w:hyperlink>
    </w:p>
    <w:sectPr w:rsidR="001A5FDF" w:rsidRPr="001A5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F4408"/>
    <w:multiLevelType w:val="hybridMultilevel"/>
    <w:tmpl w:val="312841F2"/>
    <w:lvl w:ilvl="0" w:tplc="6D32B06E">
      <w:start w:val="1"/>
      <w:numFmt w:val="bullet"/>
      <w:lvlText w:val=""/>
      <w:lvlJc w:val="left"/>
      <w:pPr>
        <w:ind w:left="720" w:hanging="360"/>
      </w:pPr>
      <w:rPr>
        <w:rFonts w:ascii="Symbol" w:hAnsi="Symbol" w:hint="default"/>
      </w:rPr>
    </w:lvl>
    <w:lvl w:ilvl="1" w:tplc="0AE09550">
      <w:start w:val="1"/>
      <w:numFmt w:val="bullet"/>
      <w:lvlText w:val="o"/>
      <w:lvlJc w:val="left"/>
      <w:pPr>
        <w:ind w:left="1440" w:hanging="360"/>
      </w:pPr>
      <w:rPr>
        <w:rFonts w:ascii="Courier New" w:hAnsi="Courier New" w:hint="default"/>
      </w:rPr>
    </w:lvl>
    <w:lvl w:ilvl="2" w:tplc="AE30F5FC">
      <w:start w:val="1"/>
      <w:numFmt w:val="bullet"/>
      <w:lvlText w:val=""/>
      <w:lvlJc w:val="left"/>
      <w:pPr>
        <w:ind w:left="2160" w:hanging="360"/>
      </w:pPr>
      <w:rPr>
        <w:rFonts w:ascii="Wingdings" w:hAnsi="Wingdings" w:hint="default"/>
      </w:rPr>
    </w:lvl>
    <w:lvl w:ilvl="3" w:tplc="58F28EAC">
      <w:start w:val="1"/>
      <w:numFmt w:val="bullet"/>
      <w:lvlText w:val=""/>
      <w:lvlJc w:val="left"/>
      <w:pPr>
        <w:ind w:left="2880" w:hanging="360"/>
      </w:pPr>
      <w:rPr>
        <w:rFonts w:ascii="Symbol" w:hAnsi="Symbol" w:hint="default"/>
      </w:rPr>
    </w:lvl>
    <w:lvl w:ilvl="4" w:tplc="EF064254">
      <w:start w:val="1"/>
      <w:numFmt w:val="bullet"/>
      <w:lvlText w:val="o"/>
      <w:lvlJc w:val="left"/>
      <w:pPr>
        <w:ind w:left="3600" w:hanging="360"/>
      </w:pPr>
      <w:rPr>
        <w:rFonts w:ascii="Courier New" w:hAnsi="Courier New" w:hint="default"/>
      </w:rPr>
    </w:lvl>
    <w:lvl w:ilvl="5" w:tplc="0B204CD0">
      <w:start w:val="1"/>
      <w:numFmt w:val="bullet"/>
      <w:lvlText w:val=""/>
      <w:lvlJc w:val="left"/>
      <w:pPr>
        <w:ind w:left="4320" w:hanging="360"/>
      </w:pPr>
      <w:rPr>
        <w:rFonts w:ascii="Wingdings" w:hAnsi="Wingdings" w:hint="default"/>
      </w:rPr>
    </w:lvl>
    <w:lvl w:ilvl="6" w:tplc="1C380648">
      <w:start w:val="1"/>
      <w:numFmt w:val="bullet"/>
      <w:lvlText w:val=""/>
      <w:lvlJc w:val="left"/>
      <w:pPr>
        <w:ind w:left="5040" w:hanging="360"/>
      </w:pPr>
      <w:rPr>
        <w:rFonts w:ascii="Symbol" w:hAnsi="Symbol" w:hint="default"/>
      </w:rPr>
    </w:lvl>
    <w:lvl w:ilvl="7" w:tplc="45F8C552">
      <w:start w:val="1"/>
      <w:numFmt w:val="bullet"/>
      <w:lvlText w:val="o"/>
      <w:lvlJc w:val="left"/>
      <w:pPr>
        <w:ind w:left="5760" w:hanging="360"/>
      </w:pPr>
      <w:rPr>
        <w:rFonts w:ascii="Courier New" w:hAnsi="Courier New" w:hint="default"/>
      </w:rPr>
    </w:lvl>
    <w:lvl w:ilvl="8" w:tplc="89AE7554">
      <w:start w:val="1"/>
      <w:numFmt w:val="bullet"/>
      <w:lvlText w:val=""/>
      <w:lvlJc w:val="left"/>
      <w:pPr>
        <w:ind w:left="6480" w:hanging="360"/>
      </w:pPr>
      <w:rPr>
        <w:rFonts w:ascii="Wingdings" w:hAnsi="Wingdings" w:hint="default"/>
      </w:rPr>
    </w:lvl>
  </w:abstractNum>
  <w:abstractNum w:abstractNumId="1" w15:restartNumberingAfterBreak="0">
    <w:nsid w:val="3AC14051"/>
    <w:multiLevelType w:val="hybridMultilevel"/>
    <w:tmpl w:val="2482D1BE"/>
    <w:lvl w:ilvl="0" w:tplc="1A162862">
      <w:start w:val="1"/>
      <w:numFmt w:val="bullet"/>
      <w:lvlText w:val=""/>
      <w:lvlJc w:val="left"/>
      <w:pPr>
        <w:ind w:left="720" w:hanging="360"/>
      </w:pPr>
      <w:rPr>
        <w:rFonts w:ascii="Symbol" w:hAnsi="Symbol" w:hint="default"/>
      </w:rPr>
    </w:lvl>
    <w:lvl w:ilvl="1" w:tplc="A1945C50">
      <w:start w:val="1"/>
      <w:numFmt w:val="bullet"/>
      <w:lvlText w:val="o"/>
      <w:lvlJc w:val="left"/>
      <w:pPr>
        <w:ind w:left="1440" w:hanging="360"/>
      </w:pPr>
      <w:rPr>
        <w:rFonts w:ascii="Courier New" w:hAnsi="Courier New" w:hint="default"/>
      </w:rPr>
    </w:lvl>
    <w:lvl w:ilvl="2" w:tplc="F3B28A5E">
      <w:start w:val="1"/>
      <w:numFmt w:val="bullet"/>
      <w:lvlText w:val=""/>
      <w:lvlJc w:val="left"/>
      <w:pPr>
        <w:ind w:left="2160" w:hanging="360"/>
      </w:pPr>
      <w:rPr>
        <w:rFonts w:ascii="Wingdings" w:hAnsi="Wingdings" w:hint="default"/>
      </w:rPr>
    </w:lvl>
    <w:lvl w:ilvl="3" w:tplc="AB44D700">
      <w:start w:val="1"/>
      <w:numFmt w:val="bullet"/>
      <w:lvlText w:val=""/>
      <w:lvlJc w:val="left"/>
      <w:pPr>
        <w:ind w:left="2880" w:hanging="360"/>
      </w:pPr>
      <w:rPr>
        <w:rFonts w:ascii="Symbol" w:hAnsi="Symbol" w:hint="default"/>
      </w:rPr>
    </w:lvl>
    <w:lvl w:ilvl="4" w:tplc="9ECC9F08">
      <w:start w:val="1"/>
      <w:numFmt w:val="bullet"/>
      <w:lvlText w:val="o"/>
      <w:lvlJc w:val="left"/>
      <w:pPr>
        <w:ind w:left="3600" w:hanging="360"/>
      </w:pPr>
      <w:rPr>
        <w:rFonts w:ascii="Courier New" w:hAnsi="Courier New" w:hint="default"/>
      </w:rPr>
    </w:lvl>
    <w:lvl w:ilvl="5" w:tplc="7CB0FE0E">
      <w:start w:val="1"/>
      <w:numFmt w:val="bullet"/>
      <w:lvlText w:val=""/>
      <w:lvlJc w:val="left"/>
      <w:pPr>
        <w:ind w:left="4320" w:hanging="360"/>
      </w:pPr>
      <w:rPr>
        <w:rFonts w:ascii="Wingdings" w:hAnsi="Wingdings" w:hint="default"/>
      </w:rPr>
    </w:lvl>
    <w:lvl w:ilvl="6" w:tplc="FA0093E2">
      <w:start w:val="1"/>
      <w:numFmt w:val="bullet"/>
      <w:lvlText w:val=""/>
      <w:lvlJc w:val="left"/>
      <w:pPr>
        <w:ind w:left="5040" w:hanging="360"/>
      </w:pPr>
      <w:rPr>
        <w:rFonts w:ascii="Symbol" w:hAnsi="Symbol" w:hint="default"/>
      </w:rPr>
    </w:lvl>
    <w:lvl w:ilvl="7" w:tplc="CF92A6BC">
      <w:start w:val="1"/>
      <w:numFmt w:val="bullet"/>
      <w:lvlText w:val="o"/>
      <w:lvlJc w:val="left"/>
      <w:pPr>
        <w:ind w:left="5760" w:hanging="360"/>
      </w:pPr>
      <w:rPr>
        <w:rFonts w:ascii="Courier New" w:hAnsi="Courier New" w:hint="default"/>
      </w:rPr>
    </w:lvl>
    <w:lvl w:ilvl="8" w:tplc="FD9AA67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80C1BF"/>
    <w:rsid w:val="00014881"/>
    <w:rsid w:val="000972BB"/>
    <w:rsid w:val="000C13B8"/>
    <w:rsid w:val="00182692"/>
    <w:rsid w:val="001A5FDF"/>
    <w:rsid w:val="001C7B35"/>
    <w:rsid w:val="00242992"/>
    <w:rsid w:val="00570E9D"/>
    <w:rsid w:val="005A5AF2"/>
    <w:rsid w:val="00761F01"/>
    <w:rsid w:val="00913F39"/>
    <w:rsid w:val="0099695E"/>
    <w:rsid w:val="00AA725F"/>
    <w:rsid w:val="00C64D9F"/>
    <w:rsid w:val="00CB3534"/>
    <w:rsid w:val="00E16A95"/>
    <w:rsid w:val="2880C1BF"/>
    <w:rsid w:val="5BCA8A6E"/>
    <w:rsid w:val="5D665ACF"/>
    <w:rsid w:val="77FDFB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BCC1"/>
  <w15:chartTrackingRefBased/>
  <w15:docId w15:val="{08316E34-0DDF-4A68-A52C-0D6DC5DA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996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4D9F"/>
    <w:rPr>
      <w:color w:val="0563C1" w:themeColor="hyperlink"/>
      <w:u w:val="single"/>
    </w:rPr>
  </w:style>
  <w:style w:type="character" w:styleId="UnresolvedMention">
    <w:name w:val="Unresolved Mention"/>
    <w:basedOn w:val="DefaultParagraphFont"/>
    <w:uiPriority w:val="99"/>
    <w:rsid w:val="00C64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spp/indicators/indicator15/indicator15-haitiancreole.doc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sped/spp/indicators/indicator15/indicator15-slides-chinese.ppt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spp/indicators/indicator15/indicator15-vietnamese.docx" TargetMode="External"/><Relationship Id="rId5" Type="http://schemas.openxmlformats.org/officeDocument/2006/relationships/styles" Target="styles.xml"/><Relationship Id="rId10" Type="http://schemas.openxmlformats.org/officeDocument/2006/relationships/hyperlink" Target="https://www.doe.mass.edu/sped/spp/indicators/indicator15/indicator15-spanish.docx" TargetMode="External"/><Relationship Id="rId4" Type="http://schemas.openxmlformats.org/officeDocument/2006/relationships/numbering" Target="numbering.xml"/><Relationship Id="rId9" Type="http://schemas.openxmlformats.org/officeDocument/2006/relationships/hyperlink" Target="https://www.doe.mass.edu/sped/spp/indicators/indicator15/indicator15-portuguese.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475A90-487C-4E3E-B731-427C74A05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03E73-E6E2-4C81-A740-DA4A66248707}">
  <ds:schemaRefs>
    <ds:schemaRef ds:uri="http://schemas.microsoft.com/sharepoint/v3/contenttype/forms"/>
  </ds:schemaRefs>
</ds:datastoreItem>
</file>

<file path=customXml/itemProps3.xml><?xml version="1.0" encoding="utf-8"?>
<ds:datastoreItem xmlns:ds="http://schemas.openxmlformats.org/officeDocument/2006/customXml" ds:itemID="{3144CB76-6101-4707-9872-03CEB0802E2E}">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452</Words>
  <Characters>615</Characters>
  <Application>Microsoft Office Word</Application>
  <DocSecurity>0</DocSecurity>
  <Lines>47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15: Resolution Session Agreement — Chinese</dc:title>
  <dc:subject/>
  <dc:creator>DESE</dc:creator>
  <cp:keywords/>
  <cp:lastModifiedBy>Zou, Dong (EOE)</cp:lastModifiedBy>
  <cp:revision>15</cp:revision>
  <dcterms:created xsi:type="dcterms:W3CDTF">2022-05-02T16:19:00Z</dcterms:created>
  <dcterms:modified xsi:type="dcterms:W3CDTF">2023-01-27T16:49:00Z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2023 12:00AM</vt:lpwstr>
  </property>
</Properties>
</file>