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9156" w14:textId="14E1C942" w:rsidR="002C4AA6" w:rsidRPr="006670A1" w:rsidRDefault="0089277D" w:rsidP="002C4A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8" w:history="1">
        <w:r w:rsidR="002C4AA6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2C4AA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2C4AA6" w:rsidRPr="006670A1">
        <w:rPr>
          <w:rFonts w:ascii="SimSun" w:eastAsia="SimSun" w:hAnsi="SimSun" w:cs="SimSun" w:hint="eastAsia"/>
          <w:b/>
          <w:bCs/>
        </w:rPr>
        <w:t>繁體中文</w:t>
      </w:r>
      <w:r w:rsidR="002C4AA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2C4AA6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2C4AA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2C4AA6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português</w:t>
        </w:r>
      </w:hyperlink>
      <w:r w:rsidR="002C4AA6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1" w:history="1">
        <w:r w:rsidR="002C4AA6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2C4AA6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2" w:history="1">
        <w:r w:rsidR="002C4AA6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2C4AA6" w:rsidRPr="00715A9B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2C4AA6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4871E179" w14:textId="152728D6" w:rsidR="000A196B" w:rsidRPr="004F6CBE" w:rsidRDefault="00F64E3D" w:rsidP="000F6373">
      <w:pPr>
        <w:rPr>
          <w:b/>
          <w:bCs/>
          <w:sz w:val="24"/>
          <w:szCs w:val="24"/>
        </w:rPr>
      </w:pPr>
      <w:r w:rsidRPr="004F6CBE">
        <w:rPr>
          <w:rFonts w:ascii="SimSun" w:eastAsia="SimSun" w:hAnsi="SimSun" w:cs="SimSun"/>
          <w:b/>
          <w:bCs/>
          <w:sz w:val="24"/>
          <w:szCs w:val="24"/>
        </w:rPr>
        <w:t>指标17：州系统改进计划</w:t>
      </w:r>
    </w:p>
    <w:p w14:paraId="5A28BFE2" w14:textId="16D83C44" w:rsidR="004F6CBE" w:rsidRPr="004F6CBE" w:rsidRDefault="00F64E3D" w:rsidP="001A59F2">
      <w:pPr>
        <w:rPr>
          <w:b/>
          <w:bCs/>
        </w:rPr>
      </w:pPr>
      <w:r>
        <w:rPr>
          <w:rFonts w:ascii="SimSun" w:eastAsia="SimSun" w:hAnsi="SimSun" w:cs="SimSun"/>
          <w:b/>
          <w:bCs/>
        </w:rPr>
        <w:t>什么是指标17？</w:t>
      </w:r>
    </w:p>
    <w:p w14:paraId="1C8EC8FE" w14:textId="588000D5" w:rsidR="001A59F2" w:rsidRDefault="00022675" w:rsidP="001A59F2">
      <w:hyperlink r:id="rId13" w:history="1">
        <w:r w:rsidR="00F64E3D" w:rsidRPr="001A59F2">
          <w:rPr>
            <w:rStyle w:val="Hyperlink"/>
            <w:rFonts w:ascii="SimSun" w:eastAsia="SimSun" w:hAnsi="SimSun" w:cs="SimSun" w:hint="eastAsia"/>
          </w:rPr>
          <w:t>指标17</w:t>
        </w:r>
      </w:hyperlink>
      <w:r w:rsidR="00F64E3D" w:rsidRPr="001A59F2">
        <w:rPr>
          <w:rFonts w:ascii="SimSun" w:eastAsia="SimSun" w:hAnsi="SimSun" w:cs="SimSun" w:hint="eastAsia"/>
        </w:rPr>
        <w:t>是州系统改进计划（或SSIP）。SSIP是一项多年计划，重点是改善残疾儿童教育成果。作为SSIP的一部分，要求各州认定由州确定的可衡量的结果（SiMR）和循证实践，以便改进通过SiMR测定的结果。麻萨诸塞州选择子指标7A（接受IEPs的3-5岁的学龄前儿童的百分比，这些儿童的积极社交情感技能已得到提高）作为SiMR，并选择金字塔模型作为循证实践。</w:t>
      </w:r>
    </w:p>
    <w:p w14:paraId="1B8EF0A8" w14:textId="0AEF2C54" w:rsidR="00316DFC" w:rsidRDefault="00F64E3D" w:rsidP="00316DFC">
      <w:pPr>
        <w:rPr>
          <w:b/>
          <w:bCs/>
        </w:rPr>
      </w:pPr>
      <w:r>
        <w:rPr>
          <w:rFonts w:ascii="SimSun" w:eastAsia="SimSun" w:hAnsi="SimSun" w:cs="SimSun"/>
          <w:b/>
          <w:bCs/>
        </w:rPr>
        <w:t>麻萨诸塞州为何选择子指标7A作为SiMR?</w:t>
      </w:r>
    </w:p>
    <w:p w14:paraId="7DFFA99E" w14:textId="7E030EB8" w:rsidR="00316DFC" w:rsidRPr="004E5900" w:rsidRDefault="00F64E3D" w:rsidP="00316DFC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theme="minorHAnsi"/>
        </w:rPr>
      </w:pPr>
      <w:r w:rsidRPr="004E5900">
        <w:rPr>
          <w:rFonts w:ascii="SimSun" w:eastAsia="SimSun" w:hAnsi="SimSun" w:cs="SimSun"/>
          <w:kern w:val="24"/>
          <w:position w:val="1"/>
        </w:rPr>
        <w:t>社交情感健康影响成长和学习（</w:t>
      </w:r>
      <w:hyperlink r:id="rId14" w:history="1">
        <w:r w:rsidRPr="004E5900">
          <w:rPr>
            <w:rFonts w:ascii="SimSun" w:eastAsia="SimSun" w:hAnsi="SimSun" w:cs="SimSun"/>
            <w:color w:val="0070C0"/>
            <w:kern w:val="24"/>
            <w:position w:val="1"/>
            <w:u w:val="single"/>
          </w:rPr>
          <w:t>NAEYC, 2018</w:t>
        </w:r>
      </w:hyperlink>
      <w:r w:rsidRPr="004E5900">
        <w:rPr>
          <w:rFonts w:ascii="SimSun" w:eastAsia="SimSun" w:hAnsi="SimSun" w:cs="SimSun"/>
          <w:kern w:val="24"/>
          <w:position w:val="1"/>
        </w:rPr>
        <w:t>）</w:t>
      </w:r>
    </w:p>
    <w:p w14:paraId="541B02B7" w14:textId="77777777" w:rsidR="00316DFC" w:rsidRPr="004E5900" w:rsidRDefault="00F64E3D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 w:rsidRPr="004E5900">
        <w:rPr>
          <w:rFonts w:ascii="SimSun" w:eastAsia="SimSun" w:hAnsi="SimSun" w:cs="SimSun"/>
          <w:kern w:val="24"/>
        </w:rPr>
        <w:t>学习的动机和态度</w:t>
      </w:r>
    </w:p>
    <w:p w14:paraId="2B440B1C" w14:textId="77777777" w:rsidR="00316DFC" w:rsidRPr="004E5900" w:rsidRDefault="00F64E3D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 w:rsidRPr="004E5900">
        <w:rPr>
          <w:rFonts w:ascii="SimSun" w:eastAsia="SimSun" w:hAnsi="SimSun" w:cs="SimSun"/>
          <w:kern w:val="24"/>
        </w:rPr>
        <w:t>关注并参与班级活动</w:t>
      </w:r>
    </w:p>
    <w:p w14:paraId="6C6B08D6" w14:textId="77777777" w:rsidR="00316DFC" w:rsidRPr="004E5900" w:rsidRDefault="00F64E3D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 w:rsidRPr="004E5900">
        <w:rPr>
          <w:rFonts w:ascii="SimSun" w:eastAsia="SimSun" w:hAnsi="SimSun" w:cs="SimSun"/>
          <w:kern w:val="24"/>
        </w:rPr>
        <w:t>学业表现</w:t>
      </w:r>
    </w:p>
    <w:p w14:paraId="1484380F" w14:textId="666B4D2E" w:rsidR="00316DFC" w:rsidRDefault="00F64E3D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 w:rsidRPr="004E5900">
        <w:rPr>
          <w:rFonts w:ascii="SimSun" w:eastAsia="SimSun" w:hAnsi="SimSun" w:cs="SimSun"/>
          <w:kern w:val="24"/>
        </w:rPr>
        <w:t>情感调节</w:t>
      </w:r>
    </w:p>
    <w:p w14:paraId="3D7CD333" w14:textId="3D31BE12" w:rsidR="00316DFC" w:rsidRPr="00316DFC" w:rsidRDefault="00F64E3D" w:rsidP="00316DFC">
      <w:pPr>
        <w:numPr>
          <w:ilvl w:val="0"/>
          <w:numId w:val="1"/>
        </w:numPr>
        <w:tabs>
          <w:tab w:val="clear" w:pos="-720"/>
        </w:tabs>
        <w:spacing w:after="0" w:line="240" w:lineRule="auto"/>
        <w:ind w:left="720"/>
        <w:contextualSpacing/>
        <w:rPr>
          <w:rFonts w:eastAsia="Times New Roman" w:cstheme="minorHAnsi"/>
        </w:rPr>
      </w:pPr>
      <w:r>
        <w:rPr>
          <w:rFonts w:ascii="SimSun" w:eastAsia="SimSun" w:hAnsi="SimSun" w:cs="SimSun"/>
        </w:rPr>
        <w:t>社交情感发展有助于为学习做好准备（</w:t>
      </w:r>
      <w:hyperlink r:id="rId15" w:anchor=":~:text=This%20brief%20summarizes%20early%20childhood%20through%20early%20postsecondary,early%20as%20prekindergarten%20and%20throughout%20their%20academic%20career." w:history="1">
        <w:r>
          <w:rPr>
            <w:rStyle w:val="Hyperlink"/>
            <w:rFonts w:ascii="SimSun" w:eastAsia="SimSun" w:hAnsi="SimSun" w:cs="SimSun"/>
            <w:kern w:val="24"/>
            <w:position w:val="1"/>
          </w:rPr>
          <w:t>大学和职业准备与成才中心，2013</w:t>
        </w:r>
      </w:hyperlink>
      <w:r>
        <w:rPr>
          <w:rFonts w:ascii="SimSun" w:eastAsia="SimSun" w:hAnsi="SimSun" w:cs="SimSun"/>
        </w:rPr>
        <w:t>）</w:t>
      </w:r>
    </w:p>
    <w:p w14:paraId="38559D9E" w14:textId="478C9183" w:rsidR="00316DFC" w:rsidRDefault="00316DFC" w:rsidP="00316DFC">
      <w:pPr>
        <w:spacing w:after="0" w:line="240" w:lineRule="auto"/>
        <w:contextualSpacing/>
        <w:rPr>
          <w:rFonts w:eastAsiaTheme="minorEastAsia" w:cstheme="minorHAnsi"/>
          <w:kern w:val="24"/>
          <w:position w:val="1"/>
        </w:rPr>
      </w:pPr>
    </w:p>
    <w:p w14:paraId="76B723A1" w14:textId="6CFF89FA" w:rsidR="00316DFC" w:rsidRDefault="00F64E3D" w:rsidP="00316DFC">
      <w:pPr>
        <w:spacing w:line="240" w:lineRule="auto"/>
        <w:rPr>
          <w:rFonts w:eastAsiaTheme="minorEastAsia" w:cstheme="minorHAnsi"/>
          <w:b/>
          <w:bCs/>
          <w:kern w:val="24"/>
          <w:position w:val="1"/>
        </w:rPr>
      </w:pPr>
      <w:r>
        <w:rPr>
          <w:rFonts w:ascii="SimSun" w:eastAsia="SimSun" w:hAnsi="SimSun" w:cs="SimSun"/>
          <w:b/>
          <w:bCs/>
          <w:kern w:val="24"/>
          <w:position w:val="1"/>
        </w:rPr>
        <w:t>指标17 SiMR数据和目标</w:t>
      </w:r>
    </w:p>
    <w:p w14:paraId="51610C12" w14:textId="727A332B" w:rsidR="00316DFC" w:rsidRPr="00316DFC" w:rsidRDefault="00F64E3D" w:rsidP="000E68FD">
      <w:pPr>
        <w:spacing w:after="0" w:line="240" w:lineRule="auto"/>
        <w:rPr>
          <w:rFonts w:eastAsiaTheme="minorEastAsia" w:cstheme="minorHAnsi"/>
          <w:kern w:val="24"/>
          <w:position w:val="1"/>
        </w:rPr>
      </w:pPr>
      <w:r>
        <w:rPr>
          <w:rFonts w:ascii="SimSun" w:eastAsia="SimSun" w:hAnsi="SimSun" w:cs="SimSun"/>
          <w:kern w:val="24"/>
          <w:position w:val="1"/>
        </w:rPr>
        <w:t>根据两个汇总表报告SiMR(子指标7A)数据：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280132" w14:paraId="3EB5C675" w14:textId="77777777" w:rsidTr="00280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61006904" w14:textId="77777777" w:rsidR="00316DFC" w:rsidRPr="000D5F42" w:rsidRDefault="00F64E3D" w:rsidP="00272C61">
            <w:r w:rsidRPr="000D5F42">
              <w:rPr>
                <w:rFonts w:ascii="SimSun" w:eastAsia="SimSun" w:hAnsi="SimSun" w:cs="SimSun"/>
                <w:color w:val="000000" w:themeColor="text1"/>
                <w:kern w:val="24"/>
              </w:rPr>
              <w:t>汇总表1</w:t>
            </w:r>
          </w:p>
        </w:tc>
        <w:tc>
          <w:tcPr>
            <w:tcW w:w="8005" w:type="dxa"/>
          </w:tcPr>
          <w:p w14:paraId="67C9AB19" w14:textId="77777777" w:rsidR="00316DFC" w:rsidRPr="000D5F42" w:rsidRDefault="00F64E3D" w:rsidP="00272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5F42">
              <w:rPr>
                <w:rFonts w:ascii="SimSun" w:eastAsia="SimSun" w:hAnsi="SimSun" w:cs="SimSun"/>
                <w:b w:val="0"/>
                <w:bCs w:val="0"/>
                <w:color w:val="000000" w:themeColor="text1"/>
                <w:kern w:val="24"/>
              </w:rPr>
              <w:t>在低于年龄预期进入学前教育计划的孩子中，6岁或退出该计划时取得进步的学生百分比</w:t>
            </w:r>
          </w:p>
        </w:tc>
      </w:tr>
      <w:tr w:rsidR="00280132" w14:paraId="2EC2FA8C" w14:textId="77777777" w:rsidTr="0028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5E8B5151" w14:textId="77777777" w:rsidR="00316DFC" w:rsidRPr="000D5F42" w:rsidRDefault="00F64E3D" w:rsidP="00272C61">
            <w:r w:rsidRPr="000D5F42">
              <w:rPr>
                <w:rFonts w:ascii="SimSun" w:eastAsia="SimSun" w:hAnsi="SimSun" w:cs="SimSun"/>
                <w:color w:val="000000" w:themeColor="dark1"/>
                <w:kern w:val="24"/>
              </w:rPr>
              <w:t>汇总表2</w:t>
            </w:r>
          </w:p>
        </w:tc>
        <w:tc>
          <w:tcPr>
            <w:tcW w:w="8005" w:type="dxa"/>
          </w:tcPr>
          <w:p w14:paraId="21BB6FF6" w14:textId="77777777" w:rsidR="00316DFC" w:rsidRPr="00211BB4" w:rsidRDefault="00F64E3D" w:rsidP="00272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D524D4C">
              <w:rPr>
                <w:rFonts w:ascii="SimSun" w:eastAsia="SimSun" w:hAnsi="SimSun" w:cs="SimSun"/>
                <w:color w:val="000000" w:themeColor="dark1"/>
                <w:kern w:val="24"/>
              </w:rPr>
              <w:t>学龄前儿童6岁或退出计划时年龄预期范围内学前儿童百分比</w:t>
            </w:r>
          </w:p>
        </w:tc>
      </w:tr>
    </w:tbl>
    <w:p w14:paraId="60B8C772" w14:textId="225D1AFB" w:rsidR="00316DFC" w:rsidRDefault="00316DFC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</w:rPr>
      </w:pPr>
    </w:p>
    <w:p w14:paraId="68E0DD08" w14:textId="334A6439" w:rsidR="000E68FD" w:rsidRPr="000E68FD" w:rsidRDefault="00F64E3D" w:rsidP="000E68FD">
      <w:pPr>
        <w:spacing w:after="0" w:line="240" w:lineRule="auto"/>
        <w:rPr>
          <w:rFonts w:eastAsiaTheme="minorEastAsia" w:cstheme="minorHAnsi"/>
          <w:kern w:val="24"/>
          <w:position w:val="1"/>
        </w:rPr>
      </w:pPr>
      <w:r w:rsidRPr="000E68FD">
        <w:rPr>
          <w:rFonts w:ascii="SimSun" w:eastAsia="SimSun" w:hAnsi="SimSun" w:cs="SimSun"/>
          <w:kern w:val="24"/>
          <w:position w:val="1"/>
        </w:rPr>
        <w:t>指标17 SiMR 数据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1251"/>
        <w:gridCol w:w="1009"/>
        <w:gridCol w:w="861"/>
        <w:gridCol w:w="1098"/>
        <w:gridCol w:w="1110"/>
        <w:gridCol w:w="1098"/>
        <w:gridCol w:w="945"/>
        <w:gridCol w:w="1098"/>
        <w:gridCol w:w="882"/>
      </w:tblGrid>
      <w:tr w:rsidR="00280132" w14:paraId="0FC8D483" w14:textId="77777777" w:rsidTr="0B77539F">
        <w:trPr>
          <w:trHeight w:val="796"/>
        </w:trPr>
        <w:tc>
          <w:tcPr>
            <w:tcW w:w="1261" w:type="dxa"/>
            <w:shd w:val="clear" w:color="auto" w:fill="B4C6E7" w:themeFill="accent1" w:themeFillTint="66"/>
          </w:tcPr>
          <w:p w14:paraId="41BFF479" w14:textId="186B31FB" w:rsidR="000E68FD" w:rsidRPr="000E68FD" w:rsidRDefault="00F64E3D" w:rsidP="00272C61">
            <w:pPr>
              <w:rPr>
                <w:b/>
                <w:bCs/>
              </w:rPr>
            </w:pPr>
            <w:r w:rsidRPr="5C8C6557">
              <w:rPr>
                <w:rFonts w:ascii="SimSun" w:eastAsia="SimSun" w:hAnsi="SimSun" w:cs="SimSun"/>
                <w:b/>
                <w:bCs/>
              </w:rPr>
              <w:t>SiMR (7A)</w:t>
            </w:r>
          </w:p>
        </w:tc>
        <w:tc>
          <w:tcPr>
            <w:tcW w:w="1011" w:type="dxa"/>
            <w:shd w:val="clear" w:color="auto" w:fill="B4C6E7" w:themeFill="accent1" w:themeFillTint="66"/>
          </w:tcPr>
          <w:p w14:paraId="7C128AF6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17联邦财政年度（FFY17）数据（N=651）</w:t>
            </w:r>
          </w:p>
        </w:tc>
        <w:tc>
          <w:tcPr>
            <w:tcW w:w="862" w:type="dxa"/>
            <w:shd w:val="clear" w:color="auto" w:fill="B4C6E7" w:themeFill="accent1" w:themeFillTint="66"/>
          </w:tcPr>
          <w:p w14:paraId="6E6A0ABB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FFY17目标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752AA270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FFY18数据（n=1045）</w:t>
            </w:r>
          </w:p>
        </w:tc>
        <w:tc>
          <w:tcPr>
            <w:tcW w:w="1114" w:type="dxa"/>
            <w:shd w:val="clear" w:color="auto" w:fill="B4C6E7" w:themeFill="accent1" w:themeFillTint="66"/>
          </w:tcPr>
          <w:p w14:paraId="7FA6A249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FFY18目标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36ACD79C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FFY19数据（n=1150）</w:t>
            </w:r>
          </w:p>
        </w:tc>
        <w:tc>
          <w:tcPr>
            <w:tcW w:w="946" w:type="dxa"/>
            <w:shd w:val="clear" w:color="auto" w:fill="B4C6E7" w:themeFill="accent1" w:themeFillTint="66"/>
          </w:tcPr>
          <w:p w14:paraId="1FD856B6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FFY19目标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49835231" w14:textId="77777777" w:rsidR="000E68FD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20联邦财政年度（FFY20 ）</w:t>
            </w:r>
          </w:p>
          <w:p w14:paraId="4DF505FB" w14:textId="77777777" w:rsidR="000E68FD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数据</w:t>
            </w:r>
          </w:p>
          <w:p w14:paraId="4BF34267" w14:textId="77777777" w:rsidR="000E68FD" w:rsidRPr="00B0460A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（n=1316）</w:t>
            </w:r>
          </w:p>
        </w:tc>
        <w:tc>
          <w:tcPr>
            <w:tcW w:w="855" w:type="dxa"/>
            <w:shd w:val="clear" w:color="auto" w:fill="B4C6E7" w:themeFill="accent1" w:themeFillTint="66"/>
          </w:tcPr>
          <w:p w14:paraId="4E47498D" w14:textId="77777777" w:rsidR="000E68FD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20联邦财政年度（FFY20 ）</w:t>
            </w:r>
          </w:p>
          <w:p w14:paraId="1FDD81CA" w14:textId="77777777" w:rsidR="000E68FD" w:rsidRPr="00B0460A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目标</w:t>
            </w:r>
          </w:p>
        </w:tc>
      </w:tr>
      <w:tr w:rsidR="00280132" w14:paraId="7606AAF6" w14:textId="77777777" w:rsidTr="0B77539F">
        <w:trPr>
          <w:trHeight w:val="807"/>
        </w:trPr>
        <w:tc>
          <w:tcPr>
            <w:tcW w:w="1261" w:type="dxa"/>
          </w:tcPr>
          <w:p w14:paraId="268D6CEC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汇总表1</w:t>
            </w:r>
          </w:p>
        </w:tc>
        <w:tc>
          <w:tcPr>
            <w:tcW w:w="1011" w:type="dxa"/>
          </w:tcPr>
          <w:p w14:paraId="1A987094" w14:textId="77777777" w:rsidR="000E68FD" w:rsidRDefault="00F64E3D" w:rsidP="00272C61">
            <w:r>
              <w:rPr>
                <w:rFonts w:ascii="SimSun" w:eastAsia="SimSun" w:hAnsi="SimSun" w:cs="SimSun"/>
              </w:rPr>
              <w:t>85.61%</w:t>
            </w:r>
          </w:p>
        </w:tc>
        <w:tc>
          <w:tcPr>
            <w:tcW w:w="862" w:type="dxa"/>
          </w:tcPr>
          <w:p w14:paraId="6523A53F" w14:textId="77777777" w:rsidR="000E68FD" w:rsidRDefault="00F64E3D" w:rsidP="00272C61">
            <w:r>
              <w:rPr>
                <w:rFonts w:ascii="SimSun" w:eastAsia="SimSun" w:hAnsi="SimSun" w:cs="SimSun"/>
              </w:rPr>
              <w:t>--</w:t>
            </w:r>
          </w:p>
        </w:tc>
        <w:tc>
          <w:tcPr>
            <w:tcW w:w="1101" w:type="dxa"/>
          </w:tcPr>
          <w:p w14:paraId="238746AB" w14:textId="77777777" w:rsidR="000E68FD" w:rsidRDefault="00F64E3D" w:rsidP="00272C61">
            <w:r>
              <w:rPr>
                <w:rFonts w:ascii="SimSun" w:eastAsia="SimSun" w:hAnsi="SimSun" w:cs="SimSun"/>
              </w:rPr>
              <w:t>85.17%</w:t>
            </w:r>
          </w:p>
        </w:tc>
        <w:tc>
          <w:tcPr>
            <w:tcW w:w="1114" w:type="dxa"/>
          </w:tcPr>
          <w:p w14:paraId="17AECD5D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86.00%</w:t>
            </w:r>
          </w:p>
        </w:tc>
        <w:tc>
          <w:tcPr>
            <w:tcW w:w="1101" w:type="dxa"/>
          </w:tcPr>
          <w:p w14:paraId="280927F4" w14:textId="77777777" w:rsidR="000E68FD" w:rsidRDefault="00F64E3D" w:rsidP="00272C61">
            <w:r>
              <w:rPr>
                <w:rFonts w:ascii="SimSun" w:eastAsia="SimSun" w:hAnsi="SimSun" w:cs="SimSun"/>
              </w:rPr>
              <w:t>82.44%</w:t>
            </w:r>
          </w:p>
        </w:tc>
        <w:tc>
          <w:tcPr>
            <w:tcW w:w="946" w:type="dxa"/>
          </w:tcPr>
          <w:p w14:paraId="024E73D7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86.00%</w:t>
            </w:r>
          </w:p>
        </w:tc>
        <w:tc>
          <w:tcPr>
            <w:tcW w:w="1101" w:type="dxa"/>
          </w:tcPr>
          <w:p w14:paraId="16BEBB6D" w14:textId="77777777" w:rsidR="000E68FD" w:rsidRPr="004243FF" w:rsidRDefault="00F64E3D" w:rsidP="00272C61">
            <w:r w:rsidRPr="004243FF">
              <w:rPr>
                <w:rFonts w:ascii="SimSun" w:eastAsia="SimSun" w:hAnsi="SimSun" w:cs="SimSun"/>
              </w:rPr>
              <w:t>80.09%</w:t>
            </w:r>
          </w:p>
        </w:tc>
        <w:tc>
          <w:tcPr>
            <w:tcW w:w="855" w:type="dxa"/>
          </w:tcPr>
          <w:p w14:paraId="2E29008B" w14:textId="77777777" w:rsidR="000E68FD" w:rsidRPr="00B0460A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86.00%</w:t>
            </w:r>
          </w:p>
        </w:tc>
      </w:tr>
      <w:tr w:rsidR="00280132" w14:paraId="1CB4C1C0" w14:textId="77777777" w:rsidTr="0B77539F">
        <w:trPr>
          <w:trHeight w:val="807"/>
        </w:trPr>
        <w:tc>
          <w:tcPr>
            <w:tcW w:w="1261" w:type="dxa"/>
          </w:tcPr>
          <w:p w14:paraId="78D990BB" w14:textId="77777777" w:rsidR="000E68FD" w:rsidRPr="00B0460A" w:rsidRDefault="00F64E3D" w:rsidP="00272C61">
            <w:pPr>
              <w:rPr>
                <w:b/>
                <w:bCs/>
              </w:rPr>
            </w:pPr>
            <w:r w:rsidRPr="00B0460A">
              <w:rPr>
                <w:rFonts w:ascii="SimSun" w:eastAsia="SimSun" w:hAnsi="SimSun" w:cs="SimSun"/>
                <w:b/>
                <w:bCs/>
              </w:rPr>
              <w:t>汇总表2</w:t>
            </w:r>
          </w:p>
        </w:tc>
        <w:tc>
          <w:tcPr>
            <w:tcW w:w="1011" w:type="dxa"/>
          </w:tcPr>
          <w:p w14:paraId="4D924F64" w14:textId="77777777" w:rsidR="000E68FD" w:rsidRDefault="00F64E3D" w:rsidP="00272C61">
            <w:r>
              <w:rPr>
                <w:rFonts w:ascii="SimSun" w:eastAsia="SimSun" w:hAnsi="SimSun" w:cs="SimSun"/>
              </w:rPr>
              <w:t>47.00%</w:t>
            </w:r>
          </w:p>
        </w:tc>
        <w:tc>
          <w:tcPr>
            <w:tcW w:w="862" w:type="dxa"/>
          </w:tcPr>
          <w:p w14:paraId="00FC9A1B" w14:textId="77777777" w:rsidR="000E68FD" w:rsidRDefault="00F64E3D" w:rsidP="00272C61">
            <w:r>
              <w:rPr>
                <w:rFonts w:ascii="SimSun" w:eastAsia="SimSun" w:hAnsi="SimSun" w:cs="SimSun"/>
              </w:rPr>
              <w:t>--</w:t>
            </w:r>
          </w:p>
        </w:tc>
        <w:tc>
          <w:tcPr>
            <w:tcW w:w="1101" w:type="dxa"/>
          </w:tcPr>
          <w:p w14:paraId="75B0AB10" w14:textId="77777777" w:rsidR="000E68FD" w:rsidRDefault="00F64E3D" w:rsidP="00272C61">
            <w:r>
              <w:rPr>
                <w:rFonts w:ascii="SimSun" w:eastAsia="SimSun" w:hAnsi="SimSun" w:cs="SimSun"/>
              </w:rPr>
              <w:t>46.03%</w:t>
            </w:r>
          </w:p>
        </w:tc>
        <w:tc>
          <w:tcPr>
            <w:tcW w:w="1114" w:type="dxa"/>
          </w:tcPr>
          <w:p w14:paraId="159F79EE" w14:textId="77777777" w:rsidR="000E68FD" w:rsidRPr="00B0460A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50.00%</w:t>
            </w:r>
          </w:p>
        </w:tc>
        <w:tc>
          <w:tcPr>
            <w:tcW w:w="1101" w:type="dxa"/>
          </w:tcPr>
          <w:p w14:paraId="22155AE2" w14:textId="77777777" w:rsidR="000E68FD" w:rsidRDefault="00F64E3D" w:rsidP="00272C61">
            <w:r>
              <w:rPr>
                <w:rFonts w:ascii="SimSun" w:eastAsia="SimSun" w:hAnsi="SimSun" w:cs="SimSun"/>
              </w:rPr>
              <w:t>43.74%</w:t>
            </w:r>
          </w:p>
        </w:tc>
        <w:tc>
          <w:tcPr>
            <w:tcW w:w="946" w:type="dxa"/>
          </w:tcPr>
          <w:p w14:paraId="284C4527" w14:textId="77777777" w:rsidR="000E68FD" w:rsidRPr="00B0460A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50.00%</w:t>
            </w:r>
          </w:p>
        </w:tc>
        <w:tc>
          <w:tcPr>
            <w:tcW w:w="1101" w:type="dxa"/>
          </w:tcPr>
          <w:p w14:paraId="1105B3BA" w14:textId="77777777" w:rsidR="000E68FD" w:rsidRPr="004243FF" w:rsidRDefault="00F64E3D" w:rsidP="00272C61">
            <w:r w:rsidRPr="004243FF">
              <w:rPr>
                <w:rFonts w:ascii="SimSun" w:eastAsia="SimSun" w:hAnsi="SimSun" w:cs="SimSun"/>
              </w:rPr>
              <w:t>44.53%</w:t>
            </w:r>
          </w:p>
        </w:tc>
        <w:tc>
          <w:tcPr>
            <w:tcW w:w="855" w:type="dxa"/>
          </w:tcPr>
          <w:p w14:paraId="22CC8FC8" w14:textId="77777777" w:rsidR="000E68FD" w:rsidRDefault="00F64E3D" w:rsidP="00272C61">
            <w:pPr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50.00%</w:t>
            </w:r>
          </w:p>
        </w:tc>
      </w:tr>
    </w:tbl>
    <w:p w14:paraId="3F301961" w14:textId="77777777" w:rsidR="000E68FD" w:rsidRDefault="000E68FD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</w:rPr>
      </w:pPr>
    </w:p>
    <w:p w14:paraId="12C6569B" w14:textId="058393E1" w:rsidR="00316DFC" w:rsidRDefault="00F64E3D" w:rsidP="00316DFC">
      <w:pPr>
        <w:spacing w:after="0" w:line="240" w:lineRule="auto"/>
        <w:contextualSpacing/>
        <w:rPr>
          <w:rFonts w:eastAsia="Times New Roman" w:cstheme="minorHAnsi"/>
        </w:rPr>
      </w:pPr>
      <w:r>
        <w:rPr>
          <w:rFonts w:ascii="SimSun" w:eastAsia="SimSun" w:hAnsi="SimSun" w:cs="SimSun"/>
        </w:rPr>
        <w:t>2020联邦财政年度-2025联邦财政年度的SiMR目标：</w:t>
      </w:r>
    </w:p>
    <w:tbl>
      <w:tblPr>
        <w:tblStyle w:val="ListTable3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94"/>
        <w:gridCol w:w="1338"/>
        <w:gridCol w:w="1231"/>
        <w:gridCol w:w="1262"/>
        <w:gridCol w:w="1283"/>
        <w:gridCol w:w="1305"/>
        <w:gridCol w:w="1337"/>
      </w:tblGrid>
      <w:tr w:rsidR="00280132" w14:paraId="1215904E" w14:textId="77777777" w:rsidTr="00280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852" w:type="pct"/>
            <w:shd w:val="clear" w:color="auto" w:fill="B4C6E7" w:themeFill="accent1" w:themeFillTint="66"/>
            <w:hideMark/>
          </w:tcPr>
          <w:p w14:paraId="1F86A239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color w:val="auto"/>
              </w:rPr>
              <w:t>SiMR (7A)</w:t>
            </w:r>
          </w:p>
        </w:tc>
        <w:tc>
          <w:tcPr>
            <w:tcW w:w="715" w:type="pct"/>
            <w:shd w:val="clear" w:color="auto" w:fill="B4C6E7" w:themeFill="accent1" w:themeFillTint="66"/>
            <w:hideMark/>
          </w:tcPr>
          <w:p w14:paraId="0B0A3509" w14:textId="77777777" w:rsidR="00316DFC" w:rsidRPr="00316DFC" w:rsidRDefault="00316DFC" w:rsidP="00316DFC">
            <w:pPr>
              <w:contextualSpacing/>
              <w:rPr>
                <w:rFonts w:eastAsia="Times New Roman" w:cstheme="minorHAnsi"/>
              </w:rPr>
            </w:pPr>
          </w:p>
        </w:tc>
        <w:tc>
          <w:tcPr>
            <w:tcW w:w="658" w:type="pct"/>
            <w:shd w:val="clear" w:color="auto" w:fill="B4C6E7" w:themeFill="accent1" w:themeFillTint="66"/>
            <w:hideMark/>
          </w:tcPr>
          <w:p w14:paraId="21A142F5" w14:textId="77777777" w:rsidR="00316DFC" w:rsidRPr="00316DFC" w:rsidRDefault="00316DFC" w:rsidP="00316DFC">
            <w:pPr>
              <w:contextualSpacing/>
              <w:rPr>
                <w:rFonts w:eastAsia="Times New Roman" w:cstheme="minorHAnsi"/>
              </w:rPr>
            </w:pPr>
          </w:p>
        </w:tc>
        <w:tc>
          <w:tcPr>
            <w:tcW w:w="675" w:type="pct"/>
            <w:shd w:val="clear" w:color="auto" w:fill="B4C6E7" w:themeFill="accent1" w:themeFillTint="66"/>
            <w:hideMark/>
          </w:tcPr>
          <w:p w14:paraId="42927CAF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color w:val="auto"/>
              </w:rPr>
              <w:t>目标</w:t>
            </w:r>
          </w:p>
        </w:tc>
        <w:tc>
          <w:tcPr>
            <w:tcW w:w="686" w:type="pct"/>
            <w:shd w:val="clear" w:color="auto" w:fill="B4C6E7" w:themeFill="accent1" w:themeFillTint="66"/>
            <w:hideMark/>
          </w:tcPr>
          <w:p w14:paraId="08C60A96" w14:textId="77777777" w:rsidR="00316DFC" w:rsidRPr="00316DFC" w:rsidRDefault="00316DFC" w:rsidP="00316DFC">
            <w:pPr>
              <w:contextualSpacing/>
              <w:rPr>
                <w:rFonts w:eastAsia="Times New Roman" w:cstheme="minorHAnsi"/>
              </w:rPr>
            </w:pPr>
          </w:p>
        </w:tc>
        <w:tc>
          <w:tcPr>
            <w:tcW w:w="698" w:type="pct"/>
            <w:shd w:val="clear" w:color="auto" w:fill="B4C6E7" w:themeFill="accent1" w:themeFillTint="66"/>
            <w:hideMark/>
          </w:tcPr>
          <w:p w14:paraId="3090DB22" w14:textId="77777777" w:rsidR="00316DFC" w:rsidRPr="00316DFC" w:rsidRDefault="00316DFC" w:rsidP="00316DFC">
            <w:pPr>
              <w:contextualSpacing/>
              <w:rPr>
                <w:rFonts w:eastAsia="Times New Roman" w:cstheme="minorHAnsi"/>
              </w:rPr>
            </w:pPr>
          </w:p>
        </w:tc>
        <w:tc>
          <w:tcPr>
            <w:tcW w:w="715" w:type="pct"/>
            <w:shd w:val="clear" w:color="auto" w:fill="B4C6E7" w:themeFill="accent1" w:themeFillTint="66"/>
            <w:hideMark/>
          </w:tcPr>
          <w:p w14:paraId="40337B7F" w14:textId="77777777" w:rsidR="00316DFC" w:rsidRPr="00316DFC" w:rsidRDefault="00316DFC" w:rsidP="00316DFC">
            <w:pPr>
              <w:contextualSpacing/>
              <w:rPr>
                <w:rFonts w:eastAsia="Times New Roman" w:cstheme="minorHAnsi"/>
              </w:rPr>
            </w:pPr>
          </w:p>
        </w:tc>
      </w:tr>
      <w:tr w:rsidR="00280132" w14:paraId="5193CD78" w14:textId="77777777" w:rsidTr="0028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852" w:type="pct"/>
            <w:hideMark/>
          </w:tcPr>
          <w:p w14:paraId="604DB9A8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lastRenderedPageBreak/>
              <w:t>联邦财政年度（FFY）</w:t>
            </w:r>
          </w:p>
        </w:tc>
        <w:tc>
          <w:tcPr>
            <w:tcW w:w="715" w:type="pct"/>
            <w:hideMark/>
          </w:tcPr>
          <w:p w14:paraId="20D83A26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2020</w:t>
            </w:r>
          </w:p>
        </w:tc>
        <w:tc>
          <w:tcPr>
            <w:tcW w:w="658" w:type="pct"/>
            <w:hideMark/>
          </w:tcPr>
          <w:p w14:paraId="223B8EA9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2021</w:t>
            </w:r>
          </w:p>
        </w:tc>
        <w:tc>
          <w:tcPr>
            <w:tcW w:w="675" w:type="pct"/>
            <w:hideMark/>
          </w:tcPr>
          <w:p w14:paraId="61DCAE7A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2022</w:t>
            </w:r>
          </w:p>
        </w:tc>
        <w:tc>
          <w:tcPr>
            <w:tcW w:w="686" w:type="pct"/>
            <w:hideMark/>
          </w:tcPr>
          <w:p w14:paraId="6A1E6A4A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2023</w:t>
            </w:r>
          </w:p>
        </w:tc>
        <w:tc>
          <w:tcPr>
            <w:tcW w:w="698" w:type="pct"/>
            <w:hideMark/>
          </w:tcPr>
          <w:p w14:paraId="2BE08F45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2024</w:t>
            </w:r>
          </w:p>
        </w:tc>
        <w:tc>
          <w:tcPr>
            <w:tcW w:w="715" w:type="pct"/>
            <w:hideMark/>
          </w:tcPr>
          <w:p w14:paraId="60E5239B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2025</w:t>
            </w:r>
          </w:p>
        </w:tc>
      </w:tr>
      <w:tr w:rsidR="00280132" w14:paraId="1CDB6B22" w14:textId="77777777" w:rsidTr="00280132">
        <w:trPr>
          <w:trHeight w:val="466"/>
        </w:trPr>
        <w:tc>
          <w:tcPr>
            <w:tcW w:w="852" w:type="pct"/>
            <w:hideMark/>
          </w:tcPr>
          <w:p w14:paraId="2E3E5E78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汇总表1</w:t>
            </w:r>
          </w:p>
        </w:tc>
        <w:tc>
          <w:tcPr>
            <w:tcW w:w="715" w:type="pct"/>
            <w:hideMark/>
          </w:tcPr>
          <w:p w14:paraId="29BAEE52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86.00%</w:t>
            </w:r>
          </w:p>
        </w:tc>
        <w:tc>
          <w:tcPr>
            <w:tcW w:w="658" w:type="pct"/>
            <w:hideMark/>
          </w:tcPr>
          <w:p w14:paraId="035599A2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86.00%</w:t>
            </w:r>
          </w:p>
        </w:tc>
        <w:tc>
          <w:tcPr>
            <w:tcW w:w="675" w:type="pct"/>
            <w:hideMark/>
          </w:tcPr>
          <w:p w14:paraId="05F3872A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86.00%</w:t>
            </w:r>
          </w:p>
        </w:tc>
        <w:tc>
          <w:tcPr>
            <w:tcW w:w="686" w:type="pct"/>
            <w:hideMark/>
          </w:tcPr>
          <w:p w14:paraId="6A950948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86.50%</w:t>
            </w:r>
          </w:p>
        </w:tc>
        <w:tc>
          <w:tcPr>
            <w:tcW w:w="698" w:type="pct"/>
            <w:hideMark/>
          </w:tcPr>
          <w:p w14:paraId="729203BE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87.00%</w:t>
            </w:r>
          </w:p>
        </w:tc>
        <w:tc>
          <w:tcPr>
            <w:tcW w:w="715" w:type="pct"/>
            <w:hideMark/>
          </w:tcPr>
          <w:p w14:paraId="66A68223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88.00%</w:t>
            </w:r>
          </w:p>
        </w:tc>
      </w:tr>
      <w:tr w:rsidR="00280132" w14:paraId="3E05ED6B" w14:textId="77777777" w:rsidTr="0028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852" w:type="pct"/>
            <w:hideMark/>
          </w:tcPr>
          <w:p w14:paraId="28A9B8D7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  <w:b/>
                <w:bCs/>
              </w:rPr>
              <w:t>汇总表2</w:t>
            </w:r>
          </w:p>
        </w:tc>
        <w:tc>
          <w:tcPr>
            <w:tcW w:w="715" w:type="pct"/>
            <w:hideMark/>
          </w:tcPr>
          <w:p w14:paraId="1224E082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50.00%</w:t>
            </w:r>
          </w:p>
        </w:tc>
        <w:tc>
          <w:tcPr>
            <w:tcW w:w="658" w:type="pct"/>
            <w:hideMark/>
          </w:tcPr>
          <w:p w14:paraId="2BC58AE2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50.00%</w:t>
            </w:r>
          </w:p>
        </w:tc>
        <w:tc>
          <w:tcPr>
            <w:tcW w:w="675" w:type="pct"/>
            <w:hideMark/>
          </w:tcPr>
          <w:p w14:paraId="546DC7A8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50.00%</w:t>
            </w:r>
          </w:p>
        </w:tc>
        <w:tc>
          <w:tcPr>
            <w:tcW w:w="686" w:type="pct"/>
            <w:hideMark/>
          </w:tcPr>
          <w:p w14:paraId="129163C8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50.25%</w:t>
            </w:r>
          </w:p>
        </w:tc>
        <w:tc>
          <w:tcPr>
            <w:tcW w:w="698" w:type="pct"/>
            <w:hideMark/>
          </w:tcPr>
          <w:p w14:paraId="6EADAAC6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50.50%</w:t>
            </w:r>
          </w:p>
        </w:tc>
        <w:tc>
          <w:tcPr>
            <w:tcW w:w="715" w:type="pct"/>
            <w:hideMark/>
          </w:tcPr>
          <w:p w14:paraId="177D53D6" w14:textId="77777777" w:rsidR="00316DFC" w:rsidRPr="00316DFC" w:rsidRDefault="00F64E3D" w:rsidP="00316DFC">
            <w:pPr>
              <w:contextualSpacing/>
              <w:rPr>
                <w:rFonts w:eastAsia="Times New Roman" w:cstheme="minorHAnsi"/>
              </w:rPr>
            </w:pPr>
            <w:r w:rsidRPr="00316DFC">
              <w:rPr>
                <w:rFonts w:ascii="SimSun" w:eastAsia="SimSun" w:hAnsi="SimSun" w:cs="SimSun"/>
              </w:rPr>
              <w:t>51.00%</w:t>
            </w:r>
          </w:p>
        </w:tc>
      </w:tr>
    </w:tbl>
    <w:p w14:paraId="3CB70450" w14:textId="77777777" w:rsidR="005C1B27" w:rsidRDefault="005C1B27" w:rsidP="001A59F2">
      <w:pPr>
        <w:rPr>
          <w:b/>
          <w:bCs/>
        </w:rPr>
      </w:pPr>
    </w:p>
    <w:p w14:paraId="64D99BBB" w14:textId="027AD12B" w:rsidR="001A59F2" w:rsidRDefault="00F64E3D" w:rsidP="001A59F2">
      <w:pPr>
        <w:rPr>
          <w:b/>
          <w:bCs/>
        </w:rPr>
      </w:pPr>
      <w:r w:rsidRPr="000E68FD">
        <w:rPr>
          <w:rFonts w:ascii="SimSun" w:eastAsia="SimSun" w:hAnsi="SimSun" w:cs="SimSun"/>
          <w:b/>
          <w:bCs/>
        </w:rPr>
        <w:t>其他信息：</w:t>
      </w:r>
    </w:p>
    <w:p w14:paraId="3A018418" w14:textId="1BEBBCF8" w:rsidR="000E68FD" w:rsidRDefault="00F64E3D" w:rsidP="0089277D">
      <w:pPr>
        <w:pStyle w:val="ListParagraph"/>
        <w:numPr>
          <w:ilvl w:val="0"/>
          <w:numId w:val="4"/>
        </w:numPr>
        <w:spacing w:after="0"/>
      </w:pPr>
      <w:r w:rsidRPr="0089277D">
        <w:rPr>
          <w:rFonts w:ascii="SimSun" w:eastAsia="SimSun" w:hAnsi="SimSun" w:cs="SimSun"/>
        </w:rPr>
        <w:t>麻萨诸塞州SSIP</w:t>
      </w:r>
      <w:hyperlink r:id="rId16" w:history="1">
        <w:r w:rsidRPr="0089277D">
          <w:rPr>
            <w:rStyle w:val="Hyperlink"/>
            <w:rFonts w:ascii="SimSun" w:eastAsia="SimSun" w:hAnsi="SimSun" w:cs="SimSun"/>
          </w:rPr>
          <w:t>行动理论</w:t>
        </w:r>
      </w:hyperlink>
    </w:p>
    <w:p w14:paraId="42193698" w14:textId="5CCC4ED8" w:rsidR="00BF2B77" w:rsidRDefault="00F64E3D" w:rsidP="0089277D">
      <w:pPr>
        <w:pStyle w:val="ListParagraph"/>
        <w:numPr>
          <w:ilvl w:val="0"/>
          <w:numId w:val="4"/>
        </w:numPr>
        <w:spacing w:after="0"/>
      </w:pPr>
      <w:r w:rsidRPr="0089277D">
        <w:rPr>
          <w:rFonts w:ascii="SimSun" w:eastAsia="SimSun" w:hAnsi="SimSun" w:cs="SimSun"/>
        </w:rPr>
        <w:t>麻萨诸塞州SSIP</w:t>
      </w:r>
      <w:hyperlink r:id="rId17" w:history="1">
        <w:r w:rsidRPr="0089277D">
          <w:rPr>
            <w:rStyle w:val="Hyperlink"/>
            <w:rFonts w:ascii="SimSun" w:eastAsia="SimSun" w:hAnsi="SimSun" w:cs="SimSun"/>
          </w:rPr>
          <w:t>评估计划</w:t>
        </w:r>
      </w:hyperlink>
    </w:p>
    <w:p w14:paraId="0DBFC910" w14:textId="3EB4D2A3" w:rsidR="000E68FD" w:rsidRPr="000E68FD" w:rsidRDefault="00F64E3D" w:rsidP="0089277D">
      <w:pPr>
        <w:pStyle w:val="ListParagraph"/>
        <w:numPr>
          <w:ilvl w:val="0"/>
          <w:numId w:val="4"/>
        </w:numPr>
        <w:spacing w:after="0"/>
      </w:pPr>
      <w:r w:rsidRPr="0089277D">
        <w:rPr>
          <w:rFonts w:ascii="SimSun" w:eastAsia="SimSun" w:hAnsi="SimSun" w:cs="SimSun"/>
        </w:rPr>
        <w:t>国家金字塔模型创新中心：</w:t>
      </w:r>
      <w:hyperlink r:id="rId18" w:history="1">
        <w:r w:rsidRPr="0089277D">
          <w:rPr>
            <w:rStyle w:val="Hyperlink"/>
            <w:rFonts w:ascii="SimSun" w:eastAsia="SimSun" w:hAnsi="SimSun" w:cs="SimSun"/>
          </w:rPr>
          <w:t>国家金字塔模型创新中心（challengingbehavior.org）</w:t>
        </w:r>
      </w:hyperlink>
    </w:p>
    <w:p w14:paraId="11911753" w14:textId="77777777" w:rsidR="000E68FD" w:rsidRPr="000E68FD" w:rsidRDefault="00F64E3D" w:rsidP="0089277D">
      <w:pPr>
        <w:pStyle w:val="ListParagraph"/>
        <w:numPr>
          <w:ilvl w:val="0"/>
          <w:numId w:val="4"/>
        </w:numPr>
        <w:spacing w:after="0"/>
      </w:pPr>
      <w:r w:rsidRPr="0089277D">
        <w:rPr>
          <w:rFonts w:ascii="SimSun" w:eastAsia="SimSun" w:hAnsi="SimSun" w:cs="SimSun"/>
        </w:rPr>
        <w:t>金字塔模型联合体：</w:t>
      </w:r>
      <w:hyperlink r:id="rId19" w:history="1">
        <w:r w:rsidRPr="0089277D">
          <w:rPr>
            <w:rStyle w:val="Hyperlink"/>
            <w:rFonts w:ascii="SimSun" w:eastAsia="SimSun" w:hAnsi="SimSun" w:cs="SimSun"/>
          </w:rPr>
          <w:t>金字塔模型联合体-支持幼儿教育PBIS</w:t>
        </w:r>
      </w:hyperlink>
    </w:p>
    <w:p w14:paraId="06387A96" w14:textId="0468162E" w:rsidR="000E68FD" w:rsidRPr="0089277D" w:rsidRDefault="00F64E3D" w:rsidP="0089277D">
      <w:pPr>
        <w:pStyle w:val="ListParagraph"/>
        <w:numPr>
          <w:ilvl w:val="0"/>
          <w:numId w:val="4"/>
        </w:numPr>
        <w:spacing w:after="0"/>
        <w:rPr>
          <w:rStyle w:val="Hyperlink"/>
          <w:color w:val="auto"/>
          <w:u w:val="none"/>
        </w:rPr>
      </w:pPr>
      <w:r w:rsidRPr="0089277D">
        <w:rPr>
          <w:rFonts w:ascii="SimSun" w:eastAsia="SimSun" w:hAnsi="SimSun" w:cs="SimSun"/>
        </w:rPr>
        <w:t>州系统改进计划（SSIP）：</w:t>
      </w:r>
      <w:hyperlink r:id="rId20" w:history="1">
        <w:r w:rsidRPr="0089277D">
          <w:rPr>
            <w:rStyle w:val="Hyperlink"/>
            <w:rFonts w:ascii="SimSun" w:eastAsia="SimSun" w:hAnsi="SimSun" w:cs="SimSun"/>
          </w:rPr>
          <w:t>ECTA中心：州系统改进计划（SSIP）</w:t>
        </w:r>
      </w:hyperlink>
    </w:p>
    <w:p w14:paraId="28278CBF" w14:textId="104F5168" w:rsidR="0089277D" w:rsidRDefault="0089277D" w:rsidP="0089277D">
      <w:pPr>
        <w:spacing w:after="0"/>
        <w:rPr>
          <w:rStyle w:val="Hyperlink"/>
          <w:rFonts w:ascii="SimSun" w:eastAsia="SimSun" w:hAnsi="SimSun" w:cs="SimSun"/>
        </w:rPr>
      </w:pPr>
    </w:p>
    <w:p w14:paraId="4DF2CA56" w14:textId="6D492C80" w:rsidR="0089277D" w:rsidRPr="00453D9D" w:rsidRDefault="0089277D" w:rsidP="0089277D">
      <w:pPr>
        <w:spacing w:after="0"/>
        <w:rPr>
          <w:b/>
          <w:bCs/>
        </w:rPr>
      </w:pPr>
      <w:r w:rsidRPr="00453D9D">
        <w:rPr>
          <w:rFonts w:ascii="MS Gothic" w:eastAsia="MS Gothic" w:hAnsi="MS Gothic" w:cs="MS Gothic" w:hint="eastAsia"/>
          <w:b/>
          <w:bCs/>
        </w:rPr>
        <w:t>了解有关指</w:t>
      </w:r>
      <w:r w:rsidRPr="00453D9D">
        <w:rPr>
          <w:rFonts w:ascii="Microsoft JhengHei" w:eastAsia="Microsoft JhengHei" w:hAnsi="Microsoft JhengHei" w:cs="Microsoft JhengHei" w:hint="eastAsia"/>
          <w:b/>
          <w:bCs/>
        </w:rPr>
        <w:t>标</w:t>
      </w:r>
      <w:r w:rsidRPr="00453D9D">
        <w:rPr>
          <w:b/>
          <w:bCs/>
        </w:rPr>
        <w:t xml:space="preserve"> # 17 </w:t>
      </w:r>
      <w:r w:rsidRPr="00453D9D">
        <w:rPr>
          <w:rFonts w:ascii="MS Gothic" w:eastAsia="MS Gothic" w:hAnsi="MS Gothic" w:cs="MS Gothic" w:hint="eastAsia"/>
          <w:b/>
          <w:bCs/>
        </w:rPr>
        <w:t>的更多信息：</w:t>
      </w:r>
    </w:p>
    <w:p w14:paraId="3ECD6F02" w14:textId="474C4A98" w:rsidR="001A59F2" w:rsidRDefault="00022675" w:rsidP="0089277D">
      <w:pPr>
        <w:pStyle w:val="ListParagraph"/>
        <w:numPr>
          <w:ilvl w:val="0"/>
          <w:numId w:val="3"/>
        </w:numPr>
      </w:pPr>
      <w:hyperlink r:id="rId21" w:history="1">
        <w:r w:rsidR="0089277D" w:rsidRPr="0089277D">
          <w:rPr>
            <w:rStyle w:val="Hyperlink"/>
            <w:rFonts w:ascii="MS Gothic" w:eastAsia="MS Gothic" w:hAnsi="MS Gothic" w:cs="MS Gothic" w:hint="eastAsia"/>
          </w:rPr>
          <w:t>指</w:t>
        </w:r>
        <w:r w:rsidR="0089277D" w:rsidRPr="0089277D">
          <w:rPr>
            <w:rStyle w:val="Hyperlink"/>
            <w:rFonts w:ascii="Microsoft JhengHei" w:eastAsia="Microsoft JhengHei" w:hAnsi="Microsoft JhengHei" w:cs="Microsoft JhengHei" w:hint="eastAsia"/>
          </w:rPr>
          <w:t>标</w:t>
        </w:r>
        <w:r w:rsidR="0089277D" w:rsidRPr="0089277D">
          <w:rPr>
            <w:rStyle w:val="Hyperlink"/>
          </w:rPr>
          <w:t>17 PowerPoint</w:t>
        </w:r>
      </w:hyperlink>
    </w:p>
    <w:sectPr w:rsidR="001A5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3DD4"/>
    <w:multiLevelType w:val="hybridMultilevel"/>
    <w:tmpl w:val="475295A8"/>
    <w:lvl w:ilvl="0" w:tplc="BAD89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4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05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E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6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0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A8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E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C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7A2DFB"/>
    <w:multiLevelType w:val="hybridMultilevel"/>
    <w:tmpl w:val="FA02A326"/>
    <w:lvl w:ilvl="0" w:tplc="B27CB08C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7E1C7CE8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A4E0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F6B8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9F34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BB206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26FCD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38E0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00B8E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2" w15:restartNumberingAfterBreak="0">
    <w:nsid w:val="4DDB01B8"/>
    <w:multiLevelType w:val="hybridMultilevel"/>
    <w:tmpl w:val="55BA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509F"/>
    <w:multiLevelType w:val="hybridMultilevel"/>
    <w:tmpl w:val="3592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7"/>
    <w:rsid w:val="00022675"/>
    <w:rsid w:val="00027B4B"/>
    <w:rsid w:val="000A196B"/>
    <w:rsid w:val="000D5F42"/>
    <w:rsid w:val="000E68FD"/>
    <w:rsid w:val="000F6373"/>
    <w:rsid w:val="001A59F2"/>
    <w:rsid w:val="00211BB4"/>
    <w:rsid w:val="00272C61"/>
    <w:rsid w:val="00280132"/>
    <w:rsid w:val="002A3E79"/>
    <w:rsid w:val="002C4AA6"/>
    <w:rsid w:val="00316DFC"/>
    <w:rsid w:val="004141A4"/>
    <w:rsid w:val="004243FF"/>
    <w:rsid w:val="00453D9D"/>
    <w:rsid w:val="004E5900"/>
    <w:rsid w:val="004F6CBE"/>
    <w:rsid w:val="005C1B27"/>
    <w:rsid w:val="00685B8A"/>
    <w:rsid w:val="00715A9B"/>
    <w:rsid w:val="0089277D"/>
    <w:rsid w:val="009B1DE9"/>
    <w:rsid w:val="00B0460A"/>
    <w:rsid w:val="00BF2B77"/>
    <w:rsid w:val="00E251EA"/>
    <w:rsid w:val="00F17167"/>
    <w:rsid w:val="00F64E3D"/>
    <w:rsid w:val="00FB5E20"/>
    <w:rsid w:val="068CDBB3"/>
    <w:rsid w:val="0B77539F"/>
    <w:rsid w:val="3D524D4C"/>
    <w:rsid w:val="5C8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0567"/>
  <w15:chartTrackingRefBased/>
  <w15:docId w15:val="{4CE8175C-52F1-4E85-9C6B-23947D4E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6C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6D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6DFC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316D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0E68F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6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37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15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7/" TargetMode="External"/><Relationship Id="rId13" Type="http://schemas.openxmlformats.org/officeDocument/2006/relationships/hyperlink" Target="https://ideadata.org/sites/default/files/media/documents/2022-06/IDC%20Laminated%20Cards%20%282%29.pdf" TargetMode="External"/><Relationship Id="rId18" Type="http://schemas.openxmlformats.org/officeDocument/2006/relationships/hyperlink" Target="https://challengingbehavior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ped/spp/indicators/indicator17/indicator17-slides-chinese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7/indicator17-vietnamese.docx" TargetMode="External"/><Relationship Id="rId17" Type="http://schemas.openxmlformats.org/officeDocument/2006/relationships/hyperlink" Target="https://www.doe.mass.edu/sped/spp/ssip-evaluation-pla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spp/ssip-action-theory.docx" TargetMode="External"/><Relationship Id="rId20" Type="http://schemas.openxmlformats.org/officeDocument/2006/relationships/hyperlink" Target="https://ectacenter.org/topics/ssi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7/indicator17-spanish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ccrscenter.org/products-resources/predictors-postsecondary-succe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e.mass.edu/sped/spp/indicators/indicator17/indicator17-portuguese.docx" TargetMode="External"/><Relationship Id="rId19" Type="http://schemas.openxmlformats.org/officeDocument/2006/relationships/hyperlink" Target="https://www.pyramidmodel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7/indicator17-haitiancreole.docx" TargetMode="External"/><Relationship Id="rId14" Type="http://schemas.openxmlformats.org/officeDocument/2006/relationships/hyperlink" Target="https://www.naeyc.org/resources/pubs/yc/mar2018/promoting-social-and-emotional-heal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95A33-5097-477C-844A-D05DA0F9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12BDD-7DD2-474C-8689-3EA77213BA02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F498F4D6-E9C5-468D-B21E-9AFC95281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973</Words>
  <Characters>1530</Characters>
  <Application>Microsoft Office Word</Application>
  <DocSecurity>0</DocSecurity>
  <Lines>191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17: State Systemic Improvement Plan — Chinese</dc:title>
  <dc:subject/>
  <dc:creator>DESE</dc:creator>
  <cp:keywords/>
  <cp:lastModifiedBy>Zou, Dong (EOE)</cp:lastModifiedBy>
  <cp:revision>10</cp:revision>
  <dcterms:created xsi:type="dcterms:W3CDTF">2022-11-01T13:10:00Z</dcterms:created>
  <dcterms:modified xsi:type="dcterms:W3CDTF">2023-02-09T20:27:00Z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2023 12:00AM</vt:lpwstr>
  </property>
</Properties>
</file>