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5334" w14:textId="2050ED58" w:rsidR="007656A4" w:rsidRPr="006670A1" w:rsidRDefault="00F77314" w:rsidP="007656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8" w:history="1">
        <w:r w:rsidR="007656A4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7656A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7656A4" w:rsidRPr="006A4146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7656A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7656A4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7656A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7656A4" w:rsidRPr="006A4146">
        <w:rPr>
          <w:rFonts w:ascii="SimSun" w:eastAsia="SimSun" w:hAnsi="SimSun" w:cs="SimSun"/>
          <w:b/>
          <w:bCs/>
          <w:shd w:val="clear" w:color="auto" w:fill="FFFFFF"/>
        </w:rPr>
        <w:t>português</w:t>
      </w:r>
      <w:r w:rsidR="007656A4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1" w:history="1">
        <w:r w:rsidR="007656A4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7656A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2" w:history="1">
        <w:r w:rsidR="007656A4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7656A4" w:rsidRPr="00715A9B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7656A4" w:rsidRPr="00715A9B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4871E179" w14:textId="42186F47" w:rsidR="000A196B" w:rsidRPr="00D3197A" w:rsidRDefault="00F17167" w:rsidP="000F6373">
      <w:pPr>
        <w:rPr>
          <w:b/>
          <w:bCs/>
          <w:sz w:val="24"/>
          <w:szCs w:val="24"/>
          <w:lang w:val="pt-PT"/>
        </w:rPr>
      </w:pPr>
      <w:r w:rsidRPr="00D3197A">
        <w:rPr>
          <w:b/>
          <w:bCs/>
          <w:sz w:val="24"/>
          <w:szCs w:val="24"/>
          <w:lang w:val="pt-PT"/>
        </w:rPr>
        <w:t>Indica</w:t>
      </w:r>
      <w:r w:rsidR="0075338D" w:rsidRPr="00D3197A">
        <w:rPr>
          <w:b/>
          <w:bCs/>
          <w:sz w:val="24"/>
          <w:szCs w:val="24"/>
          <w:lang w:val="pt-PT"/>
        </w:rPr>
        <w:t>d</w:t>
      </w:r>
      <w:r w:rsidRPr="00D3197A">
        <w:rPr>
          <w:b/>
          <w:bCs/>
          <w:sz w:val="24"/>
          <w:szCs w:val="24"/>
          <w:lang w:val="pt-PT"/>
        </w:rPr>
        <w:t xml:space="preserve">or 17: </w:t>
      </w:r>
      <w:r w:rsidR="0075338D" w:rsidRPr="00D3197A">
        <w:rPr>
          <w:b/>
          <w:bCs/>
          <w:sz w:val="24"/>
          <w:szCs w:val="24"/>
          <w:lang w:val="pt-PT"/>
        </w:rPr>
        <w:t>Plano de Melhoria Sistémica do Estado</w:t>
      </w:r>
    </w:p>
    <w:p w14:paraId="5A28BFE2" w14:textId="259E7D8B" w:rsidR="004F6CBE" w:rsidRPr="00D3197A" w:rsidRDefault="0075338D" w:rsidP="001A59F2">
      <w:pPr>
        <w:rPr>
          <w:b/>
          <w:bCs/>
          <w:lang w:val="pt-PT"/>
        </w:rPr>
      </w:pPr>
      <w:r w:rsidRPr="00D3197A">
        <w:rPr>
          <w:b/>
          <w:bCs/>
          <w:lang w:val="pt-PT"/>
        </w:rPr>
        <w:t xml:space="preserve">O que é o Indicador </w:t>
      </w:r>
      <w:r w:rsidR="004F6CBE" w:rsidRPr="00D3197A">
        <w:rPr>
          <w:b/>
          <w:bCs/>
          <w:lang w:val="pt-PT"/>
        </w:rPr>
        <w:t xml:space="preserve">17? </w:t>
      </w:r>
    </w:p>
    <w:p w14:paraId="1C8EC8FE" w14:textId="41A0B855" w:rsidR="001A59F2" w:rsidRPr="00D3197A" w:rsidRDefault="00997962" w:rsidP="001A59F2">
      <w:pPr>
        <w:rPr>
          <w:lang w:val="pt-PT"/>
        </w:rPr>
      </w:pPr>
      <w:r w:rsidRPr="00D3197A">
        <w:rPr>
          <w:lang w:val="pt-PT"/>
        </w:rPr>
        <w:t xml:space="preserve">O </w:t>
      </w:r>
      <w:hyperlink r:id="rId13" w:history="1">
        <w:r w:rsidR="001A59F2" w:rsidRPr="00D3197A">
          <w:rPr>
            <w:rStyle w:val="Hyperlink"/>
            <w:lang w:val="pt-PT"/>
          </w:rPr>
          <w:t>Indicator 17</w:t>
        </w:r>
      </w:hyperlink>
      <w:r w:rsidR="001A59F2" w:rsidRPr="00D3197A">
        <w:rPr>
          <w:lang w:val="pt-PT"/>
        </w:rPr>
        <w:t xml:space="preserve"> </w:t>
      </w:r>
      <w:r w:rsidRPr="00D3197A">
        <w:rPr>
          <w:lang w:val="pt-PT"/>
        </w:rPr>
        <w:t xml:space="preserve">é o Plano de Melhoria Sistémica do Estado (ou SSIP). O SSIP é um plano plurianual centrado na melhoria dos resultados das crianças com deficiência. Como parte do SSIP, os estados são obrigados a identificar um Resultado Medível Identificado pelo Estado (ou SiMR) e uma prática baseada em evidências para melhorar os resultados medidos pelo SiMR. Massachusetts escolheu o </w:t>
      </w:r>
      <w:r w:rsidR="00160B49" w:rsidRPr="00D3197A">
        <w:rPr>
          <w:lang w:val="pt-PT"/>
        </w:rPr>
        <w:t>I</w:t>
      </w:r>
      <w:r w:rsidRPr="00D3197A">
        <w:rPr>
          <w:lang w:val="pt-PT"/>
        </w:rPr>
        <w:t>ndicador 7A (percentagem de crianças em idade pré-escolar, com idades compreendidas entre os 3 e os 5 anos, com IEP que melhoraram as aptidões sociais-emocionais) como SiMR e o Modelo Pirâmide como prática baseada na evidência</w:t>
      </w:r>
      <w:r w:rsidR="004F6CBE" w:rsidRPr="00D3197A">
        <w:rPr>
          <w:lang w:val="pt-PT"/>
        </w:rPr>
        <w:t xml:space="preserve">. </w:t>
      </w:r>
    </w:p>
    <w:p w14:paraId="1B8EF0A8" w14:textId="03CDC424" w:rsidR="00316DFC" w:rsidRPr="00D3197A" w:rsidRDefault="00997962" w:rsidP="00316DFC">
      <w:pPr>
        <w:rPr>
          <w:b/>
          <w:bCs/>
          <w:lang w:val="pt-PT"/>
        </w:rPr>
      </w:pPr>
      <w:r w:rsidRPr="00D3197A">
        <w:rPr>
          <w:b/>
          <w:bCs/>
          <w:lang w:val="pt-PT"/>
        </w:rPr>
        <w:t xml:space="preserve">Porque é que Massachusetts escolheu o </w:t>
      </w:r>
      <w:r w:rsidR="00160B49" w:rsidRPr="00D3197A">
        <w:rPr>
          <w:b/>
          <w:bCs/>
          <w:lang w:val="pt-PT"/>
        </w:rPr>
        <w:t>I</w:t>
      </w:r>
      <w:r w:rsidRPr="00D3197A">
        <w:rPr>
          <w:b/>
          <w:bCs/>
          <w:lang w:val="pt-PT"/>
        </w:rPr>
        <w:t>ndicador 7A como SiMR</w:t>
      </w:r>
      <w:r w:rsidR="00316DFC" w:rsidRPr="00D3197A">
        <w:rPr>
          <w:b/>
          <w:bCs/>
          <w:lang w:val="pt-PT"/>
        </w:rPr>
        <w:t>?</w:t>
      </w:r>
    </w:p>
    <w:p w14:paraId="7DFFA99E" w14:textId="48041A17" w:rsidR="00316DFC" w:rsidRPr="00D3197A" w:rsidRDefault="00997962" w:rsidP="00316DFC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theme="minorHAnsi"/>
          <w:lang w:val="pt-PT"/>
        </w:rPr>
      </w:pPr>
      <w:r w:rsidRPr="00D3197A">
        <w:rPr>
          <w:rFonts w:eastAsiaTheme="minorEastAsia" w:cstheme="minorHAnsi"/>
          <w:kern w:val="24"/>
          <w:position w:val="1"/>
          <w:lang w:val="pt-PT"/>
        </w:rPr>
        <w:t>Impactos sociais-emocionais sobre o desenvolvimento e aprendizagem da saúde</w:t>
      </w:r>
      <w:r w:rsidR="00316DFC" w:rsidRPr="00D3197A">
        <w:rPr>
          <w:rFonts w:eastAsiaTheme="minorEastAsia" w:cstheme="minorHAnsi"/>
          <w:kern w:val="24"/>
          <w:position w:val="1"/>
          <w:lang w:val="pt-PT"/>
        </w:rPr>
        <w:t xml:space="preserve"> (</w:t>
      </w:r>
      <w:hyperlink r:id="rId14" w:history="1">
        <w:r w:rsidR="00316DFC" w:rsidRPr="00D3197A">
          <w:rPr>
            <w:rFonts w:eastAsiaTheme="minorEastAsia" w:cstheme="minorHAnsi"/>
            <w:color w:val="0070C0"/>
            <w:kern w:val="24"/>
            <w:position w:val="1"/>
            <w:u w:val="single"/>
            <w:lang w:val="pt-PT"/>
          </w:rPr>
          <w:t>NAEYC, 2018</w:t>
        </w:r>
      </w:hyperlink>
      <w:r w:rsidR="00316DFC" w:rsidRPr="00D3197A">
        <w:rPr>
          <w:rFonts w:eastAsiaTheme="minorEastAsia" w:cstheme="minorHAnsi"/>
          <w:kern w:val="24"/>
          <w:position w:val="1"/>
          <w:lang w:val="pt-PT"/>
        </w:rPr>
        <w:t>)</w:t>
      </w:r>
    </w:p>
    <w:p w14:paraId="541B02B7" w14:textId="0E4D428B" w:rsidR="00316DFC" w:rsidRPr="00D3197A" w:rsidRDefault="00997962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  <w:lang w:val="pt-PT"/>
        </w:rPr>
      </w:pPr>
      <w:r w:rsidRPr="00D3197A">
        <w:rPr>
          <w:rFonts w:eastAsiaTheme="minorEastAsia" w:cstheme="minorHAnsi"/>
          <w:kern w:val="24"/>
          <w:lang w:val="pt-PT"/>
        </w:rPr>
        <w:t>Motivação e atitude em relação à escola.</w:t>
      </w:r>
    </w:p>
    <w:p w14:paraId="2B440B1C" w14:textId="62CD2135" w:rsidR="00316DFC" w:rsidRPr="00D3197A" w:rsidRDefault="00997962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  <w:lang w:val="pt-PT"/>
        </w:rPr>
      </w:pPr>
      <w:r w:rsidRPr="00D3197A">
        <w:rPr>
          <w:rFonts w:eastAsiaTheme="minorEastAsia" w:cstheme="minorHAnsi"/>
          <w:kern w:val="24"/>
          <w:lang w:val="pt-PT"/>
        </w:rPr>
        <w:t xml:space="preserve">Foco e participação nas atividades </w:t>
      </w:r>
      <w:r w:rsidR="00D3197A" w:rsidRPr="00D3197A">
        <w:rPr>
          <w:rFonts w:eastAsiaTheme="minorEastAsia" w:cstheme="minorHAnsi"/>
          <w:kern w:val="24"/>
          <w:lang w:val="pt-PT"/>
        </w:rPr>
        <w:t>na</w:t>
      </w:r>
      <w:r w:rsidRPr="00D3197A">
        <w:rPr>
          <w:rFonts w:eastAsiaTheme="minorEastAsia" w:cstheme="minorHAnsi"/>
          <w:kern w:val="24"/>
          <w:lang w:val="pt-PT"/>
        </w:rPr>
        <w:t xml:space="preserve"> aula.</w:t>
      </w:r>
    </w:p>
    <w:p w14:paraId="6C6B08D6" w14:textId="26CEEAAF" w:rsidR="00316DFC" w:rsidRPr="00D3197A" w:rsidRDefault="00997962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  <w:lang w:val="pt-PT"/>
        </w:rPr>
      </w:pPr>
      <w:r w:rsidRPr="00D3197A">
        <w:rPr>
          <w:rFonts w:eastAsiaTheme="minorEastAsia" w:cstheme="minorHAnsi"/>
          <w:kern w:val="24"/>
          <w:lang w:val="pt-PT"/>
        </w:rPr>
        <w:t>Desempenho académico.</w:t>
      </w:r>
    </w:p>
    <w:p w14:paraId="1484380F" w14:textId="7B4BA08E" w:rsidR="00316DFC" w:rsidRPr="00D3197A" w:rsidRDefault="00997962" w:rsidP="00316DFC">
      <w:pPr>
        <w:numPr>
          <w:ilvl w:val="1"/>
          <w:numId w:val="1"/>
        </w:numPr>
        <w:spacing w:after="0" w:line="240" w:lineRule="auto"/>
        <w:ind w:left="1440"/>
        <w:contextualSpacing/>
        <w:rPr>
          <w:rFonts w:eastAsia="Times New Roman" w:cstheme="minorHAnsi"/>
          <w:lang w:val="pt-PT"/>
        </w:rPr>
      </w:pPr>
      <w:r w:rsidRPr="00D3197A">
        <w:rPr>
          <w:rFonts w:eastAsiaTheme="minorEastAsia" w:cstheme="minorHAnsi"/>
          <w:kern w:val="24"/>
          <w:lang w:val="pt-PT"/>
        </w:rPr>
        <w:t>Regulação emocional.</w:t>
      </w:r>
    </w:p>
    <w:p w14:paraId="3D7CD333" w14:textId="25BAA1EB" w:rsidR="00316DFC" w:rsidRPr="00D3197A" w:rsidRDefault="00D3197A" w:rsidP="00316DFC">
      <w:pPr>
        <w:numPr>
          <w:ilvl w:val="0"/>
          <w:numId w:val="1"/>
        </w:numPr>
        <w:tabs>
          <w:tab w:val="clear" w:pos="-720"/>
        </w:tabs>
        <w:spacing w:after="0" w:line="240" w:lineRule="auto"/>
        <w:ind w:left="720"/>
        <w:contextualSpacing/>
        <w:rPr>
          <w:rFonts w:eastAsia="Times New Roman" w:cstheme="minorHAnsi"/>
          <w:lang w:val="pt-PT"/>
        </w:rPr>
      </w:pPr>
      <w:r w:rsidRPr="00D3197A">
        <w:rPr>
          <w:rFonts w:eastAsia="Times New Roman" w:cstheme="minorHAnsi"/>
          <w:lang w:val="pt-PT"/>
        </w:rPr>
        <w:t>O d</w:t>
      </w:r>
      <w:r w:rsidR="00997962" w:rsidRPr="00D3197A">
        <w:rPr>
          <w:rFonts w:eastAsia="Times New Roman" w:cstheme="minorHAnsi"/>
          <w:lang w:val="pt-PT"/>
        </w:rPr>
        <w:t xml:space="preserve">esenvolvimento </w:t>
      </w:r>
      <w:r w:rsidRPr="00D3197A">
        <w:rPr>
          <w:rFonts w:eastAsia="Times New Roman" w:cstheme="minorHAnsi"/>
          <w:lang w:val="pt-PT"/>
        </w:rPr>
        <w:t xml:space="preserve">socioemocional </w:t>
      </w:r>
      <w:r w:rsidR="00997962" w:rsidRPr="00D3197A">
        <w:rPr>
          <w:rFonts w:eastAsia="Times New Roman" w:cstheme="minorHAnsi"/>
          <w:lang w:val="pt-PT"/>
        </w:rPr>
        <w:t>contribui para a aptidão escolar</w:t>
      </w:r>
      <w:r w:rsidR="00316DFC" w:rsidRPr="00D3197A">
        <w:rPr>
          <w:rFonts w:eastAsia="Times New Roman" w:cstheme="minorHAnsi"/>
          <w:lang w:val="pt-PT"/>
        </w:rPr>
        <w:t xml:space="preserve"> </w:t>
      </w:r>
      <w:r w:rsidR="00316DFC" w:rsidRPr="00D3197A">
        <w:rPr>
          <w:rFonts w:eastAsiaTheme="minorEastAsia" w:cstheme="minorHAnsi"/>
          <w:kern w:val="24"/>
          <w:position w:val="1"/>
          <w:lang w:val="pt-PT"/>
        </w:rPr>
        <w:t>(</w:t>
      </w:r>
      <w:hyperlink r:id="rId15" w:anchor=":~:text=This%20brief%20summarizes%20early%20childhood%20through%20early%20postsecondary,early%20as%20prekindergarten%20and%20throughout%20their%20academic%20career." w:history="1">
        <w:r w:rsidR="00316DFC" w:rsidRPr="00D3197A">
          <w:rPr>
            <w:rStyle w:val="Hyperlink"/>
            <w:rFonts w:eastAsiaTheme="minorEastAsia" w:cstheme="minorHAnsi"/>
            <w:kern w:val="24"/>
            <w:position w:val="1"/>
            <w:lang w:val="pt-PT"/>
          </w:rPr>
          <w:t>The College &amp; Career Readiness &amp; Success Center, 2013</w:t>
        </w:r>
      </w:hyperlink>
      <w:r w:rsidR="00316DFC" w:rsidRPr="00D3197A">
        <w:rPr>
          <w:rFonts w:eastAsiaTheme="minorEastAsia" w:cstheme="minorHAnsi"/>
          <w:kern w:val="24"/>
          <w:position w:val="1"/>
          <w:lang w:val="pt-PT"/>
        </w:rPr>
        <w:t>)</w:t>
      </w:r>
    </w:p>
    <w:p w14:paraId="38559D9E" w14:textId="478C9183" w:rsidR="00316DFC" w:rsidRPr="00D3197A" w:rsidRDefault="00316DFC" w:rsidP="00316DFC">
      <w:pPr>
        <w:spacing w:after="0" w:line="240" w:lineRule="auto"/>
        <w:contextualSpacing/>
        <w:rPr>
          <w:rFonts w:eastAsiaTheme="minorEastAsia" w:cstheme="minorHAnsi"/>
          <w:kern w:val="24"/>
          <w:position w:val="1"/>
          <w:lang w:val="pt-PT"/>
        </w:rPr>
      </w:pPr>
    </w:p>
    <w:p w14:paraId="76B723A1" w14:textId="7696043E" w:rsidR="00316DFC" w:rsidRPr="00D3197A" w:rsidRDefault="0075338D" w:rsidP="00316DFC">
      <w:pPr>
        <w:spacing w:line="240" w:lineRule="auto"/>
        <w:rPr>
          <w:rFonts w:eastAsiaTheme="minorEastAsia" w:cstheme="minorHAnsi"/>
          <w:b/>
          <w:bCs/>
          <w:kern w:val="24"/>
          <w:position w:val="1"/>
          <w:lang w:val="pt-PT"/>
        </w:rPr>
      </w:pPr>
      <w:r w:rsidRPr="00D3197A">
        <w:rPr>
          <w:rFonts w:eastAsiaTheme="minorEastAsia" w:cstheme="minorHAnsi"/>
          <w:b/>
          <w:bCs/>
          <w:kern w:val="24"/>
          <w:position w:val="1"/>
          <w:lang w:val="pt-PT"/>
        </w:rPr>
        <w:t xml:space="preserve">Dados e objetivos SiMR do </w:t>
      </w:r>
      <w:r w:rsidR="000E68FD" w:rsidRPr="00D3197A">
        <w:rPr>
          <w:rFonts w:eastAsiaTheme="minorEastAsia" w:cstheme="minorHAnsi"/>
          <w:b/>
          <w:bCs/>
          <w:kern w:val="24"/>
          <w:position w:val="1"/>
          <w:lang w:val="pt-PT"/>
        </w:rPr>
        <w:t>Indica</w:t>
      </w:r>
      <w:r w:rsidRPr="00D3197A">
        <w:rPr>
          <w:rFonts w:eastAsiaTheme="minorEastAsia" w:cstheme="minorHAnsi"/>
          <w:b/>
          <w:bCs/>
          <w:kern w:val="24"/>
          <w:position w:val="1"/>
          <w:lang w:val="pt-PT"/>
        </w:rPr>
        <w:t>d</w:t>
      </w:r>
      <w:r w:rsidR="000E68FD" w:rsidRPr="00D3197A">
        <w:rPr>
          <w:rFonts w:eastAsiaTheme="minorEastAsia" w:cstheme="minorHAnsi"/>
          <w:b/>
          <w:bCs/>
          <w:kern w:val="24"/>
          <w:position w:val="1"/>
          <w:lang w:val="pt-PT"/>
        </w:rPr>
        <w:t>or 17</w:t>
      </w:r>
    </w:p>
    <w:p w14:paraId="51610C12" w14:textId="46F20B56" w:rsidR="00316DFC" w:rsidRPr="00D3197A" w:rsidRDefault="00997962" w:rsidP="000E68FD">
      <w:pPr>
        <w:spacing w:after="0" w:line="240" w:lineRule="auto"/>
        <w:rPr>
          <w:rFonts w:eastAsiaTheme="minorEastAsia" w:cstheme="minorHAnsi"/>
          <w:kern w:val="24"/>
          <w:position w:val="1"/>
          <w:lang w:val="pt-PT"/>
        </w:rPr>
      </w:pPr>
      <w:r w:rsidRPr="00D3197A">
        <w:rPr>
          <w:rFonts w:eastAsiaTheme="minorEastAsia" w:cstheme="minorHAnsi"/>
          <w:kern w:val="24"/>
          <w:position w:val="1"/>
          <w:lang w:val="pt-PT"/>
        </w:rPr>
        <w:t>Os dados do SiMR (</w:t>
      </w:r>
      <w:r w:rsidR="00D3197A" w:rsidRPr="00D3197A">
        <w:rPr>
          <w:rFonts w:eastAsiaTheme="minorEastAsia" w:cstheme="minorHAnsi"/>
          <w:kern w:val="24"/>
          <w:position w:val="1"/>
          <w:lang w:val="pt-PT"/>
        </w:rPr>
        <w:t>I</w:t>
      </w:r>
      <w:r w:rsidRPr="00D3197A">
        <w:rPr>
          <w:rFonts w:eastAsiaTheme="minorEastAsia" w:cstheme="minorHAnsi"/>
          <w:kern w:val="24"/>
          <w:position w:val="1"/>
          <w:lang w:val="pt-PT"/>
        </w:rPr>
        <w:t>ndicador 7A) são comunicados de acordo com duas afirmações sumárias</w:t>
      </w:r>
      <w:r w:rsidR="00316DFC" w:rsidRPr="00D3197A">
        <w:rPr>
          <w:rFonts w:eastAsiaTheme="minorEastAsia" w:cstheme="minorHAnsi"/>
          <w:kern w:val="24"/>
          <w:position w:val="1"/>
          <w:lang w:val="pt-PT"/>
        </w:rPr>
        <w:t>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316DFC" w:rsidRPr="00F77314" w14:paraId="3EB5C675" w14:textId="77777777" w:rsidTr="00272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61006904" w14:textId="628C921A" w:rsidR="00316DFC" w:rsidRPr="00D3197A" w:rsidRDefault="00997962" w:rsidP="00272C61">
            <w:pPr>
              <w:rPr>
                <w:b w:val="0"/>
                <w:bCs w:val="0"/>
                <w:lang w:val="pt-PT"/>
              </w:rPr>
            </w:pPr>
            <w:r w:rsidRPr="00D3197A">
              <w:rPr>
                <w:rFonts w:eastAsiaTheme="minorEastAsia" w:hAnsi="Calibri"/>
                <w:color w:val="000000" w:themeColor="text1"/>
                <w:kern w:val="24"/>
                <w:lang w:val="pt-PT"/>
              </w:rPr>
              <w:t>Afirmação sumária</w:t>
            </w:r>
            <w:r w:rsidR="00316DFC" w:rsidRPr="00D3197A">
              <w:rPr>
                <w:rFonts w:eastAsiaTheme="minorEastAsia" w:hAnsi="Calibri"/>
                <w:color w:val="000000" w:themeColor="text1"/>
                <w:kern w:val="24"/>
                <w:lang w:val="pt-PT"/>
              </w:rPr>
              <w:t xml:space="preserve"> 1</w:t>
            </w:r>
          </w:p>
        </w:tc>
        <w:tc>
          <w:tcPr>
            <w:tcW w:w="8005" w:type="dxa"/>
          </w:tcPr>
          <w:p w14:paraId="67C9AB19" w14:textId="0D3C8939" w:rsidR="00316DFC" w:rsidRPr="00D3197A" w:rsidRDefault="007A237C" w:rsidP="00272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 xml:space="preserve">Das crianças que </w:t>
            </w:r>
            <w:r w:rsidR="00D3197A"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 xml:space="preserve">participaram </w:t>
            </w:r>
            <w:r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>no programa pré-escolar abaixo das expetativas de idade, a percentagem que obteve vantagens quando complet</w:t>
            </w:r>
            <w:r w:rsidR="00D3197A"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>ou</w:t>
            </w:r>
            <w:r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 xml:space="preserve"> 6 anos ou abandon</w:t>
            </w:r>
            <w:r w:rsidR="00D3197A"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>ou</w:t>
            </w:r>
            <w:r w:rsidRPr="00D3197A">
              <w:rPr>
                <w:rFonts w:eastAsiaTheme="minorEastAsia" w:hAnsi="Calibri"/>
                <w:b w:val="0"/>
                <w:bCs w:val="0"/>
                <w:color w:val="000000" w:themeColor="text1"/>
                <w:kern w:val="24"/>
                <w:lang w:val="pt-PT"/>
              </w:rPr>
              <w:t xml:space="preserve"> o programa.</w:t>
            </w:r>
          </w:p>
        </w:tc>
      </w:tr>
      <w:tr w:rsidR="00316DFC" w:rsidRPr="00F77314" w14:paraId="2EC2FA8C" w14:textId="77777777" w:rsidTr="00272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5E8B5151" w14:textId="0B5D5D09" w:rsidR="00316DFC" w:rsidRPr="00D3197A" w:rsidRDefault="00997962" w:rsidP="00272C61">
            <w:pPr>
              <w:rPr>
                <w:b w:val="0"/>
                <w:bCs w:val="0"/>
                <w:lang w:val="pt-PT"/>
              </w:rPr>
            </w:pPr>
            <w:r w:rsidRPr="00D3197A">
              <w:rPr>
                <w:rFonts w:eastAsiaTheme="minorEastAsia" w:hAnsi="Calibri"/>
                <w:color w:val="000000" w:themeColor="text1"/>
                <w:kern w:val="24"/>
                <w:lang w:val="pt-PT"/>
              </w:rPr>
              <w:t>Afirmação sumária</w:t>
            </w:r>
            <w:r w:rsidRPr="00D3197A">
              <w:rPr>
                <w:rFonts w:eastAsiaTheme="minorEastAsia" w:cstheme="minorHAnsi"/>
                <w:color w:val="000000" w:themeColor="dark1"/>
                <w:kern w:val="24"/>
                <w:lang w:val="pt-PT"/>
              </w:rPr>
              <w:t xml:space="preserve"> </w:t>
            </w:r>
            <w:r w:rsidR="00316DFC" w:rsidRPr="00D3197A">
              <w:rPr>
                <w:rFonts w:eastAsiaTheme="minorEastAsia" w:cstheme="minorHAnsi"/>
                <w:color w:val="000000" w:themeColor="dark1"/>
                <w:kern w:val="24"/>
                <w:lang w:val="pt-PT"/>
              </w:rPr>
              <w:t>2</w:t>
            </w:r>
          </w:p>
        </w:tc>
        <w:tc>
          <w:tcPr>
            <w:tcW w:w="8005" w:type="dxa"/>
          </w:tcPr>
          <w:p w14:paraId="21BB6FF6" w14:textId="666908A7" w:rsidR="00316DFC" w:rsidRPr="00D3197A" w:rsidRDefault="007A237C" w:rsidP="00272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D3197A">
              <w:rPr>
                <w:rFonts w:eastAsiaTheme="minorEastAsia"/>
                <w:color w:val="000000" w:themeColor="dark1"/>
                <w:kern w:val="24"/>
                <w:lang w:val="pt-PT"/>
              </w:rPr>
              <w:t>Percentagem de crianças em idade pré-escolar que estavam dentro das expetativas de idade até aos 6 anos ou de abandono.</w:t>
            </w:r>
          </w:p>
        </w:tc>
      </w:tr>
    </w:tbl>
    <w:p w14:paraId="60B8C772" w14:textId="225D1AFB" w:rsidR="00316DFC" w:rsidRPr="00D3197A" w:rsidRDefault="00316DFC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  <w:lang w:val="pt-PT"/>
        </w:rPr>
      </w:pPr>
    </w:p>
    <w:p w14:paraId="68E0DD08" w14:textId="43BF9803" w:rsidR="000E68FD" w:rsidRPr="00D3197A" w:rsidRDefault="00997962" w:rsidP="000E68FD">
      <w:pPr>
        <w:spacing w:after="0" w:line="240" w:lineRule="auto"/>
        <w:rPr>
          <w:rFonts w:eastAsiaTheme="minorEastAsia" w:cstheme="minorHAnsi"/>
          <w:kern w:val="24"/>
          <w:position w:val="1"/>
          <w:lang w:val="pt-PT"/>
        </w:rPr>
      </w:pPr>
      <w:r w:rsidRPr="00D3197A">
        <w:rPr>
          <w:rFonts w:eastAsiaTheme="minorEastAsia" w:cstheme="minorHAnsi"/>
          <w:kern w:val="24"/>
          <w:position w:val="1"/>
          <w:lang w:val="pt-PT"/>
        </w:rPr>
        <w:t xml:space="preserve">Dados SiMR do </w:t>
      </w:r>
      <w:r w:rsidR="000E68FD" w:rsidRPr="00D3197A">
        <w:rPr>
          <w:rFonts w:eastAsiaTheme="minorEastAsia" w:cstheme="minorHAnsi"/>
          <w:kern w:val="24"/>
          <w:position w:val="1"/>
          <w:lang w:val="pt-PT"/>
        </w:rPr>
        <w:t>Indica</w:t>
      </w:r>
      <w:r w:rsidRPr="00D3197A">
        <w:rPr>
          <w:rFonts w:eastAsiaTheme="minorEastAsia" w:cstheme="minorHAnsi"/>
          <w:kern w:val="24"/>
          <w:position w:val="1"/>
          <w:lang w:val="pt-PT"/>
        </w:rPr>
        <w:t>d</w:t>
      </w:r>
      <w:r w:rsidR="000E68FD" w:rsidRPr="00D3197A">
        <w:rPr>
          <w:rFonts w:eastAsiaTheme="minorEastAsia" w:cstheme="minorHAnsi"/>
          <w:kern w:val="24"/>
          <w:position w:val="1"/>
          <w:lang w:val="pt-PT"/>
        </w:rPr>
        <w:t>or 17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1191"/>
        <w:gridCol w:w="964"/>
        <w:gridCol w:w="1003"/>
        <w:gridCol w:w="1050"/>
        <w:gridCol w:w="1038"/>
        <w:gridCol w:w="1050"/>
        <w:gridCol w:w="1003"/>
        <w:gridCol w:w="1050"/>
        <w:gridCol w:w="1003"/>
      </w:tblGrid>
      <w:tr w:rsidR="00D3197A" w:rsidRPr="00D3197A" w14:paraId="0FC8D483" w14:textId="77777777" w:rsidTr="0B77539F">
        <w:trPr>
          <w:trHeight w:val="796"/>
        </w:trPr>
        <w:tc>
          <w:tcPr>
            <w:tcW w:w="1261" w:type="dxa"/>
            <w:shd w:val="clear" w:color="auto" w:fill="B4C6E7" w:themeFill="accent1" w:themeFillTint="66"/>
          </w:tcPr>
          <w:p w14:paraId="41BFF479" w14:textId="186B31FB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SiMR</w:t>
            </w:r>
            <w:r w:rsidR="068CDBB3" w:rsidRPr="00D3197A">
              <w:rPr>
                <w:b/>
                <w:bCs/>
                <w:lang w:val="pt-PT"/>
              </w:rPr>
              <w:t xml:space="preserve"> (7A)</w:t>
            </w:r>
          </w:p>
        </w:tc>
        <w:tc>
          <w:tcPr>
            <w:tcW w:w="1011" w:type="dxa"/>
            <w:shd w:val="clear" w:color="auto" w:fill="B4C6E7" w:themeFill="accent1" w:themeFillTint="66"/>
          </w:tcPr>
          <w:p w14:paraId="7C128AF6" w14:textId="7BB71F9C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Dados </w:t>
            </w:r>
            <w:r w:rsidR="000E68FD" w:rsidRPr="00D3197A">
              <w:rPr>
                <w:b/>
                <w:bCs/>
                <w:lang w:val="pt-PT"/>
              </w:rPr>
              <w:t>FFY17 (N=651)</w:t>
            </w:r>
          </w:p>
        </w:tc>
        <w:tc>
          <w:tcPr>
            <w:tcW w:w="862" w:type="dxa"/>
            <w:shd w:val="clear" w:color="auto" w:fill="B4C6E7" w:themeFill="accent1" w:themeFillTint="66"/>
          </w:tcPr>
          <w:p w14:paraId="6E6A0ABB" w14:textId="7FEC113E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Objetivo </w:t>
            </w:r>
            <w:r w:rsidR="000E68FD" w:rsidRPr="00D3197A">
              <w:rPr>
                <w:b/>
                <w:bCs/>
                <w:lang w:val="pt-PT"/>
              </w:rPr>
              <w:t>FFY17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752AA270" w14:textId="79F357B3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Dados </w:t>
            </w:r>
            <w:r w:rsidR="000E68FD" w:rsidRPr="00D3197A">
              <w:rPr>
                <w:b/>
                <w:bCs/>
                <w:lang w:val="pt-PT"/>
              </w:rPr>
              <w:t>FFY18 (n=1045)</w:t>
            </w:r>
          </w:p>
        </w:tc>
        <w:tc>
          <w:tcPr>
            <w:tcW w:w="1114" w:type="dxa"/>
            <w:shd w:val="clear" w:color="auto" w:fill="B4C6E7" w:themeFill="accent1" w:themeFillTint="66"/>
          </w:tcPr>
          <w:p w14:paraId="7FA6A249" w14:textId="79A2A4E4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Objetivo </w:t>
            </w:r>
            <w:r w:rsidR="000E68FD" w:rsidRPr="00D3197A">
              <w:rPr>
                <w:b/>
                <w:bCs/>
                <w:lang w:val="pt-PT"/>
              </w:rPr>
              <w:t>FFY18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36ACD79C" w14:textId="262CAD33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Dados </w:t>
            </w:r>
            <w:r w:rsidR="000E68FD" w:rsidRPr="00D3197A">
              <w:rPr>
                <w:b/>
                <w:bCs/>
                <w:lang w:val="pt-PT"/>
              </w:rPr>
              <w:t>FFY19 (n=1150)</w:t>
            </w:r>
          </w:p>
        </w:tc>
        <w:tc>
          <w:tcPr>
            <w:tcW w:w="946" w:type="dxa"/>
            <w:shd w:val="clear" w:color="auto" w:fill="B4C6E7" w:themeFill="accent1" w:themeFillTint="66"/>
          </w:tcPr>
          <w:p w14:paraId="1FD856B6" w14:textId="3152DE3C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Objetivo </w:t>
            </w:r>
            <w:r w:rsidR="000E68FD" w:rsidRPr="00D3197A">
              <w:rPr>
                <w:b/>
                <w:bCs/>
                <w:lang w:val="pt-PT"/>
              </w:rPr>
              <w:t>FFY19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4DF505FB" w14:textId="53BCB0C9" w:rsidR="000E68FD" w:rsidRPr="00D3197A" w:rsidRDefault="00D3197A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Dados </w:t>
            </w:r>
            <w:r w:rsidR="000E68FD" w:rsidRPr="00D3197A">
              <w:rPr>
                <w:b/>
                <w:bCs/>
                <w:lang w:val="pt-PT"/>
              </w:rPr>
              <w:t>FFY20</w:t>
            </w:r>
          </w:p>
          <w:p w14:paraId="4BF34267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(n=1316)</w:t>
            </w:r>
          </w:p>
        </w:tc>
        <w:tc>
          <w:tcPr>
            <w:tcW w:w="855" w:type="dxa"/>
            <w:shd w:val="clear" w:color="auto" w:fill="B4C6E7" w:themeFill="accent1" w:themeFillTint="66"/>
          </w:tcPr>
          <w:p w14:paraId="1FDD81CA" w14:textId="6DEFFF0D" w:rsidR="000E68FD" w:rsidRPr="00D3197A" w:rsidRDefault="00D3197A" w:rsidP="00D3197A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Objetivo </w:t>
            </w:r>
            <w:r w:rsidR="000E68FD" w:rsidRPr="00D3197A">
              <w:rPr>
                <w:b/>
                <w:bCs/>
                <w:lang w:val="pt-PT"/>
              </w:rPr>
              <w:t>FFY20</w:t>
            </w:r>
          </w:p>
        </w:tc>
      </w:tr>
      <w:tr w:rsidR="00D3197A" w:rsidRPr="00D3197A" w14:paraId="7606AAF6" w14:textId="77777777" w:rsidTr="0B77539F">
        <w:trPr>
          <w:trHeight w:val="807"/>
        </w:trPr>
        <w:tc>
          <w:tcPr>
            <w:tcW w:w="1261" w:type="dxa"/>
          </w:tcPr>
          <w:p w14:paraId="268D6CEC" w14:textId="0B0856DC" w:rsidR="000E68FD" w:rsidRPr="00D3197A" w:rsidRDefault="00997962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Afirmação sumária</w:t>
            </w:r>
            <w:r w:rsidR="000E68FD" w:rsidRPr="00D3197A">
              <w:rPr>
                <w:b/>
                <w:bCs/>
                <w:lang w:val="pt-PT"/>
              </w:rPr>
              <w:t xml:space="preserve"> 1</w:t>
            </w:r>
          </w:p>
        </w:tc>
        <w:tc>
          <w:tcPr>
            <w:tcW w:w="1011" w:type="dxa"/>
          </w:tcPr>
          <w:p w14:paraId="1A987094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85.61%</w:t>
            </w:r>
          </w:p>
        </w:tc>
        <w:tc>
          <w:tcPr>
            <w:tcW w:w="862" w:type="dxa"/>
          </w:tcPr>
          <w:p w14:paraId="6523A53F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--</w:t>
            </w:r>
          </w:p>
        </w:tc>
        <w:tc>
          <w:tcPr>
            <w:tcW w:w="1101" w:type="dxa"/>
          </w:tcPr>
          <w:p w14:paraId="238746AB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85.17%</w:t>
            </w:r>
          </w:p>
        </w:tc>
        <w:tc>
          <w:tcPr>
            <w:tcW w:w="1114" w:type="dxa"/>
          </w:tcPr>
          <w:p w14:paraId="17AECD5D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86.00%</w:t>
            </w:r>
          </w:p>
        </w:tc>
        <w:tc>
          <w:tcPr>
            <w:tcW w:w="1101" w:type="dxa"/>
          </w:tcPr>
          <w:p w14:paraId="280927F4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82.44%</w:t>
            </w:r>
          </w:p>
        </w:tc>
        <w:tc>
          <w:tcPr>
            <w:tcW w:w="946" w:type="dxa"/>
          </w:tcPr>
          <w:p w14:paraId="024E73D7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86.00%</w:t>
            </w:r>
          </w:p>
        </w:tc>
        <w:tc>
          <w:tcPr>
            <w:tcW w:w="1101" w:type="dxa"/>
          </w:tcPr>
          <w:p w14:paraId="16BEBB6D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80.09%</w:t>
            </w:r>
          </w:p>
        </w:tc>
        <w:tc>
          <w:tcPr>
            <w:tcW w:w="855" w:type="dxa"/>
          </w:tcPr>
          <w:p w14:paraId="2E29008B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86.00%</w:t>
            </w:r>
          </w:p>
        </w:tc>
      </w:tr>
      <w:tr w:rsidR="00D3197A" w:rsidRPr="00D3197A" w14:paraId="1CB4C1C0" w14:textId="77777777" w:rsidTr="0B77539F">
        <w:trPr>
          <w:trHeight w:val="807"/>
        </w:trPr>
        <w:tc>
          <w:tcPr>
            <w:tcW w:w="1261" w:type="dxa"/>
          </w:tcPr>
          <w:p w14:paraId="78D990BB" w14:textId="625F6D9D" w:rsidR="000E68FD" w:rsidRPr="00D3197A" w:rsidRDefault="00997962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Afirmação sumária</w:t>
            </w:r>
            <w:r w:rsidR="000E68FD" w:rsidRPr="00D3197A">
              <w:rPr>
                <w:b/>
                <w:bCs/>
                <w:lang w:val="pt-PT"/>
              </w:rPr>
              <w:t xml:space="preserve"> 2</w:t>
            </w:r>
          </w:p>
        </w:tc>
        <w:tc>
          <w:tcPr>
            <w:tcW w:w="1011" w:type="dxa"/>
          </w:tcPr>
          <w:p w14:paraId="4D924F64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47.00%</w:t>
            </w:r>
          </w:p>
        </w:tc>
        <w:tc>
          <w:tcPr>
            <w:tcW w:w="862" w:type="dxa"/>
          </w:tcPr>
          <w:p w14:paraId="00FC9A1B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--</w:t>
            </w:r>
          </w:p>
        </w:tc>
        <w:tc>
          <w:tcPr>
            <w:tcW w:w="1101" w:type="dxa"/>
          </w:tcPr>
          <w:p w14:paraId="75B0AB10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46.03%</w:t>
            </w:r>
          </w:p>
        </w:tc>
        <w:tc>
          <w:tcPr>
            <w:tcW w:w="1114" w:type="dxa"/>
          </w:tcPr>
          <w:p w14:paraId="159F79EE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50.00%</w:t>
            </w:r>
          </w:p>
        </w:tc>
        <w:tc>
          <w:tcPr>
            <w:tcW w:w="1101" w:type="dxa"/>
          </w:tcPr>
          <w:p w14:paraId="22155AE2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43.74%</w:t>
            </w:r>
          </w:p>
        </w:tc>
        <w:tc>
          <w:tcPr>
            <w:tcW w:w="946" w:type="dxa"/>
          </w:tcPr>
          <w:p w14:paraId="284C4527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50.00%</w:t>
            </w:r>
          </w:p>
        </w:tc>
        <w:tc>
          <w:tcPr>
            <w:tcW w:w="1101" w:type="dxa"/>
          </w:tcPr>
          <w:p w14:paraId="1105B3BA" w14:textId="77777777" w:rsidR="000E68FD" w:rsidRPr="00D3197A" w:rsidRDefault="000E68FD" w:rsidP="00272C61">
            <w:pPr>
              <w:rPr>
                <w:lang w:val="pt-PT"/>
              </w:rPr>
            </w:pPr>
            <w:r w:rsidRPr="00D3197A">
              <w:rPr>
                <w:lang w:val="pt-PT"/>
              </w:rPr>
              <w:t>44.53%</w:t>
            </w:r>
          </w:p>
        </w:tc>
        <w:tc>
          <w:tcPr>
            <w:tcW w:w="855" w:type="dxa"/>
          </w:tcPr>
          <w:p w14:paraId="22CC8FC8" w14:textId="77777777" w:rsidR="000E68FD" w:rsidRPr="00D3197A" w:rsidRDefault="000E68FD" w:rsidP="00272C61">
            <w:pPr>
              <w:rPr>
                <w:b/>
                <w:bCs/>
                <w:lang w:val="pt-PT"/>
              </w:rPr>
            </w:pPr>
            <w:r w:rsidRPr="00D3197A">
              <w:rPr>
                <w:b/>
                <w:bCs/>
                <w:lang w:val="pt-PT"/>
              </w:rPr>
              <w:t>50.00%</w:t>
            </w:r>
          </w:p>
        </w:tc>
      </w:tr>
    </w:tbl>
    <w:p w14:paraId="3F301961" w14:textId="1D39AA3F" w:rsidR="000E68FD" w:rsidRPr="00D3197A" w:rsidRDefault="000E68FD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  <w:lang w:val="pt-PT"/>
        </w:rPr>
      </w:pPr>
    </w:p>
    <w:p w14:paraId="48450515" w14:textId="1AE0DA70" w:rsidR="00D3197A" w:rsidRPr="00D3197A" w:rsidRDefault="00D3197A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  <w:lang w:val="pt-PT"/>
        </w:rPr>
      </w:pPr>
    </w:p>
    <w:p w14:paraId="3F28AC11" w14:textId="165DD68E" w:rsidR="00D3197A" w:rsidRPr="00D3197A" w:rsidRDefault="00D3197A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  <w:lang w:val="pt-PT"/>
        </w:rPr>
      </w:pPr>
    </w:p>
    <w:p w14:paraId="28FCB8EA" w14:textId="024EACBF" w:rsidR="00D3197A" w:rsidRPr="00D3197A" w:rsidRDefault="00D3197A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  <w:lang w:val="pt-PT"/>
        </w:rPr>
      </w:pPr>
    </w:p>
    <w:p w14:paraId="1F45D6A8" w14:textId="77777777" w:rsidR="00D3197A" w:rsidRPr="00D3197A" w:rsidRDefault="00D3197A" w:rsidP="00316D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position w:val="1"/>
          <w:lang w:val="pt-PT"/>
        </w:rPr>
      </w:pPr>
    </w:p>
    <w:p w14:paraId="12C6569B" w14:textId="191D9590" w:rsidR="00316DFC" w:rsidRPr="00D3197A" w:rsidRDefault="007A237C" w:rsidP="00316DFC">
      <w:pPr>
        <w:spacing w:after="0" w:line="240" w:lineRule="auto"/>
        <w:contextualSpacing/>
        <w:rPr>
          <w:rFonts w:eastAsia="Times New Roman" w:cstheme="minorHAnsi"/>
          <w:lang w:val="pt-PT"/>
        </w:rPr>
      </w:pPr>
      <w:r w:rsidRPr="00D3197A">
        <w:rPr>
          <w:rFonts w:eastAsia="Times New Roman" w:cstheme="minorHAnsi"/>
          <w:lang w:val="pt-PT"/>
        </w:rPr>
        <w:lastRenderedPageBreak/>
        <w:t>Objetivos SiMR para o Ano Fiscal Federal 2020 - Ano Fiscal Federal 2025</w:t>
      </w:r>
      <w:r w:rsidR="00316DFC" w:rsidRPr="00D3197A">
        <w:rPr>
          <w:rFonts w:eastAsia="Times New Roman" w:cstheme="minorHAnsi"/>
          <w:lang w:val="pt-PT"/>
        </w:rPr>
        <w:t>:</w:t>
      </w:r>
    </w:p>
    <w:tbl>
      <w:tblPr>
        <w:tblStyle w:val="ListTable3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94"/>
        <w:gridCol w:w="1338"/>
        <w:gridCol w:w="1231"/>
        <w:gridCol w:w="1262"/>
        <w:gridCol w:w="1283"/>
        <w:gridCol w:w="1305"/>
        <w:gridCol w:w="1337"/>
      </w:tblGrid>
      <w:tr w:rsidR="00D3197A" w:rsidRPr="00D3197A" w14:paraId="1215904E" w14:textId="77777777" w:rsidTr="000E6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852" w:type="pct"/>
            <w:shd w:val="clear" w:color="auto" w:fill="B4C6E7" w:themeFill="accent1" w:themeFillTint="66"/>
            <w:hideMark/>
          </w:tcPr>
          <w:p w14:paraId="1F86A239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  <w:r w:rsidRPr="00D3197A">
              <w:rPr>
                <w:rFonts w:eastAsia="Times New Roman" w:cstheme="minorHAnsi"/>
                <w:color w:val="auto"/>
                <w:lang w:val="pt-PT"/>
              </w:rPr>
              <w:t>SiMR (7A)</w:t>
            </w:r>
          </w:p>
        </w:tc>
        <w:tc>
          <w:tcPr>
            <w:tcW w:w="715" w:type="pct"/>
            <w:shd w:val="clear" w:color="auto" w:fill="B4C6E7" w:themeFill="accent1" w:themeFillTint="66"/>
            <w:hideMark/>
          </w:tcPr>
          <w:p w14:paraId="0B0A3509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</w:p>
        </w:tc>
        <w:tc>
          <w:tcPr>
            <w:tcW w:w="658" w:type="pct"/>
            <w:shd w:val="clear" w:color="auto" w:fill="B4C6E7" w:themeFill="accent1" w:themeFillTint="66"/>
            <w:hideMark/>
          </w:tcPr>
          <w:p w14:paraId="21A142F5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</w:p>
        </w:tc>
        <w:tc>
          <w:tcPr>
            <w:tcW w:w="675" w:type="pct"/>
            <w:shd w:val="clear" w:color="auto" w:fill="B4C6E7" w:themeFill="accent1" w:themeFillTint="66"/>
            <w:hideMark/>
          </w:tcPr>
          <w:p w14:paraId="42927CAF" w14:textId="1A00D4D1" w:rsidR="00316DFC" w:rsidRPr="00D3197A" w:rsidRDefault="00D3197A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  <w:r w:rsidRPr="00D3197A">
              <w:rPr>
                <w:rFonts w:eastAsia="Times New Roman" w:cstheme="minorHAnsi"/>
                <w:color w:val="auto"/>
                <w:lang w:val="pt-PT"/>
              </w:rPr>
              <w:t>Objetivos</w:t>
            </w:r>
          </w:p>
        </w:tc>
        <w:tc>
          <w:tcPr>
            <w:tcW w:w="686" w:type="pct"/>
            <w:shd w:val="clear" w:color="auto" w:fill="B4C6E7" w:themeFill="accent1" w:themeFillTint="66"/>
            <w:hideMark/>
          </w:tcPr>
          <w:p w14:paraId="08C60A96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</w:p>
        </w:tc>
        <w:tc>
          <w:tcPr>
            <w:tcW w:w="698" w:type="pct"/>
            <w:shd w:val="clear" w:color="auto" w:fill="B4C6E7" w:themeFill="accent1" w:themeFillTint="66"/>
            <w:hideMark/>
          </w:tcPr>
          <w:p w14:paraId="3090DB22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</w:p>
        </w:tc>
        <w:tc>
          <w:tcPr>
            <w:tcW w:w="715" w:type="pct"/>
            <w:shd w:val="clear" w:color="auto" w:fill="B4C6E7" w:themeFill="accent1" w:themeFillTint="66"/>
            <w:hideMark/>
          </w:tcPr>
          <w:p w14:paraId="40337B7F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color w:val="auto"/>
                <w:lang w:val="pt-PT"/>
              </w:rPr>
            </w:pPr>
          </w:p>
        </w:tc>
      </w:tr>
      <w:tr w:rsidR="000E68FD" w:rsidRPr="00D3197A" w14:paraId="5193CD78" w14:textId="77777777" w:rsidTr="000E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852" w:type="pct"/>
            <w:hideMark/>
          </w:tcPr>
          <w:p w14:paraId="604DB9A8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FFY</w:t>
            </w:r>
          </w:p>
        </w:tc>
        <w:tc>
          <w:tcPr>
            <w:tcW w:w="715" w:type="pct"/>
            <w:hideMark/>
          </w:tcPr>
          <w:p w14:paraId="20D83A26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2020</w:t>
            </w:r>
          </w:p>
        </w:tc>
        <w:tc>
          <w:tcPr>
            <w:tcW w:w="658" w:type="pct"/>
            <w:hideMark/>
          </w:tcPr>
          <w:p w14:paraId="223B8EA9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2021</w:t>
            </w:r>
          </w:p>
        </w:tc>
        <w:tc>
          <w:tcPr>
            <w:tcW w:w="675" w:type="pct"/>
            <w:hideMark/>
          </w:tcPr>
          <w:p w14:paraId="61DCAE7A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2022</w:t>
            </w:r>
          </w:p>
        </w:tc>
        <w:tc>
          <w:tcPr>
            <w:tcW w:w="686" w:type="pct"/>
            <w:hideMark/>
          </w:tcPr>
          <w:p w14:paraId="6A1E6A4A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2023</w:t>
            </w:r>
          </w:p>
        </w:tc>
        <w:tc>
          <w:tcPr>
            <w:tcW w:w="698" w:type="pct"/>
            <w:hideMark/>
          </w:tcPr>
          <w:p w14:paraId="2BE08F45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2024</w:t>
            </w:r>
          </w:p>
        </w:tc>
        <w:tc>
          <w:tcPr>
            <w:tcW w:w="715" w:type="pct"/>
            <w:hideMark/>
          </w:tcPr>
          <w:p w14:paraId="60E5239B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b/>
                <w:bCs/>
                <w:lang w:val="pt-PT"/>
              </w:rPr>
              <w:t>2025</w:t>
            </w:r>
          </w:p>
        </w:tc>
      </w:tr>
      <w:tr w:rsidR="000E68FD" w:rsidRPr="00D3197A" w14:paraId="1CDB6B22" w14:textId="77777777" w:rsidTr="000E68FD">
        <w:trPr>
          <w:trHeight w:val="466"/>
        </w:trPr>
        <w:tc>
          <w:tcPr>
            <w:tcW w:w="852" w:type="pct"/>
            <w:hideMark/>
          </w:tcPr>
          <w:p w14:paraId="2E3E5E78" w14:textId="14657EC3" w:rsidR="00316DFC" w:rsidRPr="00D3197A" w:rsidRDefault="007A237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Afirmação sumária </w:t>
            </w:r>
            <w:r w:rsidR="00316DFC" w:rsidRPr="00D3197A">
              <w:rPr>
                <w:rFonts w:eastAsia="Times New Roman" w:cstheme="minorHAnsi"/>
                <w:b/>
                <w:bCs/>
                <w:lang w:val="pt-PT"/>
              </w:rPr>
              <w:t>1</w:t>
            </w:r>
          </w:p>
        </w:tc>
        <w:tc>
          <w:tcPr>
            <w:tcW w:w="715" w:type="pct"/>
            <w:hideMark/>
          </w:tcPr>
          <w:p w14:paraId="29BAEE52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86.00%</w:t>
            </w:r>
          </w:p>
        </w:tc>
        <w:tc>
          <w:tcPr>
            <w:tcW w:w="658" w:type="pct"/>
            <w:hideMark/>
          </w:tcPr>
          <w:p w14:paraId="035599A2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86.00%</w:t>
            </w:r>
          </w:p>
        </w:tc>
        <w:tc>
          <w:tcPr>
            <w:tcW w:w="675" w:type="pct"/>
            <w:hideMark/>
          </w:tcPr>
          <w:p w14:paraId="05F3872A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86.00%</w:t>
            </w:r>
          </w:p>
        </w:tc>
        <w:tc>
          <w:tcPr>
            <w:tcW w:w="686" w:type="pct"/>
            <w:hideMark/>
          </w:tcPr>
          <w:p w14:paraId="6A950948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86.50%</w:t>
            </w:r>
          </w:p>
        </w:tc>
        <w:tc>
          <w:tcPr>
            <w:tcW w:w="698" w:type="pct"/>
            <w:hideMark/>
          </w:tcPr>
          <w:p w14:paraId="729203BE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87.00%</w:t>
            </w:r>
          </w:p>
        </w:tc>
        <w:tc>
          <w:tcPr>
            <w:tcW w:w="715" w:type="pct"/>
            <w:hideMark/>
          </w:tcPr>
          <w:p w14:paraId="66A68223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88.00%</w:t>
            </w:r>
          </w:p>
        </w:tc>
      </w:tr>
      <w:tr w:rsidR="000E68FD" w:rsidRPr="00D3197A" w14:paraId="3E05ED6B" w14:textId="77777777" w:rsidTr="000E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852" w:type="pct"/>
            <w:hideMark/>
          </w:tcPr>
          <w:p w14:paraId="28A9B8D7" w14:textId="29D493C6" w:rsidR="00316DFC" w:rsidRPr="00D3197A" w:rsidRDefault="007A237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b/>
                <w:bCs/>
                <w:lang w:val="pt-PT"/>
              </w:rPr>
              <w:t xml:space="preserve">Afirmação sumária </w:t>
            </w:r>
            <w:r w:rsidR="00316DFC" w:rsidRPr="00D3197A">
              <w:rPr>
                <w:rFonts w:eastAsia="Times New Roman" w:cstheme="minorHAnsi"/>
                <w:b/>
                <w:bCs/>
                <w:lang w:val="pt-PT"/>
              </w:rPr>
              <w:t>2</w:t>
            </w:r>
          </w:p>
        </w:tc>
        <w:tc>
          <w:tcPr>
            <w:tcW w:w="715" w:type="pct"/>
            <w:hideMark/>
          </w:tcPr>
          <w:p w14:paraId="1224E082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50.00%</w:t>
            </w:r>
          </w:p>
        </w:tc>
        <w:tc>
          <w:tcPr>
            <w:tcW w:w="658" w:type="pct"/>
            <w:hideMark/>
          </w:tcPr>
          <w:p w14:paraId="2BC58AE2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50.00%</w:t>
            </w:r>
          </w:p>
        </w:tc>
        <w:tc>
          <w:tcPr>
            <w:tcW w:w="675" w:type="pct"/>
            <w:hideMark/>
          </w:tcPr>
          <w:p w14:paraId="546DC7A8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50.00%</w:t>
            </w:r>
          </w:p>
        </w:tc>
        <w:tc>
          <w:tcPr>
            <w:tcW w:w="686" w:type="pct"/>
            <w:hideMark/>
          </w:tcPr>
          <w:p w14:paraId="129163C8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50.25%</w:t>
            </w:r>
          </w:p>
        </w:tc>
        <w:tc>
          <w:tcPr>
            <w:tcW w:w="698" w:type="pct"/>
            <w:hideMark/>
          </w:tcPr>
          <w:p w14:paraId="6EADAAC6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50.50%</w:t>
            </w:r>
          </w:p>
        </w:tc>
        <w:tc>
          <w:tcPr>
            <w:tcW w:w="715" w:type="pct"/>
            <w:hideMark/>
          </w:tcPr>
          <w:p w14:paraId="177D53D6" w14:textId="77777777" w:rsidR="00316DFC" w:rsidRPr="00D3197A" w:rsidRDefault="00316DFC" w:rsidP="00316DFC">
            <w:pPr>
              <w:contextualSpacing/>
              <w:rPr>
                <w:rFonts w:eastAsia="Times New Roman" w:cstheme="minorHAnsi"/>
                <w:lang w:val="pt-PT"/>
              </w:rPr>
            </w:pPr>
            <w:r w:rsidRPr="00D3197A">
              <w:rPr>
                <w:rFonts w:eastAsia="Times New Roman" w:cstheme="minorHAnsi"/>
                <w:lang w:val="pt-PT"/>
              </w:rPr>
              <w:t>51.00%</w:t>
            </w:r>
          </w:p>
        </w:tc>
      </w:tr>
    </w:tbl>
    <w:p w14:paraId="3CB70450" w14:textId="77777777" w:rsidR="005C1B27" w:rsidRPr="00D3197A" w:rsidRDefault="005C1B27" w:rsidP="001A59F2">
      <w:pPr>
        <w:rPr>
          <w:b/>
          <w:bCs/>
          <w:lang w:val="pt-PT"/>
        </w:rPr>
      </w:pPr>
    </w:p>
    <w:p w14:paraId="64D99BBB" w14:textId="21D1CB94" w:rsidR="001A59F2" w:rsidRPr="00D3197A" w:rsidRDefault="0075338D" w:rsidP="001A59F2">
      <w:pPr>
        <w:rPr>
          <w:b/>
          <w:bCs/>
          <w:lang w:val="pt-PT"/>
        </w:rPr>
      </w:pPr>
      <w:r w:rsidRPr="00D3197A">
        <w:rPr>
          <w:b/>
          <w:bCs/>
          <w:lang w:val="pt-PT"/>
        </w:rPr>
        <w:t>Informação adicional</w:t>
      </w:r>
      <w:r w:rsidR="000E68FD" w:rsidRPr="00D3197A">
        <w:rPr>
          <w:b/>
          <w:bCs/>
          <w:lang w:val="pt-PT"/>
        </w:rPr>
        <w:t xml:space="preserve">: </w:t>
      </w:r>
    </w:p>
    <w:p w14:paraId="3A018418" w14:textId="1BEBBCF8" w:rsidR="000E68FD" w:rsidRPr="00D3197A" w:rsidRDefault="000E68FD" w:rsidP="00F77314">
      <w:pPr>
        <w:numPr>
          <w:ilvl w:val="0"/>
          <w:numId w:val="4"/>
        </w:numPr>
        <w:spacing w:after="0"/>
        <w:rPr>
          <w:lang w:val="pt-PT"/>
        </w:rPr>
      </w:pPr>
      <w:r w:rsidRPr="00D3197A">
        <w:rPr>
          <w:lang w:val="pt-PT"/>
        </w:rPr>
        <w:t xml:space="preserve">Massachusetts’ SSIP </w:t>
      </w:r>
      <w:hyperlink r:id="rId16" w:history="1">
        <w:r w:rsidRPr="00D3197A">
          <w:rPr>
            <w:rStyle w:val="Hyperlink"/>
            <w:lang w:val="pt-PT"/>
          </w:rPr>
          <w:t>Theory of Action</w:t>
        </w:r>
      </w:hyperlink>
    </w:p>
    <w:p w14:paraId="42193698" w14:textId="5CCC4ED8" w:rsidR="00BF2B77" w:rsidRPr="00D3197A" w:rsidRDefault="00BF2B77" w:rsidP="00F77314">
      <w:pPr>
        <w:numPr>
          <w:ilvl w:val="0"/>
          <w:numId w:val="4"/>
        </w:numPr>
        <w:spacing w:after="0"/>
        <w:rPr>
          <w:lang w:val="pt-PT"/>
        </w:rPr>
      </w:pPr>
      <w:r w:rsidRPr="00D3197A">
        <w:rPr>
          <w:lang w:val="pt-PT"/>
        </w:rPr>
        <w:t xml:space="preserve">Massachusetts’ SSIP </w:t>
      </w:r>
      <w:hyperlink r:id="rId17" w:history="1">
        <w:r w:rsidRPr="00D3197A">
          <w:rPr>
            <w:rStyle w:val="Hyperlink"/>
            <w:lang w:val="pt-PT"/>
          </w:rPr>
          <w:t>Evaluation Plan</w:t>
        </w:r>
      </w:hyperlink>
    </w:p>
    <w:p w14:paraId="0DBFC910" w14:textId="3EB4D2A3" w:rsidR="000E68FD" w:rsidRPr="005F351C" w:rsidRDefault="000E68FD" w:rsidP="00F77314">
      <w:pPr>
        <w:numPr>
          <w:ilvl w:val="0"/>
          <w:numId w:val="4"/>
        </w:numPr>
        <w:spacing w:after="0"/>
      </w:pPr>
      <w:r w:rsidRPr="005F351C">
        <w:rPr>
          <w:i/>
          <w:iCs/>
        </w:rPr>
        <w:t>National Center for Pyramid Model Innovations</w:t>
      </w:r>
      <w:r w:rsidRPr="005F351C">
        <w:t xml:space="preserve">: </w:t>
      </w:r>
      <w:hyperlink r:id="rId18" w:history="1">
        <w:r w:rsidRPr="005F351C">
          <w:rPr>
            <w:rStyle w:val="Hyperlink"/>
          </w:rPr>
          <w:t>National Center for Pyramid Model Innovations (challengingbehavior.org)</w:t>
        </w:r>
      </w:hyperlink>
    </w:p>
    <w:p w14:paraId="11911753" w14:textId="77777777" w:rsidR="000E68FD" w:rsidRPr="005F351C" w:rsidRDefault="000E68FD" w:rsidP="00F77314">
      <w:pPr>
        <w:numPr>
          <w:ilvl w:val="0"/>
          <w:numId w:val="4"/>
        </w:numPr>
        <w:spacing w:after="0"/>
      </w:pPr>
      <w:r w:rsidRPr="005F351C">
        <w:rPr>
          <w:i/>
          <w:iCs/>
        </w:rPr>
        <w:t>Pyramid Model Consortium</w:t>
      </w:r>
      <w:r w:rsidRPr="005F351C">
        <w:t xml:space="preserve">: </w:t>
      </w:r>
      <w:hyperlink r:id="rId19" w:history="1">
        <w:r w:rsidRPr="005F351C">
          <w:rPr>
            <w:rStyle w:val="Hyperlink"/>
          </w:rPr>
          <w:t>The Pyramid Model Consortium - Supporting Early Childhood PBIS</w:t>
        </w:r>
      </w:hyperlink>
    </w:p>
    <w:p w14:paraId="06387A96" w14:textId="77777777" w:rsidR="000E68FD" w:rsidRPr="005F351C" w:rsidRDefault="000E68FD" w:rsidP="00F77314">
      <w:pPr>
        <w:numPr>
          <w:ilvl w:val="0"/>
          <w:numId w:val="4"/>
        </w:numPr>
        <w:spacing w:after="0"/>
      </w:pPr>
      <w:r w:rsidRPr="005F351C">
        <w:rPr>
          <w:i/>
          <w:iCs/>
        </w:rPr>
        <w:t>State Systemic Improvement Plan (SSIP)</w:t>
      </w:r>
      <w:r w:rsidRPr="005F351C">
        <w:t xml:space="preserve">: </w:t>
      </w:r>
      <w:hyperlink r:id="rId20" w:history="1">
        <w:r w:rsidRPr="005F351C">
          <w:rPr>
            <w:rStyle w:val="Hyperlink"/>
          </w:rPr>
          <w:t>ECTA Center: State Systemic Improvement Plan (SSIP)</w:t>
        </w:r>
      </w:hyperlink>
    </w:p>
    <w:p w14:paraId="3ECD6F02" w14:textId="2AFD951A" w:rsidR="001A59F2" w:rsidRDefault="001A59F2" w:rsidP="001A59F2"/>
    <w:p w14:paraId="5D4DDC63" w14:textId="71637F75" w:rsidR="00F77314" w:rsidRPr="00F77314" w:rsidRDefault="00F77314" w:rsidP="001A59F2">
      <w:pPr>
        <w:rPr>
          <w:b/>
          <w:bCs/>
          <w:lang w:val="pt-BR"/>
        </w:rPr>
      </w:pPr>
      <w:r w:rsidRPr="00F77314">
        <w:rPr>
          <w:b/>
          <w:bCs/>
          <w:lang w:val="pt-BR"/>
        </w:rPr>
        <w:t>Saiba mais sobre o Indicador # 17:</w:t>
      </w:r>
    </w:p>
    <w:p w14:paraId="111D9468" w14:textId="725F0319" w:rsidR="00F77314" w:rsidRPr="00F77314" w:rsidRDefault="005A6344" w:rsidP="00F77314">
      <w:pPr>
        <w:pStyle w:val="ListParagraph"/>
        <w:numPr>
          <w:ilvl w:val="0"/>
          <w:numId w:val="3"/>
        </w:numPr>
        <w:rPr>
          <w:lang w:val="pt-BR"/>
        </w:rPr>
      </w:pPr>
      <w:hyperlink r:id="rId21" w:history="1">
        <w:r w:rsidR="00F77314" w:rsidRPr="00F77314">
          <w:rPr>
            <w:rStyle w:val="Hyperlink"/>
            <w:lang w:val="pt-BR"/>
          </w:rPr>
          <w:t>PowerPoint Indicador 17</w:t>
        </w:r>
      </w:hyperlink>
    </w:p>
    <w:sectPr w:rsidR="00F77314" w:rsidRPr="00F7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69C3"/>
    <w:multiLevelType w:val="hybridMultilevel"/>
    <w:tmpl w:val="59AC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DD4"/>
    <w:multiLevelType w:val="hybridMultilevel"/>
    <w:tmpl w:val="475295A8"/>
    <w:lvl w:ilvl="0" w:tplc="B286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4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C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6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E0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0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C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7A2DFB"/>
    <w:multiLevelType w:val="hybridMultilevel"/>
    <w:tmpl w:val="FA02A326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3" w15:restartNumberingAfterBreak="0">
    <w:nsid w:val="75965290"/>
    <w:multiLevelType w:val="hybridMultilevel"/>
    <w:tmpl w:val="56D2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C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6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E0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0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C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7"/>
    <w:rsid w:val="00027B4B"/>
    <w:rsid w:val="000A196B"/>
    <w:rsid w:val="000E68FD"/>
    <w:rsid w:val="000F6373"/>
    <w:rsid w:val="00160B49"/>
    <w:rsid w:val="001937C2"/>
    <w:rsid w:val="001A59F2"/>
    <w:rsid w:val="002A3E79"/>
    <w:rsid w:val="00316DFC"/>
    <w:rsid w:val="004F6CBE"/>
    <w:rsid w:val="005A6344"/>
    <w:rsid w:val="005C1B27"/>
    <w:rsid w:val="005F351C"/>
    <w:rsid w:val="00685B8A"/>
    <w:rsid w:val="006A4146"/>
    <w:rsid w:val="0075338D"/>
    <w:rsid w:val="007656A4"/>
    <w:rsid w:val="007A237C"/>
    <w:rsid w:val="00882D46"/>
    <w:rsid w:val="00997962"/>
    <w:rsid w:val="009B1DE9"/>
    <w:rsid w:val="00BE2FBB"/>
    <w:rsid w:val="00BF2B77"/>
    <w:rsid w:val="00D3197A"/>
    <w:rsid w:val="00E251EA"/>
    <w:rsid w:val="00F17167"/>
    <w:rsid w:val="00F77314"/>
    <w:rsid w:val="00FE67D3"/>
    <w:rsid w:val="068CDBB3"/>
    <w:rsid w:val="0B77539F"/>
    <w:rsid w:val="5C8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D521"/>
  <w15:chartTrackingRefBased/>
  <w15:docId w15:val="{4CE8175C-52F1-4E85-9C6B-23947D4E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6D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6DFC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316D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0E68F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6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7/" TargetMode="External"/><Relationship Id="rId13" Type="http://schemas.openxmlformats.org/officeDocument/2006/relationships/hyperlink" Target="https://ideadata.org/sites/default/files/media/documents/2022-06/IDC%20Laminated%20Cards%20%282%29.pdf" TargetMode="External"/><Relationship Id="rId18" Type="http://schemas.openxmlformats.org/officeDocument/2006/relationships/hyperlink" Target="https://challengingbehavior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ped/spp/indicators/indicator17/indicator17-slides-portuguese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7/indicator17-vietnamese.docx" TargetMode="External"/><Relationship Id="rId17" Type="http://schemas.openxmlformats.org/officeDocument/2006/relationships/hyperlink" Target="https://www.doe.mass.edu/sped/spp/ssip-evaluation-pla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spp/ssip-action-theory.docx" TargetMode="External"/><Relationship Id="rId20" Type="http://schemas.openxmlformats.org/officeDocument/2006/relationships/hyperlink" Target="https://ectacenter.org/topics/ssi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7/indicator17-spanish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ccrscenter.org/products-resources/predictors-postsecondary-succe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e.mass.edu/sped/spp/indicators/indicator17/indicator17-haitiancreole.docx" TargetMode="External"/><Relationship Id="rId19" Type="http://schemas.openxmlformats.org/officeDocument/2006/relationships/hyperlink" Target="https://www.pyramidmodel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7/indicator17-chinese.docx" TargetMode="External"/><Relationship Id="rId14" Type="http://schemas.openxmlformats.org/officeDocument/2006/relationships/hyperlink" Target="https://www.naeyc.org/resources/pubs/yc/mar2018/promoting-social-and-emotional-heal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8F4D6-E9C5-468D-B21E-9AFC95281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2BDD-7DD2-474C-8689-3EA77213BA02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F1695A33-5097-477C-844A-D05DA0F9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617</Words>
  <Characters>3413</Characters>
  <Application>Microsoft Office Word</Application>
  <DocSecurity>0</DocSecurity>
  <Lines>189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17: State Systemic Improvement Plan — Portuguese</dc:title>
  <dc:subject/>
  <dc:creator>DESE</dc:creator>
  <cp:keywords/>
  <dc:description/>
  <cp:lastModifiedBy>Zou, Dong (EOE)</cp:lastModifiedBy>
  <cp:revision>16</cp:revision>
  <dcterms:created xsi:type="dcterms:W3CDTF">2022-11-01T13:10:00Z</dcterms:created>
  <dcterms:modified xsi:type="dcterms:W3CDTF">2023-02-09T20:27:00Z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2023 12:00AM</vt:lpwstr>
  </property>
</Properties>
</file>