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9F792" w14:textId="092D78F9" w:rsidR="008B4528" w:rsidRPr="006670A1" w:rsidRDefault="00E819E9" w:rsidP="008B4528">
      <w:pPr>
        <w:shd w:val="clear" w:color="auto" w:fill="FFFFFF"/>
        <w:spacing w:before="100" w:beforeAutospacing="1" w:after="100" w:afterAutospacing="1" w:line="240" w:lineRule="auto"/>
        <w:outlineLvl w:val="1"/>
        <w:rPr>
          <w:rFonts w:eastAsia="Times New Roman"/>
          <w:b/>
          <w:bCs/>
          <w:shd w:val="clear" w:color="auto" w:fill="FFFFFF"/>
        </w:rPr>
      </w:pPr>
      <w:hyperlink r:id="rId8" w:history="1">
        <w:r w:rsidR="008B4528" w:rsidRPr="00715A9B">
          <w:rPr>
            <w:rStyle w:val="Hyperlink"/>
            <w:rFonts w:ascii="SimSun" w:eastAsia="SimSun" w:hAnsi="SimSun" w:cs="SimSun"/>
            <w:b/>
            <w:bCs/>
            <w:shd w:val="clear" w:color="auto" w:fill="FFFFFF"/>
          </w:rPr>
          <w:t>English</w:t>
        </w:r>
      </w:hyperlink>
      <w:r w:rsidR="008B4528" w:rsidRPr="006670A1">
        <w:rPr>
          <w:rFonts w:ascii="SimSun" w:eastAsia="SimSun" w:hAnsi="SimSun" w:cs="SimSun"/>
          <w:b/>
          <w:bCs/>
          <w:shd w:val="clear" w:color="auto" w:fill="FFFFFF"/>
        </w:rPr>
        <w:t> | </w:t>
      </w:r>
      <w:hyperlink r:id="rId9" w:history="1">
        <w:r w:rsidR="008B4528" w:rsidRPr="00E929F7">
          <w:rPr>
            <w:rStyle w:val="Hyperlink"/>
            <w:rFonts w:ascii="SimSun" w:eastAsia="SimSun" w:hAnsi="SimSun" w:cs="SimSun" w:hint="eastAsia"/>
            <w:b/>
            <w:bCs/>
          </w:rPr>
          <w:t>繁體中文</w:t>
        </w:r>
      </w:hyperlink>
      <w:r w:rsidR="008B4528" w:rsidRPr="006670A1">
        <w:rPr>
          <w:rFonts w:ascii="SimSun" w:eastAsia="SimSun" w:hAnsi="SimSun" w:cs="SimSun"/>
          <w:b/>
          <w:bCs/>
          <w:shd w:val="clear" w:color="auto" w:fill="FFFFFF"/>
        </w:rPr>
        <w:t> | </w:t>
      </w:r>
      <w:hyperlink r:id="rId10" w:history="1">
        <w:r w:rsidR="008B4528" w:rsidRPr="00715A9B">
          <w:rPr>
            <w:rStyle w:val="Hyperlink"/>
            <w:rFonts w:ascii="SimSun" w:eastAsia="SimSun" w:hAnsi="SimSun" w:cs="SimSun"/>
            <w:b/>
            <w:bCs/>
            <w:shd w:val="clear" w:color="auto" w:fill="FFFFFF"/>
          </w:rPr>
          <w:t>Kreyòl Ayisyen</w:t>
        </w:r>
      </w:hyperlink>
      <w:r w:rsidR="008B4528" w:rsidRPr="006670A1">
        <w:rPr>
          <w:rFonts w:ascii="SimSun" w:eastAsia="SimSun" w:hAnsi="SimSun" w:cs="SimSun"/>
          <w:b/>
          <w:bCs/>
          <w:shd w:val="clear" w:color="auto" w:fill="FFFFFF"/>
        </w:rPr>
        <w:t> | </w:t>
      </w:r>
      <w:hyperlink r:id="rId11" w:history="1">
        <w:r w:rsidR="008B4528" w:rsidRPr="00715A9B">
          <w:rPr>
            <w:rStyle w:val="Hyperlink"/>
            <w:rFonts w:ascii="SimSun" w:eastAsia="SimSun" w:hAnsi="SimSun" w:cs="SimSun"/>
            <w:b/>
            <w:bCs/>
            <w:shd w:val="clear" w:color="auto" w:fill="FFFFFF"/>
          </w:rPr>
          <w:t>português</w:t>
        </w:r>
      </w:hyperlink>
      <w:r w:rsidR="008B4528" w:rsidRPr="006670A1">
        <w:rPr>
          <w:rFonts w:ascii="SimSun" w:eastAsia="SimSun" w:hAnsi="SimSun" w:cs="SimSun"/>
          <w:b/>
          <w:bCs/>
          <w:shd w:val="clear" w:color="auto" w:fill="FFFFFF"/>
        </w:rPr>
        <w:t>​ | </w:t>
      </w:r>
      <w:r w:rsidR="008B4528" w:rsidRPr="00E929F7">
        <w:rPr>
          <w:rFonts w:ascii="SimSun" w:eastAsia="SimSun" w:hAnsi="SimSun" w:cs="SimSun"/>
          <w:b/>
          <w:bCs/>
          <w:shd w:val="clear" w:color="auto" w:fill="FFFFFF"/>
        </w:rPr>
        <w:t>español</w:t>
      </w:r>
      <w:r w:rsidR="008B4528" w:rsidRPr="006670A1">
        <w:rPr>
          <w:rFonts w:ascii="SimSun" w:eastAsia="SimSun" w:hAnsi="SimSun" w:cs="SimSun"/>
          <w:b/>
          <w:bCs/>
          <w:shd w:val="clear" w:color="auto" w:fill="FFFFFF"/>
        </w:rPr>
        <w:t> | </w:t>
      </w:r>
      <w:hyperlink r:id="rId12" w:history="1">
        <w:r w:rsidR="008B4528" w:rsidRPr="00715A9B">
          <w:rPr>
            <w:rStyle w:val="Hyperlink"/>
            <w:rFonts w:ascii="SimSun" w:eastAsia="SimSun" w:hAnsi="SimSun" w:cs="SimSun"/>
            <w:b/>
            <w:bCs/>
            <w:shd w:val="clear" w:color="auto" w:fill="FFFFFF"/>
          </w:rPr>
          <w:t>Vi</w:t>
        </w:r>
        <w:r w:rsidR="008B4528" w:rsidRPr="00715A9B">
          <w:rPr>
            <w:rStyle w:val="Hyperlink"/>
            <w:rFonts w:ascii="Cambria" w:eastAsia="SimSun" w:hAnsi="Cambria" w:cs="Cambria"/>
            <w:b/>
            <w:bCs/>
            <w:shd w:val="clear" w:color="auto" w:fill="FFFFFF"/>
          </w:rPr>
          <w:t>ệ</w:t>
        </w:r>
        <w:r w:rsidR="008B4528" w:rsidRPr="00715A9B">
          <w:rPr>
            <w:rStyle w:val="Hyperlink"/>
            <w:rFonts w:ascii="SimSun" w:eastAsia="SimSun" w:hAnsi="SimSun" w:cs="SimSun"/>
            <w:b/>
            <w:bCs/>
            <w:shd w:val="clear" w:color="auto" w:fill="FFFFFF"/>
          </w:rPr>
          <w:t>t</w:t>
        </w:r>
      </w:hyperlink>
    </w:p>
    <w:p w14:paraId="4871E179" w14:textId="152728D6" w:rsidR="000A196B" w:rsidRPr="004F6CBE" w:rsidRDefault="00F17167" w:rsidP="000F6373">
      <w:pPr>
        <w:rPr>
          <w:b/>
          <w:bCs/>
          <w:sz w:val="24"/>
          <w:szCs w:val="24"/>
        </w:rPr>
      </w:pPr>
      <w:r>
        <w:rPr>
          <w:b/>
          <w:sz w:val="24"/>
        </w:rPr>
        <w:t>Indicador 17: Plan Estatal de Mejoramiento Sistémico</w:t>
      </w:r>
    </w:p>
    <w:p w14:paraId="5A28BFE2" w14:textId="16D83C44" w:rsidR="004F6CBE" w:rsidRPr="004F6CBE" w:rsidRDefault="004F6CBE" w:rsidP="001A59F2">
      <w:pPr>
        <w:rPr>
          <w:b/>
          <w:bCs/>
        </w:rPr>
      </w:pPr>
      <w:r>
        <w:rPr>
          <w:b/>
        </w:rPr>
        <w:t xml:space="preserve">¿Qué es el Indicador 17? </w:t>
      </w:r>
    </w:p>
    <w:p w14:paraId="1C8EC8FE" w14:textId="5A6B94EE" w:rsidR="001A59F2" w:rsidRDefault="005C1B27" w:rsidP="001A59F2">
      <w:r>
        <w:t xml:space="preserve">El </w:t>
      </w:r>
      <w:hyperlink r:id="rId13" w:history="1">
        <w:r>
          <w:rPr>
            <w:rStyle w:val="Hyperlink"/>
          </w:rPr>
          <w:t>Indicador 17</w:t>
        </w:r>
      </w:hyperlink>
      <w:r>
        <w:t xml:space="preserve"> es el Plan Estatal de Mejoramiento Sistémico (o SSIP). El SSIP es un plan de varios años enfocado en mejorar los resultados de los niños con discapacidades. Como parte del SSIP, los estados deben identificar un resultado medible identificado por el estado (o SiMR) y una práctica basada en evidencia para mejorar los resultados medidos por el SiMR. Massachusetts eligió el Subindicador 7A (porcentaje de niños en edad preescolar, de 3 a 5 años, con IEP que han mejorado las habilidades socioemocionales positivas) como el SiMR y el Modelo piramidal, como la práctica basada en la evidencia. </w:t>
      </w:r>
    </w:p>
    <w:p w14:paraId="1B8EF0A8" w14:textId="0AEF2C54" w:rsidR="00316DFC" w:rsidRDefault="00316DFC" w:rsidP="00316DFC">
      <w:pPr>
        <w:rPr>
          <w:b/>
          <w:bCs/>
        </w:rPr>
      </w:pPr>
      <w:r>
        <w:rPr>
          <w:b/>
        </w:rPr>
        <w:t>¿Por qué Massachusetts eligió el Subindicador 7A como el SiMR?</w:t>
      </w:r>
    </w:p>
    <w:p w14:paraId="7DFFA99E" w14:textId="7E030EB8" w:rsidR="00316DFC" w:rsidRPr="004E5900" w:rsidRDefault="00316DFC" w:rsidP="00316DFC">
      <w:pPr>
        <w:numPr>
          <w:ilvl w:val="0"/>
          <w:numId w:val="1"/>
        </w:numPr>
        <w:spacing w:after="0" w:line="240" w:lineRule="auto"/>
        <w:ind w:left="720"/>
        <w:contextualSpacing/>
        <w:rPr>
          <w:rFonts w:eastAsia="Times New Roman" w:cstheme="minorHAnsi"/>
        </w:rPr>
      </w:pPr>
      <w:r>
        <w:t>La salud socioemocional impacta en el desarrollo y el aprendizaje (</w:t>
      </w:r>
      <w:hyperlink r:id="rId14" w:history="1">
        <w:r>
          <w:rPr>
            <w:color w:val="0070C0"/>
            <w:u w:val="single"/>
          </w:rPr>
          <w:t>NAEYC, 2018</w:t>
        </w:r>
      </w:hyperlink>
      <w:r>
        <w:t>)</w:t>
      </w:r>
    </w:p>
    <w:p w14:paraId="541B02B7" w14:textId="77777777" w:rsidR="00316DFC" w:rsidRPr="004E5900" w:rsidRDefault="00316DFC" w:rsidP="00316DFC">
      <w:pPr>
        <w:numPr>
          <w:ilvl w:val="1"/>
          <w:numId w:val="1"/>
        </w:numPr>
        <w:spacing w:after="0" w:line="240" w:lineRule="auto"/>
        <w:ind w:left="1440"/>
        <w:contextualSpacing/>
        <w:rPr>
          <w:rFonts w:eastAsia="Times New Roman" w:cstheme="minorHAnsi"/>
        </w:rPr>
      </w:pPr>
      <w:r>
        <w:t xml:space="preserve">Motivación y actitud hacia la escuela. </w:t>
      </w:r>
    </w:p>
    <w:p w14:paraId="2B440B1C" w14:textId="6C3D46F3" w:rsidR="00316DFC" w:rsidRPr="004E5900" w:rsidRDefault="00316DFC" w:rsidP="00316DFC">
      <w:pPr>
        <w:numPr>
          <w:ilvl w:val="1"/>
          <w:numId w:val="1"/>
        </w:numPr>
        <w:spacing w:after="0" w:line="240" w:lineRule="auto"/>
        <w:ind w:left="1440"/>
        <w:contextualSpacing/>
        <w:rPr>
          <w:rFonts w:eastAsia="Times New Roman" w:cstheme="minorHAnsi"/>
        </w:rPr>
      </w:pPr>
      <w:r>
        <w:t>Enfoque y participación en las actividades de clase.</w:t>
      </w:r>
    </w:p>
    <w:p w14:paraId="6C6B08D6" w14:textId="77777777" w:rsidR="00316DFC" w:rsidRPr="004E5900" w:rsidRDefault="00316DFC" w:rsidP="00316DFC">
      <w:pPr>
        <w:numPr>
          <w:ilvl w:val="1"/>
          <w:numId w:val="1"/>
        </w:numPr>
        <w:spacing w:after="0" w:line="240" w:lineRule="auto"/>
        <w:ind w:left="1440"/>
        <w:contextualSpacing/>
        <w:rPr>
          <w:rFonts w:eastAsia="Times New Roman" w:cstheme="minorHAnsi"/>
        </w:rPr>
      </w:pPr>
      <w:r>
        <w:t>Desempeño académico.</w:t>
      </w:r>
    </w:p>
    <w:p w14:paraId="1484380F" w14:textId="666B4D2E" w:rsidR="00316DFC" w:rsidRDefault="00316DFC" w:rsidP="00316DFC">
      <w:pPr>
        <w:numPr>
          <w:ilvl w:val="1"/>
          <w:numId w:val="1"/>
        </w:numPr>
        <w:spacing w:after="0" w:line="240" w:lineRule="auto"/>
        <w:ind w:left="1440"/>
        <w:contextualSpacing/>
        <w:rPr>
          <w:rFonts w:eastAsia="Times New Roman" w:cstheme="minorHAnsi"/>
        </w:rPr>
      </w:pPr>
      <w:r>
        <w:t>Regulación emocional.</w:t>
      </w:r>
    </w:p>
    <w:p w14:paraId="3D7CD333" w14:textId="3D31BE12" w:rsidR="00316DFC" w:rsidRPr="00316DFC" w:rsidRDefault="00316DFC" w:rsidP="00316DFC">
      <w:pPr>
        <w:numPr>
          <w:ilvl w:val="0"/>
          <w:numId w:val="1"/>
        </w:numPr>
        <w:tabs>
          <w:tab w:val="clear" w:pos="-720"/>
        </w:tabs>
        <w:spacing w:after="0" w:line="240" w:lineRule="auto"/>
        <w:ind w:left="720"/>
        <w:contextualSpacing/>
        <w:rPr>
          <w:rFonts w:eastAsia="Times New Roman" w:cstheme="minorHAnsi"/>
        </w:rPr>
      </w:pPr>
      <w:r>
        <w:t>El desarrollo socioemocional contribuye a la preparación escolar (</w:t>
      </w:r>
      <w:hyperlink r:id="rId15" w:anchor=":~:text=This%20brief%20summarizes%20early%20childhood%20through%20early%20postsecondary,early%20as%20prekindergarten%20and%20throughout%20their%20academic%20career." w:history="1">
        <w:r>
          <w:rPr>
            <w:rStyle w:val="Hyperlink"/>
          </w:rPr>
          <w:t>The College &amp; Career Readiness &amp; Success Center, 2013</w:t>
        </w:r>
      </w:hyperlink>
      <w:r>
        <w:t>)</w:t>
      </w:r>
    </w:p>
    <w:p w14:paraId="38559D9E" w14:textId="478C9183" w:rsidR="00316DFC" w:rsidRDefault="00316DFC" w:rsidP="00316DFC">
      <w:pPr>
        <w:spacing w:after="0" w:line="240" w:lineRule="auto"/>
        <w:contextualSpacing/>
        <w:rPr>
          <w:rFonts w:eastAsiaTheme="minorEastAsia" w:cstheme="minorHAnsi"/>
          <w:kern w:val="24"/>
          <w:position w:val="1"/>
        </w:rPr>
      </w:pPr>
    </w:p>
    <w:p w14:paraId="76B723A1" w14:textId="6CFF89FA" w:rsidR="00316DFC" w:rsidRDefault="000E68FD" w:rsidP="00316DFC">
      <w:pPr>
        <w:spacing w:line="240" w:lineRule="auto"/>
        <w:rPr>
          <w:rFonts w:eastAsiaTheme="minorEastAsia" w:cstheme="minorHAnsi"/>
          <w:b/>
          <w:bCs/>
          <w:kern w:val="24"/>
          <w:position w:val="1"/>
        </w:rPr>
      </w:pPr>
      <w:r>
        <w:rPr>
          <w:b/>
        </w:rPr>
        <w:t>Datos y objetivos del Indicador 17 y de SiMR</w:t>
      </w:r>
    </w:p>
    <w:p w14:paraId="51610C12" w14:textId="05D7C5FA" w:rsidR="00316DFC" w:rsidRPr="00316DFC" w:rsidRDefault="000E68FD" w:rsidP="000E68FD">
      <w:pPr>
        <w:spacing w:after="0" w:line="240" w:lineRule="auto"/>
        <w:rPr>
          <w:rFonts w:eastAsiaTheme="minorEastAsia" w:cstheme="minorHAnsi"/>
          <w:kern w:val="24"/>
          <w:position w:val="1"/>
        </w:rPr>
      </w:pPr>
      <w:r>
        <w:t>Los datos de SiMR (Subindicador 7A) se informan de acuerdo con dos declaraciones sintetizadas:</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937"/>
      </w:tblGrid>
      <w:tr w:rsidR="00316DFC" w14:paraId="3EB5C675" w14:textId="77777777" w:rsidTr="00261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B4C6E7" w:themeFill="accent1" w:themeFillTint="66"/>
          </w:tcPr>
          <w:p w14:paraId="61006904" w14:textId="17442BEC" w:rsidR="00316DFC" w:rsidRPr="000D5F42" w:rsidRDefault="00316DFC" w:rsidP="00272C61">
            <w:pPr>
              <w:rPr>
                <w:b w:val="0"/>
                <w:bCs w:val="0"/>
              </w:rPr>
            </w:pPr>
            <w:r>
              <w:rPr>
                <w:rFonts w:hAnsi="Calibri"/>
                <w:color w:val="000000" w:themeColor="text1"/>
              </w:rPr>
              <w:t>Declaración sintetizada 1</w:t>
            </w:r>
          </w:p>
        </w:tc>
        <w:tc>
          <w:tcPr>
            <w:tcW w:w="7937" w:type="dxa"/>
          </w:tcPr>
          <w:p w14:paraId="67C9AB19" w14:textId="58ACB61B" w:rsidR="00316DFC" w:rsidRPr="000D5F42" w:rsidRDefault="00316DFC" w:rsidP="00272C61">
            <w:pPr>
              <w:cnfStyle w:val="100000000000" w:firstRow="1" w:lastRow="0" w:firstColumn="0" w:lastColumn="0" w:oddVBand="0" w:evenVBand="0" w:oddHBand="0" w:evenHBand="0" w:firstRowFirstColumn="0" w:firstRowLastColumn="0" w:lastRowFirstColumn="0" w:lastRowLastColumn="0"/>
            </w:pPr>
            <w:r>
              <w:rPr>
                <w:rFonts w:hAnsi="Calibri"/>
                <w:b w:val="0"/>
                <w:color w:val="000000" w:themeColor="text1"/>
              </w:rPr>
              <w:t>Porcentaje de los niños que ingresaron al programa preescolar por debajo de las expectativas de edad, y lograron avances para cuando cumplieron 6 años o salieron del programa.</w:t>
            </w:r>
          </w:p>
        </w:tc>
      </w:tr>
      <w:tr w:rsidR="00316DFC" w14:paraId="2EC2FA8C" w14:textId="77777777" w:rsidTr="00261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B4C6E7" w:themeFill="accent1" w:themeFillTint="66"/>
          </w:tcPr>
          <w:p w14:paraId="5E8B5151" w14:textId="74D30C7C" w:rsidR="00316DFC" w:rsidRPr="000D5F42" w:rsidRDefault="00316DFC" w:rsidP="00272C61">
            <w:pPr>
              <w:rPr>
                <w:b w:val="0"/>
                <w:bCs w:val="0"/>
              </w:rPr>
            </w:pPr>
            <w:r>
              <w:rPr>
                <w:color w:val="000000" w:themeColor="dark1"/>
              </w:rPr>
              <w:t>Declaración sintetizada 2</w:t>
            </w:r>
          </w:p>
        </w:tc>
        <w:tc>
          <w:tcPr>
            <w:tcW w:w="7937" w:type="dxa"/>
          </w:tcPr>
          <w:p w14:paraId="21BB6FF6" w14:textId="4CF558C3" w:rsidR="00316DFC" w:rsidRPr="00211BB4" w:rsidRDefault="00316DFC" w:rsidP="00272C61">
            <w:pPr>
              <w:cnfStyle w:val="000000100000" w:firstRow="0" w:lastRow="0" w:firstColumn="0" w:lastColumn="0" w:oddVBand="0" w:evenVBand="0" w:oddHBand="1" w:evenHBand="0" w:firstRowFirstColumn="0" w:firstRowLastColumn="0" w:lastRowFirstColumn="0" w:lastRowLastColumn="0"/>
            </w:pPr>
            <w:r>
              <w:rPr>
                <w:color w:val="000000" w:themeColor="dark1"/>
              </w:rPr>
              <w:t>Porcentaje de niños en edad preescolar que estaban dentro de las expectativas a la edad de 6 años o de salida.</w:t>
            </w:r>
          </w:p>
        </w:tc>
      </w:tr>
    </w:tbl>
    <w:p w14:paraId="60B8C772" w14:textId="225D1AFB" w:rsidR="00316DFC" w:rsidRDefault="00316DFC" w:rsidP="00316DFC">
      <w:pPr>
        <w:spacing w:after="0" w:line="240" w:lineRule="auto"/>
        <w:contextualSpacing/>
        <w:rPr>
          <w:rFonts w:eastAsiaTheme="minorEastAsia" w:cstheme="minorHAnsi"/>
          <w:b/>
          <w:bCs/>
          <w:kern w:val="24"/>
          <w:position w:val="1"/>
        </w:rPr>
      </w:pPr>
    </w:p>
    <w:p w14:paraId="68E0DD08" w14:textId="334A6439" w:rsidR="000E68FD" w:rsidRPr="000E68FD" w:rsidRDefault="000E68FD" w:rsidP="000E68FD">
      <w:pPr>
        <w:spacing w:after="0" w:line="240" w:lineRule="auto"/>
        <w:rPr>
          <w:rFonts w:eastAsiaTheme="minorEastAsia" w:cstheme="minorHAnsi"/>
          <w:kern w:val="24"/>
          <w:position w:val="1"/>
        </w:rPr>
      </w:pPr>
      <w:r>
        <w:t>Datos de Indicador 17 y SiMR</w:t>
      </w:r>
    </w:p>
    <w:tbl>
      <w:tblPr>
        <w:tblStyle w:val="TableGrid"/>
        <w:tblW w:w="9352" w:type="dxa"/>
        <w:tblLook w:val="04A0" w:firstRow="1" w:lastRow="0" w:firstColumn="1" w:lastColumn="0" w:noHBand="0" w:noVBand="1"/>
      </w:tblPr>
      <w:tblGrid>
        <w:gridCol w:w="1290"/>
        <w:gridCol w:w="947"/>
        <w:gridCol w:w="1003"/>
        <w:gridCol w:w="1032"/>
        <w:gridCol w:w="1010"/>
        <w:gridCol w:w="1032"/>
        <w:gridCol w:w="1003"/>
        <w:gridCol w:w="1032"/>
        <w:gridCol w:w="1003"/>
      </w:tblGrid>
      <w:tr w:rsidR="000E68FD" w14:paraId="0FC8D483" w14:textId="77777777" w:rsidTr="0B77539F">
        <w:trPr>
          <w:trHeight w:val="796"/>
        </w:trPr>
        <w:tc>
          <w:tcPr>
            <w:tcW w:w="1261" w:type="dxa"/>
            <w:shd w:val="clear" w:color="auto" w:fill="B4C6E7" w:themeFill="accent1" w:themeFillTint="66"/>
          </w:tcPr>
          <w:p w14:paraId="41BFF479" w14:textId="186B31FB" w:rsidR="000E68FD" w:rsidRPr="000E68FD" w:rsidRDefault="000E68FD" w:rsidP="00272C61">
            <w:pPr>
              <w:rPr>
                <w:b/>
                <w:bCs/>
              </w:rPr>
            </w:pPr>
            <w:r>
              <w:rPr>
                <w:b/>
              </w:rPr>
              <w:t>SiMR (7A)</w:t>
            </w:r>
          </w:p>
        </w:tc>
        <w:tc>
          <w:tcPr>
            <w:tcW w:w="1011" w:type="dxa"/>
            <w:shd w:val="clear" w:color="auto" w:fill="B4C6E7" w:themeFill="accent1" w:themeFillTint="66"/>
          </w:tcPr>
          <w:p w14:paraId="7C128AF6" w14:textId="7B5B14A4" w:rsidR="000E68FD" w:rsidRPr="00B0460A" w:rsidRDefault="000E68FD" w:rsidP="00272C61">
            <w:pPr>
              <w:rPr>
                <w:b/>
                <w:bCs/>
              </w:rPr>
            </w:pPr>
            <w:r>
              <w:rPr>
                <w:b/>
              </w:rPr>
              <w:t>Datos de año fiscal federal 17 (N=651)</w:t>
            </w:r>
          </w:p>
        </w:tc>
        <w:tc>
          <w:tcPr>
            <w:tcW w:w="862" w:type="dxa"/>
            <w:shd w:val="clear" w:color="auto" w:fill="B4C6E7" w:themeFill="accent1" w:themeFillTint="66"/>
          </w:tcPr>
          <w:p w14:paraId="6E6A0ABB" w14:textId="7033D5AE" w:rsidR="000E68FD" w:rsidRPr="00B0460A" w:rsidRDefault="000E68FD" w:rsidP="00272C61">
            <w:pPr>
              <w:rPr>
                <w:b/>
                <w:bCs/>
              </w:rPr>
            </w:pPr>
            <w:r>
              <w:rPr>
                <w:b/>
              </w:rPr>
              <w:t>Objetivo de año fiscal federal 17</w:t>
            </w:r>
          </w:p>
        </w:tc>
        <w:tc>
          <w:tcPr>
            <w:tcW w:w="1101" w:type="dxa"/>
            <w:shd w:val="clear" w:color="auto" w:fill="B4C6E7" w:themeFill="accent1" w:themeFillTint="66"/>
          </w:tcPr>
          <w:p w14:paraId="752AA270" w14:textId="0F996907" w:rsidR="000E68FD" w:rsidRPr="00B0460A" w:rsidRDefault="000E68FD" w:rsidP="00272C61">
            <w:pPr>
              <w:rPr>
                <w:b/>
                <w:bCs/>
              </w:rPr>
            </w:pPr>
            <w:r>
              <w:rPr>
                <w:b/>
              </w:rPr>
              <w:t>Datos de año fiscal 18 (n=1045)</w:t>
            </w:r>
          </w:p>
        </w:tc>
        <w:tc>
          <w:tcPr>
            <w:tcW w:w="1114" w:type="dxa"/>
            <w:shd w:val="clear" w:color="auto" w:fill="B4C6E7" w:themeFill="accent1" w:themeFillTint="66"/>
          </w:tcPr>
          <w:p w14:paraId="7FA6A249" w14:textId="0B5EEBEA" w:rsidR="000E68FD" w:rsidRPr="00B0460A" w:rsidRDefault="000E68FD" w:rsidP="00272C61">
            <w:pPr>
              <w:rPr>
                <w:b/>
                <w:bCs/>
              </w:rPr>
            </w:pPr>
            <w:r>
              <w:rPr>
                <w:b/>
              </w:rPr>
              <w:t>Objetivo de año fiscal federal 18</w:t>
            </w:r>
          </w:p>
        </w:tc>
        <w:tc>
          <w:tcPr>
            <w:tcW w:w="1101" w:type="dxa"/>
            <w:shd w:val="clear" w:color="auto" w:fill="B4C6E7" w:themeFill="accent1" w:themeFillTint="66"/>
          </w:tcPr>
          <w:p w14:paraId="36ACD79C" w14:textId="538D3697" w:rsidR="000E68FD" w:rsidRPr="00B0460A" w:rsidRDefault="000E68FD" w:rsidP="00272C61">
            <w:pPr>
              <w:rPr>
                <w:b/>
                <w:bCs/>
              </w:rPr>
            </w:pPr>
            <w:r>
              <w:rPr>
                <w:b/>
              </w:rPr>
              <w:t>Datos de año fiscal federal 19 (n=1150)</w:t>
            </w:r>
          </w:p>
        </w:tc>
        <w:tc>
          <w:tcPr>
            <w:tcW w:w="946" w:type="dxa"/>
            <w:shd w:val="clear" w:color="auto" w:fill="B4C6E7" w:themeFill="accent1" w:themeFillTint="66"/>
          </w:tcPr>
          <w:p w14:paraId="1FD856B6" w14:textId="6B741CBD" w:rsidR="000E68FD" w:rsidRPr="00B0460A" w:rsidRDefault="000E68FD" w:rsidP="00272C61">
            <w:pPr>
              <w:rPr>
                <w:b/>
                <w:bCs/>
              </w:rPr>
            </w:pPr>
            <w:r>
              <w:rPr>
                <w:b/>
              </w:rPr>
              <w:t>Objetivo de año fiscal federal 19</w:t>
            </w:r>
          </w:p>
        </w:tc>
        <w:tc>
          <w:tcPr>
            <w:tcW w:w="1101" w:type="dxa"/>
            <w:shd w:val="clear" w:color="auto" w:fill="B4C6E7" w:themeFill="accent1" w:themeFillTint="66"/>
          </w:tcPr>
          <w:p w14:paraId="49835231" w14:textId="607F6F5A" w:rsidR="000E68FD" w:rsidRDefault="000E68FD" w:rsidP="00272C61">
            <w:pPr>
              <w:rPr>
                <w:b/>
                <w:bCs/>
              </w:rPr>
            </w:pPr>
            <w:r>
              <w:rPr>
                <w:b/>
              </w:rPr>
              <w:t xml:space="preserve">Año fiscal federal 20 </w:t>
            </w:r>
          </w:p>
          <w:p w14:paraId="4DF505FB" w14:textId="77777777" w:rsidR="000E68FD" w:rsidRDefault="000E68FD" w:rsidP="00272C61">
            <w:pPr>
              <w:rPr>
                <w:b/>
                <w:bCs/>
              </w:rPr>
            </w:pPr>
            <w:r>
              <w:rPr>
                <w:b/>
              </w:rPr>
              <w:t>Datos</w:t>
            </w:r>
          </w:p>
          <w:p w14:paraId="4BF34267" w14:textId="77777777" w:rsidR="000E68FD" w:rsidRPr="00B0460A" w:rsidRDefault="000E68FD" w:rsidP="00272C61">
            <w:pPr>
              <w:rPr>
                <w:b/>
                <w:bCs/>
              </w:rPr>
            </w:pPr>
            <w:r>
              <w:rPr>
                <w:b/>
              </w:rPr>
              <w:t>(n=1316)</w:t>
            </w:r>
          </w:p>
        </w:tc>
        <w:tc>
          <w:tcPr>
            <w:tcW w:w="855" w:type="dxa"/>
            <w:shd w:val="clear" w:color="auto" w:fill="B4C6E7" w:themeFill="accent1" w:themeFillTint="66"/>
          </w:tcPr>
          <w:p w14:paraId="4E47498D" w14:textId="13DFB0BB" w:rsidR="000E68FD" w:rsidRDefault="000E68FD" w:rsidP="00272C61">
            <w:pPr>
              <w:rPr>
                <w:b/>
                <w:bCs/>
              </w:rPr>
            </w:pPr>
            <w:r>
              <w:rPr>
                <w:b/>
              </w:rPr>
              <w:t>Año fiscal federal 20</w:t>
            </w:r>
          </w:p>
          <w:p w14:paraId="1FDD81CA" w14:textId="77777777" w:rsidR="000E68FD" w:rsidRPr="00B0460A" w:rsidRDefault="000E68FD" w:rsidP="00272C61">
            <w:pPr>
              <w:rPr>
                <w:b/>
                <w:bCs/>
              </w:rPr>
            </w:pPr>
            <w:r>
              <w:rPr>
                <w:b/>
              </w:rPr>
              <w:t>Objetivo</w:t>
            </w:r>
          </w:p>
        </w:tc>
      </w:tr>
      <w:tr w:rsidR="000E68FD" w14:paraId="7606AAF6" w14:textId="77777777" w:rsidTr="0B77539F">
        <w:trPr>
          <w:trHeight w:val="807"/>
        </w:trPr>
        <w:tc>
          <w:tcPr>
            <w:tcW w:w="1261" w:type="dxa"/>
          </w:tcPr>
          <w:p w14:paraId="268D6CEC" w14:textId="078BB208" w:rsidR="000E68FD" w:rsidRPr="00B0460A" w:rsidRDefault="000E68FD" w:rsidP="00272C61">
            <w:pPr>
              <w:rPr>
                <w:b/>
                <w:bCs/>
              </w:rPr>
            </w:pPr>
            <w:r>
              <w:rPr>
                <w:b/>
              </w:rPr>
              <w:t>Declaración sintetizada 1</w:t>
            </w:r>
          </w:p>
        </w:tc>
        <w:tc>
          <w:tcPr>
            <w:tcW w:w="1011" w:type="dxa"/>
          </w:tcPr>
          <w:p w14:paraId="1A987094" w14:textId="77777777" w:rsidR="000E68FD" w:rsidRDefault="000E68FD" w:rsidP="00272C61">
            <w:r>
              <w:t>85.61 %</w:t>
            </w:r>
          </w:p>
        </w:tc>
        <w:tc>
          <w:tcPr>
            <w:tcW w:w="862" w:type="dxa"/>
          </w:tcPr>
          <w:p w14:paraId="6523A53F" w14:textId="77777777" w:rsidR="000E68FD" w:rsidRDefault="000E68FD" w:rsidP="00272C61">
            <w:r>
              <w:t>--</w:t>
            </w:r>
          </w:p>
        </w:tc>
        <w:tc>
          <w:tcPr>
            <w:tcW w:w="1101" w:type="dxa"/>
          </w:tcPr>
          <w:p w14:paraId="238746AB" w14:textId="77777777" w:rsidR="000E68FD" w:rsidRDefault="000E68FD" w:rsidP="00272C61">
            <w:r>
              <w:t>85.17 %</w:t>
            </w:r>
          </w:p>
        </w:tc>
        <w:tc>
          <w:tcPr>
            <w:tcW w:w="1114" w:type="dxa"/>
          </w:tcPr>
          <w:p w14:paraId="17AECD5D" w14:textId="77777777" w:rsidR="000E68FD" w:rsidRPr="00B0460A" w:rsidRDefault="000E68FD" w:rsidP="00272C61">
            <w:pPr>
              <w:rPr>
                <w:b/>
                <w:bCs/>
              </w:rPr>
            </w:pPr>
            <w:r>
              <w:rPr>
                <w:b/>
              </w:rPr>
              <w:t>86.00 %</w:t>
            </w:r>
          </w:p>
        </w:tc>
        <w:tc>
          <w:tcPr>
            <w:tcW w:w="1101" w:type="dxa"/>
          </w:tcPr>
          <w:p w14:paraId="280927F4" w14:textId="77777777" w:rsidR="000E68FD" w:rsidRDefault="000E68FD" w:rsidP="00272C61">
            <w:r>
              <w:t>82.44 %</w:t>
            </w:r>
          </w:p>
        </w:tc>
        <w:tc>
          <w:tcPr>
            <w:tcW w:w="946" w:type="dxa"/>
          </w:tcPr>
          <w:p w14:paraId="024E73D7" w14:textId="77777777" w:rsidR="000E68FD" w:rsidRPr="00B0460A" w:rsidRDefault="000E68FD" w:rsidP="00272C61">
            <w:pPr>
              <w:rPr>
                <w:b/>
                <w:bCs/>
              </w:rPr>
            </w:pPr>
            <w:r>
              <w:rPr>
                <w:b/>
              </w:rPr>
              <w:t>86.00 %</w:t>
            </w:r>
          </w:p>
        </w:tc>
        <w:tc>
          <w:tcPr>
            <w:tcW w:w="1101" w:type="dxa"/>
          </w:tcPr>
          <w:p w14:paraId="16BEBB6D" w14:textId="77777777" w:rsidR="000E68FD" w:rsidRPr="004243FF" w:rsidRDefault="000E68FD" w:rsidP="00272C61">
            <w:r>
              <w:t>80.09 %</w:t>
            </w:r>
          </w:p>
        </w:tc>
        <w:tc>
          <w:tcPr>
            <w:tcW w:w="855" w:type="dxa"/>
          </w:tcPr>
          <w:p w14:paraId="2E29008B" w14:textId="77777777" w:rsidR="000E68FD" w:rsidRPr="00B0460A" w:rsidRDefault="000E68FD" w:rsidP="00272C61">
            <w:pPr>
              <w:rPr>
                <w:b/>
                <w:bCs/>
              </w:rPr>
            </w:pPr>
            <w:r>
              <w:rPr>
                <w:b/>
              </w:rPr>
              <w:t>86.00 %</w:t>
            </w:r>
          </w:p>
        </w:tc>
      </w:tr>
      <w:tr w:rsidR="000E68FD" w14:paraId="1CB4C1C0" w14:textId="77777777" w:rsidTr="0B77539F">
        <w:trPr>
          <w:trHeight w:val="807"/>
        </w:trPr>
        <w:tc>
          <w:tcPr>
            <w:tcW w:w="1261" w:type="dxa"/>
          </w:tcPr>
          <w:p w14:paraId="78D990BB" w14:textId="153983F2" w:rsidR="000E68FD" w:rsidRPr="00B0460A" w:rsidRDefault="000E68FD" w:rsidP="00272C61">
            <w:pPr>
              <w:rPr>
                <w:b/>
                <w:bCs/>
              </w:rPr>
            </w:pPr>
            <w:r>
              <w:rPr>
                <w:b/>
              </w:rPr>
              <w:t>Declaración sintetizada 2</w:t>
            </w:r>
          </w:p>
        </w:tc>
        <w:tc>
          <w:tcPr>
            <w:tcW w:w="1011" w:type="dxa"/>
          </w:tcPr>
          <w:p w14:paraId="4D924F64" w14:textId="77777777" w:rsidR="000E68FD" w:rsidRDefault="000E68FD" w:rsidP="00272C61">
            <w:r>
              <w:t>47.00 %</w:t>
            </w:r>
          </w:p>
        </w:tc>
        <w:tc>
          <w:tcPr>
            <w:tcW w:w="862" w:type="dxa"/>
          </w:tcPr>
          <w:p w14:paraId="00FC9A1B" w14:textId="77777777" w:rsidR="000E68FD" w:rsidRDefault="000E68FD" w:rsidP="00272C61">
            <w:r>
              <w:t>--</w:t>
            </w:r>
          </w:p>
        </w:tc>
        <w:tc>
          <w:tcPr>
            <w:tcW w:w="1101" w:type="dxa"/>
          </w:tcPr>
          <w:p w14:paraId="75B0AB10" w14:textId="77777777" w:rsidR="000E68FD" w:rsidRDefault="000E68FD" w:rsidP="00272C61">
            <w:r>
              <w:t>46.03 %</w:t>
            </w:r>
          </w:p>
        </w:tc>
        <w:tc>
          <w:tcPr>
            <w:tcW w:w="1114" w:type="dxa"/>
          </w:tcPr>
          <w:p w14:paraId="159F79EE" w14:textId="77777777" w:rsidR="000E68FD" w:rsidRPr="00B0460A" w:rsidRDefault="000E68FD" w:rsidP="00272C61">
            <w:pPr>
              <w:rPr>
                <w:b/>
                <w:bCs/>
              </w:rPr>
            </w:pPr>
            <w:r>
              <w:rPr>
                <w:b/>
              </w:rPr>
              <w:t>50.00 %</w:t>
            </w:r>
          </w:p>
        </w:tc>
        <w:tc>
          <w:tcPr>
            <w:tcW w:w="1101" w:type="dxa"/>
          </w:tcPr>
          <w:p w14:paraId="22155AE2" w14:textId="77777777" w:rsidR="000E68FD" w:rsidRDefault="000E68FD" w:rsidP="00272C61">
            <w:r>
              <w:t>43.74 %</w:t>
            </w:r>
          </w:p>
        </w:tc>
        <w:tc>
          <w:tcPr>
            <w:tcW w:w="946" w:type="dxa"/>
          </w:tcPr>
          <w:p w14:paraId="284C4527" w14:textId="77777777" w:rsidR="000E68FD" w:rsidRPr="00B0460A" w:rsidRDefault="000E68FD" w:rsidP="00272C61">
            <w:pPr>
              <w:rPr>
                <w:b/>
                <w:bCs/>
              </w:rPr>
            </w:pPr>
            <w:r>
              <w:rPr>
                <w:b/>
              </w:rPr>
              <w:t>50.00 %</w:t>
            </w:r>
          </w:p>
        </w:tc>
        <w:tc>
          <w:tcPr>
            <w:tcW w:w="1101" w:type="dxa"/>
          </w:tcPr>
          <w:p w14:paraId="1105B3BA" w14:textId="77777777" w:rsidR="000E68FD" w:rsidRPr="004243FF" w:rsidRDefault="000E68FD" w:rsidP="00272C61">
            <w:r>
              <w:t>44.53 %</w:t>
            </w:r>
          </w:p>
        </w:tc>
        <w:tc>
          <w:tcPr>
            <w:tcW w:w="855" w:type="dxa"/>
          </w:tcPr>
          <w:p w14:paraId="22CC8FC8" w14:textId="77777777" w:rsidR="000E68FD" w:rsidRDefault="000E68FD" w:rsidP="00272C61">
            <w:pPr>
              <w:rPr>
                <w:b/>
                <w:bCs/>
              </w:rPr>
            </w:pPr>
            <w:r>
              <w:rPr>
                <w:b/>
              </w:rPr>
              <w:t>50.00 %</w:t>
            </w:r>
          </w:p>
        </w:tc>
      </w:tr>
    </w:tbl>
    <w:p w14:paraId="3F301961" w14:textId="77777777" w:rsidR="000E68FD" w:rsidRDefault="000E68FD" w:rsidP="00316DFC">
      <w:pPr>
        <w:spacing w:after="0" w:line="240" w:lineRule="auto"/>
        <w:contextualSpacing/>
        <w:rPr>
          <w:rFonts w:eastAsiaTheme="minorEastAsia" w:cstheme="minorHAnsi"/>
          <w:b/>
          <w:bCs/>
          <w:kern w:val="24"/>
          <w:position w:val="1"/>
        </w:rPr>
      </w:pPr>
    </w:p>
    <w:p w14:paraId="447F52EE" w14:textId="77777777" w:rsidR="002618F2" w:rsidRDefault="002618F2" w:rsidP="00316DFC">
      <w:pPr>
        <w:spacing w:after="0" w:line="240" w:lineRule="auto"/>
        <w:contextualSpacing/>
      </w:pPr>
    </w:p>
    <w:p w14:paraId="12C6569B" w14:textId="1CF37FEC" w:rsidR="00316DFC" w:rsidRDefault="00316DFC" w:rsidP="00316DFC">
      <w:pPr>
        <w:spacing w:after="0" w:line="240" w:lineRule="auto"/>
        <w:contextualSpacing/>
        <w:rPr>
          <w:rFonts w:eastAsia="Times New Roman" w:cstheme="minorHAnsi"/>
        </w:rPr>
      </w:pPr>
      <w:r>
        <w:lastRenderedPageBreak/>
        <w:t xml:space="preserve">Objetivos de SiMR para el año fiscal federal 2020 </w:t>
      </w:r>
      <w:r w:rsidR="002618F2">
        <w:t>– año</w:t>
      </w:r>
      <w:r>
        <w:t xml:space="preserve"> fiscal federal 2025:</w:t>
      </w:r>
    </w:p>
    <w:tbl>
      <w:tblPr>
        <w:tblStyle w:val="ListTable3-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94"/>
        <w:gridCol w:w="1338"/>
        <w:gridCol w:w="1231"/>
        <w:gridCol w:w="1262"/>
        <w:gridCol w:w="1283"/>
        <w:gridCol w:w="1305"/>
        <w:gridCol w:w="1337"/>
      </w:tblGrid>
      <w:tr w:rsidR="00316DFC" w:rsidRPr="00316DFC" w14:paraId="1215904E" w14:textId="77777777" w:rsidTr="000E68FD">
        <w:trPr>
          <w:cnfStyle w:val="100000000000" w:firstRow="1" w:lastRow="0" w:firstColumn="0" w:lastColumn="0" w:oddVBand="0" w:evenVBand="0" w:oddHBand="0" w:evenHBand="0" w:firstRowFirstColumn="0" w:firstRowLastColumn="0" w:lastRowFirstColumn="0" w:lastRowLastColumn="0"/>
          <w:trHeight w:val="421"/>
        </w:trPr>
        <w:tc>
          <w:tcPr>
            <w:tcW w:w="852" w:type="pct"/>
            <w:shd w:val="clear" w:color="auto" w:fill="B4C6E7" w:themeFill="accent1" w:themeFillTint="66"/>
            <w:hideMark/>
          </w:tcPr>
          <w:p w14:paraId="1F86A239" w14:textId="77777777" w:rsidR="00316DFC" w:rsidRPr="00316DFC" w:rsidRDefault="00316DFC" w:rsidP="00316DFC">
            <w:pPr>
              <w:contextualSpacing/>
              <w:rPr>
                <w:rFonts w:eastAsia="Times New Roman" w:cstheme="minorHAnsi"/>
                <w:color w:val="auto"/>
              </w:rPr>
            </w:pPr>
            <w:r>
              <w:rPr>
                <w:color w:val="auto"/>
              </w:rPr>
              <w:t>SiMR (7A)</w:t>
            </w:r>
          </w:p>
        </w:tc>
        <w:tc>
          <w:tcPr>
            <w:tcW w:w="715" w:type="pct"/>
            <w:shd w:val="clear" w:color="auto" w:fill="B4C6E7" w:themeFill="accent1" w:themeFillTint="66"/>
            <w:hideMark/>
          </w:tcPr>
          <w:p w14:paraId="0B0A3509" w14:textId="77777777" w:rsidR="00316DFC" w:rsidRPr="00316DFC" w:rsidRDefault="00316DFC" w:rsidP="00316DFC">
            <w:pPr>
              <w:contextualSpacing/>
              <w:rPr>
                <w:rFonts w:eastAsia="Times New Roman" w:cstheme="minorHAnsi"/>
                <w:color w:val="auto"/>
              </w:rPr>
            </w:pPr>
          </w:p>
        </w:tc>
        <w:tc>
          <w:tcPr>
            <w:tcW w:w="658" w:type="pct"/>
            <w:shd w:val="clear" w:color="auto" w:fill="B4C6E7" w:themeFill="accent1" w:themeFillTint="66"/>
            <w:hideMark/>
          </w:tcPr>
          <w:p w14:paraId="21A142F5" w14:textId="77777777" w:rsidR="00316DFC" w:rsidRPr="00316DFC" w:rsidRDefault="00316DFC" w:rsidP="00316DFC">
            <w:pPr>
              <w:contextualSpacing/>
              <w:rPr>
                <w:rFonts w:eastAsia="Times New Roman" w:cstheme="minorHAnsi"/>
                <w:color w:val="auto"/>
              </w:rPr>
            </w:pPr>
          </w:p>
        </w:tc>
        <w:tc>
          <w:tcPr>
            <w:tcW w:w="675" w:type="pct"/>
            <w:shd w:val="clear" w:color="auto" w:fill="B4C6E7" w:themeFill="accent1" w:themeFillTint="66"/>
            <w:hideMark/>
          </w:tcPr>
          <w:p w14:paraId="42927CAF" w14:textId="77777777" w:rsidR="00316DFC" w:rsidRPr="00316DFC" w:rsidRDefault="00316DFC" w:rsidP="00316DFC">
            <w:pPr>
              <w:contextualSpacing/>
              <w:rPr>
                <w:rFonts w:eastAsia="Times New Roman" w:cstheme="minorHAnsi"/>
                <w:color w:val="auto"/>
              </w:rPr>
            </w:pPr>
            <w:r>
              <w:rPr>
                <w:color w:val="auto"/>
              </w:rPr>
              <w:t>Objetivos</w:t>
            </w:r>
          </w:p>
        </w:tc>
        <w:tc>
          <w:tcPr>
            <w:tcW w:w="686" w:type="pct"/>
            <w:shd w:val="clear" w:color="auto" w:fill="B4C6E7" w:themeFill="accent1" w:themeFillTint="66"/>
            <w:hideMark/>
          </w:tcPr>
          <w:p w14:paraId="08C60A96" w14:textId="77777777" w:rsidR="00316DFC" w:rsidRPr="00316DFC" w:rsidRDefault="00316DFC" w:rsidP="00316DFC">
            <w:pPr>
              <w:contextualSpacing/>
              <w:rPr>
                <w:rFonts w:eastAsia="Times New Roman" w:cstheme="minorHAnsi"/>
                <w:color w:val="auto"/>
              </w:rPr>
            </w:pPr>
          </w:p>
        </w:tc>
        <w:tc>
          <w:tcPr>
            <w:tcW w:w="698" w:type="pct"/>
            <w:shd w:val="clear" w:color="auto" w:fill="B4C6E7" w:themeFill="accent1" w:themeFillTint="66"/>
            <w:hideMark/>
          </w:tcPr>
          <w:p w14:paraId="3090DB22" w14:textId="77777777" w:rsidR="00316DFC" w:rsidRPr="00316DFC" w:rsidRDefault="00316DFC" w:rsidP="00316DFC">
            <w:pPr>
              <w:contextualSpacing/>
              <w:rPr>
                <w:rFonts w:eastAsia="Times New Roman" w:cstheme="minorHAnsi"/>
                <w:color w:val="auto"/>
              </w:rPr>
            </w:pPr>
          </w:p>
        </w:tc>
        <w:tc>
          <w:tcPr>
            <w:tcW w:w="715" w:type="pct"/>
            <w:shd w:val="clear" w:color="auto" w:fill="B4C6E7" w:themeFill="accent1" w:themeFillTint="66"/>
            <w:hideMark/>
          </w:tcPr>
          <w:p w14:paraId="40337B7F" w14:textId="77777777" w:rsidR="00316DFC" w:rsidRPr="00316DFC" w:rsidRDefault="00316DFC" w:rsidP="00316DFC">
            <w:pPr>
              <w:contextualSpacing/>
              <w:rPr>
                <w:rFonts w:eastAsia="Times New Roman" w:cstheme="minorHAnsi"/>
                <w:color w:val="auto"/>
              </w:rPr>
            </w:pPr>
          </w:p>
        </w:tc>
      </w:tr>
      <w:tr w:rsidR="000E68FD" w:rsidRPr="00316DFC" w14:paraId="5193CD78" w14:textId="77777777" w:rsidTr="000E68FD">
        <w:trPr>
          <w:cnfStyle w:val="000000100000" w:firstRow="0" w:lastRow="0" w:firstColumn="0" w:lastColumn="0" w:oddVBand="0" w:evenVBand="0" w:oddHBand="1" w:evenHBand="0" w:firstRowFirstColumn="0" w:firstRowLastColumn="0" w:lastRowFirstColumn="0" w:lastRowLastColumn="0"/>
          <w:trHeight w:val="417"/>
        </w:trPr>
        <w:tc>
          <w:tcPr>
            <w:tcW w:w="852" w:type="pct"/>
            <w:hideMark/>
          </w:tcPr>
          <w:p w14:paraId="604DB9A8" w14:textId="77777777" w:rsidR="00316DFC" w:rsidRPr="00316DFC" w:rsidRDefault="00316DFC" w:rsidP="00316DFC">
            <w:pPr>
              <w:contextualSpacing/>
              <w:rPr>
                <w:rFonts w:eastAsia="Times New Roman" w:cstheme="minorHAnsi"/>
              </w:rPr>
            </w:pPr>
            <w:r>
              <w:rPr>
                <w:b/>
              </w:rPr>
              <w:t>Año fiscal federal</w:t>
            </w:r>
          </w:p>
        </w:tc>
        <w:tc>
          <w:tcPr>
            <w:tcW w:w="715" w:type="pct"/>
            <w:hideMark/>
          </w:tcPr>
          <w:p w14:paraId="20D83A26" w14:textId="77777777" w:rsidR="00316DFC" w:rsidRPr="00316DFC" w:rsidRDefault="00316DFC" w:rsidP="00316DFC">
            <w:pPr>
              <w:contextualSpacing/>
              <w:rPr>
                <w:rFonts w:eastAsia="Times New Roman" w:cstheme="minorHAnsi"/>
              </w:rPr>
            </w:pPr>
            <w:r>
              <w:rPr>
                <w:b/>
              </w:rPr>
              <w:t>2020</w:t>
            </w:r>
          </w:p>
        </w:tc>
        <w:tc>
          <w:tcPr>
            <w:tcW w:w="658" w:type="pct"/>
            <w:hideMark/>
          </w:tcPr>
          <w:p w14:paraId="223B8EA9" w14:textId="77777777" w:rsidR="00316DFC" w:rsidRPr="00316DFC" w:rsidRDefault="00316DFC" w:rsidP="00316DFC">
            <w:pPr>
              <w:contextualSpacing/>
              <w:rPr>
                <w:rFonts w:eastAsia="Times New Roman" w:cstheme="minorHAnsi"/>
              </w:rPr>
            </w:pPr>
            <w:r>
              <w:rPr>
                <w:b/>
              </w:rPr>
              <w:t>2021</w:t>
            </w:r>
          </w:p>
        </w:tc>
        <w:tc>
          <w:tcPr>
            <w:tcW w:w="675" w:type="pct"/>
            <w:hideMark/>
          </w:tcPr>
          <w:p w14:paraId="61DCAE7A" w14:textId="77777777" w:rsidR="00316DFC" w:rsidRPr="00316DFC" w:rsidRDefault="00316DFC" w:rsidP="00316DFC">
            <w:pPr>
              <w:contextualSpacing/>
              <w:rPr>
                <w:rFonts w:eastAsia="Times New Roman" w:cstheme="minorHAnsi"/>
              </w:rPr>
            </w:pPr>
            <w:r>
              <w:rPr>
                <w:b/>
              </w:rPr>
              <w:t>2022</w:t>
            </w:r>
          </w:p>
        </w:tc>
        <w:tc>
          <w:tcPr>
            <w:tcW w:w="686" w:type="pct"/>
            <w:hideMark/>
          </w:tcPr>
          <w:p w14:paraId="6A1E6A4A" w14:textId="77777777" w:rsidR="00316DFC" w:rsidRPr="00316DFC" w:rsidRDefault="00316DFC" w:rsidP="00316DFC">
            <w:pPr>
              <w:contextualSpacing/>
              <w:rPr>
                <w:rFonts w:eastAsia="Times New Roman" w:cstheme="minorHAnsi"/>
              </w:rPr>
            </w:pPr>
            <w:r>
              <w:rPr>
                <w:b/>
              </w:rPr>
              <w:t>2023</w:t>
            </w:r>
          </w:p>
        </w:tc>
        <w:tc>
          <w:tcPr>
            <w:tcW w:w="698" w:type="pct"/>
            <w:hideMark/>
          </w:tcPr>
          <w:p w14:paraId="2BE08F45" w14:textId="77777777" w:rsidR="00316DFC" w:rsidRPr="00316DFC" w:rsidRDefault="00316DFC" w:rsidP="00316DFC">
            <w:pPr>
              <w:contextualSpacing/>
              <w:rPr>
                <w:rFonts w:eastAsia="Times New Roman" w:cstheme="minorHAnsi"/>
              </w:rPr>
            </w:pPr>
            <w:r>
              <w:rPr>
                <w:b/>
              </w:rPr>
              <w:t>2024</w:t>
            </w:r>
          </w:p>
        </w:tc>
        <w:tc>
          <w:tcPr>
            <w:tcW w:w="715" w:type="pct"/>
            <w:hideMark/>
          </w:tcPr>
          <w:p w14:paraId="60E5239B" w14:textId="77777777" w:rsidR="00316DFC" w:rsidRPr="00316DFC" w:rsidRDefault="00316DFC" w:rsidP="00316DFC">
            <w:pPr>
              <w:contextualSpacing/>
              <w:rPr>
                <w:rFonts w:eastAsia="Times New Roman" w:cstheme="minorHAnsi"/>
              </w:rPr>
            </w:pPr>
            <w:r>
              <w:rPr>
                <w:b/>
              </w:rPr>
              <w:t>2025</w:t>
            </w:r>
          </w:p>
        </w:tc>
      </w:tr>
      <w:tr w:rsidR="000E68FD" w:rsidRPr="00316DFC" w14:paraId="1CDB6B22" w14:textId="77777777" w:rsidTr="000E68FD">
        <w:trPr>
          <w:trHeight w:val="466"/>
        </w:trPr>
        <w:tc>
          <w:tcPr>
            <w:tcW w:w="852" w:type="pct"/>
            <w:hideMark/>
          </w:tcPr>
          <w:p w14:paraId="2E3E5E78" w14:textId="5A87A6BD" w:rsidR="00316DFC" w:rsidRPr="00316DFC" w:rsidRDefault="00316DFC" w:rsidP="00316DFC">
            <w:pPr>
              <w:contextualSpacing/>
              <w:rPr>
                <w:rFonts w:eastAsia="Times New Roman" w:cstheme="minorHAnsi"/>
              </w:rPr>
            </w:pPr>
            <w:r>
              <w:rPr>
                <w:b/>
              </w:rPr>
              <w:t>Declaración sintetizada 1</w:t>
            </w:r>
          </w:p>
        </w:tc>
        <w:tc>
          <w:tcPr>
            <w:tcW w:w="715" w:type="pct"/>
            <w:hideMark/>
          </w:tcPr>
          <w:p w14:paraId="29BAEE52" w14:textId="77777777" w:rsidR="00316DFC" w:rsidRPr="00316DFC" w:rsidRDefault="00316DFC" w:rsidP="00316DFC">
            <w:pPr>
              <w:contextualSpacing/>
              <w:rPr>
                <w:rFonts w:eastAsia="Times New Roman" w:cstheme="minorHAnsi"/>
              </w:rPr>
            </w:pPr>
            <w:r>
              <w:t>86.00 %</w:t>
            </w:r>
          </w:p>
        </w:tc>
        <w:tc>
          <w:tcPr>
            <w:tcW w:w="658" w:type="pct"/>
            <w:hideMark/>
          </w:tcPr>
          <w:p w14:paraId="035599A2" w14:textId="77777777" w:rsidR="00316DFC" w:rsidRPr="00316DFC" w:rsidRDefault="00316DFC" w:rsidP="00316DFC">
            <w:pPr>
              <w:contextualSpacing/>
              <w:rPr>
                <w:rFonts w:eastAsia="Times New Roman" w:cstheme="minorHAnsi"/>
              </w:rPr>
            </w:pPr>
            <w:r>
              <w:t>86.00 %</w:t>
            </w:r>
          </w:p>
        </w:tc>
        <w:tc>
          <w:tcPr>
            <w:tcW w:w="675" w:type="pct"/>
            <w:hideMark/>
          </w:tcPr>
          <w:p w14:paraId="05F3872A" w14:textId="77777777" w:rsidR="00316DFC" w:rsidRPr="00316DFC" w:rsidRDefault="00316DFC" w:rsidP="00316DFC">
            <w:pPr>
              <w:contextualSpacing/>
              <w:rPr>
                <w:rFonts w:eastAsia="Times New Roman" w:cstheme="minorHAnsi"/>
              </w:rPr>
            </w:pPr>
            <w:r>
              <w:t>86.00 %</w:t>
            </w:r>
          </w:p>
        </w:tc>
        <w:tc>
          <w:tcPr>
            <w:tcW w:w="686" w:type="pct"/>
            <w:hideMark/>
          </w:tcPr>
          <w:p w14:paraId="6A950948" w14:textId="77777777" w:rsidR="00316DFC" w:rsidRPr="00316DFC" w:rsidRDefault="00316DFC" w:rsidP="00316DFC">
            <w:pPr>
              <w:contextualSpacing/>
              <w:rPr>
                <w:rFonts w:eastAsia="Times New Roman" w:cstheme="minorHAnsi"/>
              </w:rPr>
            </w:pPr>
            <w:r>
              <w:t>86.50 %</w:t>
            </w:r>
          </w:p>
        </w:tc>
        <w:tc>
          <w:tcPr>
            <w:tcW w:w="698" w:type="pct"/>
            <w:hideMark/>
          </w:tcPr>
          <w:p w14:paraId="729203BE" w14:textId="77777777" w:rsidR="00316DFC" w:rsidRPr="00316DFC" w:rsidRDefault="00316DFC" w:rsidP="00316DFC">
            <w:pPr>
              <w:contextualSpacing/>
              <w:rPr>
                <w:rFonts w:eastAsia="Times New Roman" w:cstheme="minorHAnsi"/>
              </w:rPr>
            </w:pPr>
            <w:r>
              <w:t>87.00 %</w:t>
            </w:r>
          </w:p>
        </w:tc>
        <w:tc>
          <w:tcPr>
            <w:tcW w:w="715" w:type="pct"/>
            <w:hideMark/>
          </w:tcPr>
          <w:p w14:paraId="66A68223" w14:textId="77777777" w:rsidR="00316DFC" w:rsidRPr="00316DFC" w:rsidRDefault="00316DFC" w:rsidP="00316DFC">
            <w:pPr>
              <w:contextualSpacing/>
              <w:rPr>
                <w:rFonts w:eastAsia="Times New Roman" w:cstheme="minorHAnsi"/>
              </w:rPr>
            </w:pPr>
            <w:r>
              <w:t>88.00 %</w:t>
            </w:r>
          </w:p>
        </w:tc>
      </w:tr>
      <w:tr w:rsidR="000E68FD" w:rsidRPr="00316DFC" w14:paraId="3E05ED6B" w14:textId="77777777" w:rsidTr="000E68FD">
        <w:trPr>
          <w:cnfStyle w:val="000000100000" w:firstRow="0" w:lastRow="0" w:firstColumn="0" w:lastColumn="0" w:oddVBand="0" w:evenVBand="0" w:oddHBand="1" w:evenHBand="0" w:firstRowFirstColumn="0" w:firstRowLastColumn="0" w:lastRowFirstColumn="0" w:lastRowLastColumn="0"/>
          <w:trHeight w:val="484"/>
        </w:trPr>
        <w:tc>
          <w:tcPr>
            <w:tcW w:w="852" w:type="pct"/>
            <w:hideMark/>
          </w:tcPr>
          <w:p w14:paraId="28A9B8D7" w14:textId="211499F9" w:rsidR="00316DFC" w:rsidRPr="00316DFC" w:rsidRDefault="00316DFC" w:rsidP="00316DFC">
            <w:pPr>
              <w:contextualSpacing/>
              <w:rPr>
                <w:rFonts w:eastAsia="Times New Roman" w:cstheme="minorHAnsi"/>
              </w:rPr>
            </w:pPr>
            <w:r>
              <w:rPr>
                <w:b/>
              </w:rPr>
              <w:t>Declaración sintetizada 2</w:t>
            </w:r>
          </w:p>
        </w:tc>
        <w:tc>
          <w:tcPr>
            <w:tcW w:w="715" w:type="pct"/>
            <w:hideMark/>
          </w:tcPr>
          <w:p w14:paraId="1224E082" w14:textId="77777777" w:rsidR="00316DFC" w:rsidRPr="00316DFC" w:rsidRDefault="00316DFC" w:rsidP="00316DFC">
            <w:pPr>
              <w:contextualSpacing/>
              <w:rPr>
                <w:rFonts w:eastAsia="Times New Roman" w:cstheme="minorHAnsi"/>
              </w:rPr>
            </w:pPr>
            <w:r>
              <w:t>50.00 %</w:t>
            </w:r>
          </w:p>
        </w:tc>
        <w:tc>
          <w:tcPr>
            <w:tcW w:w="658" w:type="pct"/>
            <w:hideMark/>
          </w:tcPr>
          <w:p w14:paraId="2BC58AE2" w14:textId="77777777" w:rsidR="00316DFC" w:rsidRPr="00316DFC" w:rsidRDefault="00316DFC" w:rsidP="00316DFC">
            <w:pPr>
              <w:contextualSpacing/>
              <w:rPr>
                <w:rFonts w:eastAsia="Times New Roman" w:cstheme="minorHAnsi"/>
              </w:rPr>
            </w:pPr>
            <w:r>
              <w:t>50.00 %</w:t>
            </w:r>
          </w:p>
        </w:tc>
        <w:tc>
          <w:tcPr>
            <w:tcW w:w="675" w:type="pct"/>
            <w:hideMark/>
          </w:tcPr>
          <w:p w14:paraId="546DC7A8" w14:textId="77777777" w:rsidR="00316DFC" w:rsidRPr="00316DFC" w:rsidRDefault="00316DFC" w:rsidP="00316DFC">
            <w:pPr>
              <w:contextualSpacing/>
              <w:rPr>
                <w:rFonts w:eastAsia="Times New Roman" w:cstheme="minorHAnsi"/>
              </w:rPr>
            </w:pPr>
            <w:r>
              <w:t>50.00 %</w:t>
            </w:r>
          </w:p>
        </w:tc>
        <w:tc>
          <w:tcPr>
            <w:tcW w:w="686" w:type="pct"/>
            <w:hideMark/>
          </w:tcPr>
          <w:p w14:paraId="129163C8" w14:textId="77777777" w:rsidR="00316DFC" w:rsidRPr="00316DFC" w:rsidRDefault="00316DFC" w:rsidP="00316DFC">
            <w:pPr>
              <w:contextualSpacing/>
              <w:rPr>
                <w:rFonts w:eastAsia="Times New Roman" w:cstheme="minorHAnsi"/>
              </w:rPr>
            </w:pPr>
            <w:r>
              <w:t>50.25 %</w:t>
            </w:r>
          </w:p>
        </w:tc>
        <w:tc>
          <w:tcPr>
            <w:tcW w:w="698" w:type="pct"/>
            <w:hideMark/>
          </w:tcPr>
          <w:p w14:paraId="6EADAAC6" w14:textId="77777777" w:rsidR="00316DFC" w:rsidRPr="00316DFC" w:rsidRDefault="00316DFC" w:rsidP="00316DFC">
            <w:pPr>
              <w:contextualSpacing/>
              <w:rPr>
                <w:rFonts w:eastAsia="Times New Roman" w:cstheme="minorHAnsi"/>
              </w:rPr>
            </w:pPr>
            <w:r>
              <w:t>50.50 %</w:t>
            </w:r>
          </w:p>
        </w:tc>
        <w:tc>
          <w:tcPr>
            <w:tcW w:w="715" w:type="pct"/>
            <w:hideMark/>
          </w:tcPr>
          <w:p w14:paraId="177D53D6" w14:textId="77777777" w:rsidR="00316DFC" w:rsidRPr="00316DFC" w:rsidRDefault="00316DFC" w:rsidP="00316DFC">
            <w:pPr>
              <w:contextualSpacing/>
              <w:rPr>
                <w:rFonts w:eastAsia="Times New Roman" w:cstheme="minorHAnsi"/>
              </w:rPr>
            </w:pPr>
            <w:r>
              <w:t>51.00 %</w:t>
            </w:r>
          </w:p>
        </w:tc>
      </w:tr>
    </w:tbl>
    <w:p w14:paraId="3CB70450" w14:textId="77777777" w:rsidR="005C1B27" w:rsidRDefault="005C1B27" w:rsidP="001A59F2">
      <w:pPr>
        <w:rPr>
          <w:b/>
          <w:bCs/>
        </w:rPr>
      </w:pPr>
    </w:p>
    <w:p w14:paraId="64D99BBB" w14:textId="027AD12B" w:rsidR="001A59F2" w:rsidRDefault="000E68FD" w:rsidP="001A59F2">
      <w:pPr>
        <w:rPr>
          <w:b/>
          <w:bCs/>
        </w:rPr>
      </w:pPr>
      <w:r>
        <w:rPr>
          <w:b/>
        </w:rPr>
        <w:t xml:space="preserve">Información Adicional: </w:t>
      </w:r>
    </w:p>
    <w:p w14:paraId="3A018418" w14:textId="2E639BDB" w:rsidR="000E68FD" w:rsidRDefault="00A51450" w:rsidP="008A70E9">
      <w:pPr>
        <w:pStyle w:val="ListParagraph"/>
        <w:numPr>
          <w:ilvl w:val="0"/>
          <w:numId w:val="6"/>
        </w:numPr>
        <w:spacing w:after="0"/>
      </w:pPr>
      <w:hyperlink r:id="rId16" w:history="1">
        <w:r w:rsidR="000E68FD">
          <w:rPr>
            <w:rStyle w:val="Hyperlink"/>
          </w:rPr>
          <w:t>Teoría de la acción</w:t>
        </w:r>
      </w:hyperlink>
      <w:r w:rsidR="000E68FD">
        <w:t xml:space="preserve"> del SSIP de Massachusetts</w:t>
      </w:r>
    </w:p>
    <w:p w14:paraId="42193698" w14:textId="3E5EF574" w:rsidR="00BF2B77" w:rsidRDefault="00A51450" w:rsidP="008A70E9">
      <w:pPr>
        <w:pStyle w:val="ListParagraph"/>
        <w:numPr>
          <w:ilvl w:val="0"/>
          <w:numId w:val="6"/>
        </w:numPr>
        <w:spacing w:after="0"/>
      </w:pPr>
      <w:hyperlink r:id="rId17" w:history="1">
        <w:r w:rsidR="00BF2B77">
          <w:rPr>
            <w:rStyle w:val="Hyperlink"/>
          </w:rPr>
          <w:t>Plan de evaluación</w:t>
        </w:r>
      </w:hyperlink>
      <w:r w:rsidR="00BF2B77">
        <w:t xml:space="preserve"> del SSIP de Massachusetts</w:t>
      </w:r>
    </w:p>
    <w:p w14:paraId="0DBFC910" w14:textId="4F37282D" w:rsidR="000E68FD" w:rsidRPr="00E819E9" w:rsidRDefault="000E68FD" w:rsidP="008A70E9">
      <w:pPr>
        <w:pStyle w:val="ListParagraph"/>
        <w:numPr>
          <w:ilvl w:val="0"/>
          <w:numId w:val="6"/>
        </w:numPr>
        <w:spacing w:after="0"/>
        <w:rPr>
          <w:lang w:val="en-US"/>
        </w:rPr>
      </w:pPr>
      <w:r w:rsidRPr="00E819E9">
        <w:rPr>
          <w:lang w:val="en-US"/>
        </w:rPr>
        <w:t xml:space="preserve">National Center for Pyramid Model Innovations: </w:t>
      </w:r>
      <w:hyperlink r:id="rId18" w:history="1">
        <w:r w:rsidRPr="00E819E9">
          <w:rPr>
            <w:rStyle w:val="Hyperlink"/>
            <w:lang w:val="en-US"/>
          </w:rPr>
          <w:t>National Center for Pyramid Model Innovations (challengingbehavior.org)</w:t>
        </w:r>
      </w:hyperlink>
    </w:p>
    <w:p w14:paraId="11911753" w14:textId="120D2236" w:rsidR="000E68FD" w:rsidRPr="000E68FD" w:rsidRDefault="000E68FD" w:rsidP="008A70E9">
      <w:pPr>
        <w:pStyle w:val="ListParagraph"/>
        <w:numPr>
          <w:ilvl w:val="0"/>
          <w:numId w:val="6"/>
        </w:numPr>
        <w:spacing w:after="0"/>
      </w:pPr>
      <w:r>
        <w:t xml:space="preserve">Pyramid Model Consortium: </w:t>
      </w:r>
      <w:hyperlink r:id="rId19" w:history="1">
        <w:r>
          <w:rPr>
            <w:rStyle w:val="Hyperlink"/>
          </w:rPr>
          <w:t>The Pyramid Model Consortium - Apoyo a la infancia temprana PBIS</w:t>
        </w:r>
      </w:hyperlink>
    </w:p>
    <w:p w14:paraId="06387A96" w14:textId="77777777" w:rsidR="000E68FD" w:rsidRPr="000E68FD" w:rsidRDefault="000E68FD" w:rsidP="008A70E9">
      <w:pPr>
        <w:pStyle w:val="ListParagraph"/>
        <w:numPr>
          <w:ilvl w:val="0"/>
          <w:numId w:val="6"/>
        </w:numPr>
        <w:spacing w:after="0"/>
      </w:pPr>
      <w:r>
        <w:t xml:space="preserve">Plan Estatal de Mejoramiento Sistémico (SSIP): </w:t>
      </w:r>
      <w:hyperlink r:id="rId20" w:history="1">
        <w:r>
          <w:rPr>
            <w:rStyle w:val="Hyperlink"/>
          </w:rPr>
          <w:t>Centro ECTA:</w:t>
        </w:r>
      </w:hyperlink>
      <w:hyperlink r:id="rId21" w:history="1">
        <w:r>
          <w:rPr>
            <w:rStyle w:val="Hyperlink"/>
          </w:rPr>
          <w:t xml:space="preserve"> Plan Estatal de Mejoramiento Sistémico (SSIP)</w:t>
        </w:r>
      </w:hyperlink>
    </w:p>
    <w:p w14:paraId="3ECD6F02" w14:textId="2A7759BC" w:rsidR="001A59F2" w:rsidRDefault="001A59F2" w:rsidP="001A59F2"/>
    <w:p w14:paraId="3FBA3F43" w14:textId="0FBF8EE9" w:rsidR="00E819E9" w:rsidRPr="00E819E9" w:rsidRDefault="00E819E9" w:rsidP="001A59F2">
      <w:pPr>
        <w:rPr>
          <w:b/>
          <w:bCs/>
        </w:rPr>
      </w:pPr>
      <w:r w:rsidRPr="00E819E9">
        <w:rPr>
          <w:b/>
          <w:bCs/>
        </w:rPr>
        <w:t>Conozca más sobre el indicador # 17:</w:t>
      </w:r>
    </w:p>
    <w:p w14:paraId="42DA3E63" w14:textId="2F91C564" w:rsidR="00E819E9" w:rsidRDefault="00A51450" w:rsidP="008A70E9">
      <w:pPr>
        <w:pStyle w:val="ListParagraph"/>
        <w:numPr>
          <w:ilvl w:val="0"/>
          <w:numId w:val="5"/>
        </w:numPr>
      </w:pPr>
      <w:hyperlink r:id="rId22" w:history="1">
        <w:r w:rsidR="00E819E9" w:rsidRPr="00E819E9">
          <w:rPr>
            <w:rStyle w:val="Hyperlink"/>
          </w:rPr>
          <w:t>PowerPoint de Indicador 17</w:t>
        </w:r>
      </w:hyperlink>
    </w:p>
    <w:sectPr w:rsidR="00E81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D5BED"/>
    <w:multiLevelType w:val="hybridMultilevel"/>
    <w:tmpl w:val="D3B67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63DD4"/>
    <w:multiLevelType w:val="hybridMultilevel"/>
    <w:tmpl w:val="475295A8"/>
    <w:lvl w:ilvl="0" w:tplc="B28674D2">
      <w:start w:val="1"/>
      <w:numFmt w:val="bullet"/>
      <w:lvlText w:val="•"/>
      <w:lvlJc w:val="left"/>
      <w:pPr>
        <w:tabs>
          <w:tab w:val="num" w:pos="720"/>
        </w:tabs>
        <w:ind w:left="720" w:hanging="360"/>
      </w:pPr>
      <w:rPr>
        <w:rFonts w:ascii="Arial" w:hAnsi="Arial" w:hint="default"/>
      </w:rPr>
    </w:lvl>
    <w:lvl w:ilvl="1" w:tplc="0DA4AE3A" w:tentative="1">
      <w:start w:val="1"/>
      <w:numFmt w:val="bullet"/>
      <w:lvlText w:val="•"/>
      <w:lvlJc w:val="left"/>
      <w:pPr>
        <w:tabs>
          <w:tab w:val="num" w:pos="1440"/>
        </w:tabs>
        <w:ind w:left="1440" w:hanging="360"/>
      </w:pPr>
      <w:rPr>
        <w:rFonts w:ascii="Arial" w:hAnsi="Arial" w:hint="default"/>
      </w:rPr>
    </w:lvl>
    <w:lvl w:ilvl="2" w:tplc="8B3CF156" w:tentative="1">
      <w:start w:val="1"/>
      <w:numFmt w:val="bullet"/>
      <w:lvlText w:val="•"/>
      <w:lvlJc w:val="left"/>
      <w:pPr>
        <w:tabs>
          <w:tab w:val="num" w:pos="2160"/>
        </w:tabs>
        <w:ind w:left="2160" w:hanging="360"/>
      </w:pPr>
      <w:rPr>
        <w:rFonts w:ascii="Arial" w:hAnsi="Arial" w:hint="default"/>
      </w:rPr>
    </w:lvl>
    <w:lvl w:ilvl="3" w:tplc="370C16A2" w:tentative="1">
      <w:start w:val="1"/>
      <w:numFmt w:val="bullet"/>
      <w:lvlText w:val="•"/>
      <w:lvlJc w:val="left"/>
      <w:pPr>
        <w:tabs>
          <w:tab w:val="num" w:pos="2880"/>
        </w:tabs>
        <w:ind w:left="2880" w:hanging="360"/>
      </w:pPr>
      <w:rPr>
        <w:rFonts w:ascii="Arial" w:hAnsi="Arial" w:hint="default"/>
      </w:rPr>
    </w:lvl>
    <w:lvl w:ilvl="4" w:tplc="9A86AF84" w:tentative="1">
      <w:start w:val="1"/>
      <w:numFmt w:val="bullet"/>
      <w:lvlText w:val="•"/>
      <w:lvlJc w:val="left"/>
      <w:pPr>
        <w:tabs>
          <w:tab w:val="num" w:pos="3600"/>
        </w:tabs>
        <w:ind w:left="3600" w:hanging="360"/>
      </w:pPr>
      <w:rPr>
        <w:rFonts w:ascii="Arial" w:hAnsi="Arial" w:hint="default"/>
      </w:rPr>
    </w:lvl>
    <w:lvl w:ilvl="5" w:tplc="1062CB48" w:tentative="1">
      <w:start w:val="1"/>
      <w:numFmt w:val="bullet"/>
      <w:lvlText w:val="•"/>
      <w:lvlJc w:val="left"/>
      <w:pPr>
        <w:tabs>
          <w:tab w:val="num" w:pos="4320"/>
        </w:tabs>
        <w:ind w:left="4320" w:hanging="360"/>
      </w:pPr>
      <w:rPr>
        <w:rFonts w:ascii="Arial" w:hAnsi="Arial" w:hint="default"/>
      </w:rPr>
    </w:lvl>
    <w:lvl w:ilvl="6" w:tplc="0A7E0464" w:tentative="1">
      <w:start w:val="1"/>
      <w:numFmt w:val="bullet"/>
      <w:lvlText w:val="•"/>
      <w:lvlJc w:val="left"/>
      <w:pPr>
        <w:tabs>
          <w:tab w:val="num" w:pos="5040"/>
        </w:tabs>
        <w:ind w:left="5040" w:hanging="360"/>
      </w:pPr>
      <w:rPr>
        <w:rFonts w:ascii="Arial" w:hAnsi="Arial" w:hint="default"/>
      </w:rPr>
    </w:lvl>
    <w:lvl w:ilvl="7" w:tplc="CAFE080A" w:tentative="1">
      <w:start w:val="1"/>
      <w:numFmt w:val="bullet"/>
      <w:lvlText w:val="•"/>
      <w:lvlJc w:val="left"/>
      <w:pPr>
        <w:tabs>
          <w:tab w:val="num" w:pos="5760"/>
        </w:tabs>
        <w:ind w:left="5760" w:hanging="360"/>
      </w:pPr>
      <w:rPr>
        <w:rFonts w:ascii="Arial" w:hAnsi="Arial" w:hint="default"/>
      </w:rPr>
    </w:lvl>
    <w:lvl w:ilvl="8" w:tplc="BE8C7C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7A2DFB"/>
    <w:multiLevelType w:val="hybridMultilevel"/>
    <w:tmpl w:val="FA02A326"/>
    <w:lvl w:ilvl="0" w:tplc="04090001">
      <w:start w:val="1"/>
      <w:numFmt w:val="bullet"/>
      <w:lvlText w:val=""/>
      <w:lvlJc w:val="left"/>
      <w:pPr>
        <w:tabs>
          <w:tab w:val="num" w:pos="-720"/>
        </w:tabs>
        <w:ind w:left="-720" w:hanging="360"/>
      </w:pPr>
      <w:rPr>
        <w:rFonts w:ascii="Symbol" w:hAnsi="Symbol" w:hint="default"/>
      </w:rPr>
    </w:lvl>
    <w:lvl w:ilvl="1" w:tplc="131A0A2E">
      <w:numFmt w:val="bullet"/>
      <w:lvlText w:val="o"/>
      <w:lvlJc w:val="left"/>
      <w:pPr>
        <w:tabs>
          <w:tab w:val="num" w:pos="0"/>
        </w:tabs>
        <w:ind w:left="0" w:hanging="360"/>
      </w:pPr>
      <w:rPr>
        <w:rFonts w:ascii="Courier New" w:hAnsi="Courier New" w:hint="default"/>
      </w:rPr>
    </w:lvl>
    <w:lvl w:ilvl="2" w:tplc="EA80F952">
      <w:start w:val="1"/>
      <w:numFmt w:val="bullet"/>
      <w:lvlText w:val="•"/>
      <w:lvlJc w:val="left"/>
      <w:pPr>
        <w:tabs>
          <w:tab w:val="num" w:pos="720"/>
        </w:tabs>
        <w:ind w:left="720" w:hanging="360"/>
      </w:pPr>
      <w:rPr>
        <w:rFonts w:ascii="Arial" w:hAnsi="Arial" w:hint="default"/>
      </w:rPr>
    </w:lvl>
    <w:lvl w:ilvl="3" w:tplc="637C267C" w:tentative="1">
      <w:start w:val="1"/>
      <w:numFmt w:val="bullet"/>
      <w:lvlText w:val="•"/>
      <w:lvlJc w:val="left"/>
      <w:pPr>
        <w:tabs>
          <w:tab w:val="num" w:pos="1440"/>
        </w:tabs>
        <w:ind w:left="1440" w:hanging="360"/>
      </w:pPr>
      <w:rPr>
        <w:rFonts w:ascii="Arial" w:hAnsi="Arial" w:hint="default"/>
      </w:rPr>
    </w:lvl>
    <w:lvl w:ilvl="4" w:tplc="CC42A98C" w:tentative="1">
      <w:start w:val="1"/>
      <w:numFmt w:val="bullet"/>
      <w:lvlText w:val="•"/>
      <w:lvlJc w:val="left"/>
      <w:pPr>
        <w:tabs>
          <w:tab w:val="num" w:pos="2160"/>
        </w:tabs>
        <w:ind w:left="2160" w:hanging="360"/>
      </w:pPr>
      <w:rPr>
        <w:rFonts w:ascii="Arial" w:hAnsi="Arial" w:hint="default"/>
      </w:rPr>
    </w:lvl>
    <w:lvl w:ilvl="5" w:tplc="F06604E4" w:tentative="1">
      <w:start w:val="1"/>
      <w:numFmt w:val="bullet"/>
      <w:lvlText w:val="•"/>
      <w:lvlJc w:val="left"/>
      <w:pPr>
        <w:tabs>
          <w:tab w:val="num" w:pos="2880"/>
        </w:tabs>
        <w:ind w:left="2880" w:hanging="360"/>
      </w:pPr>
      <w:rPr>
        <w:rFonts w:ascii="Arial" w:hAnsi="Arial" w:hint="default"/>
      </w:rPr>
    </w:lvl>
    <w:lvl w:ilvl="6" w:tplc="1CD8E100" w:tentative="1">
      <w:start w:val="1"/>
      <w:numFmt w:val="bullet"/>
      <w:lvlText w:val="•"/>
      <w:lvlJc w:val="left"/>
      <w:pPr>
        <w:tabs>
          <w:tab w:val="num" w:pos="3600"/>
        </w:tabs>
        <w:ind w:left="3600" w:hanging="360"/>
      </w:pPr>
      <w:rPr>
        <w:rFonts w:ascii="Arial" w:hAnsi="Arial" w:hint="default"/>
      </w:rPr>
    </w:lvl>
    <w:lvl w:ilvl="7" w:tplc="47365852" w:tentative="1">
      <w:start w:val="1"/>
      <w:numFmt w:val="bullet"/>
      <w:lvlText w:val="•"/>
      <w:lvlJc w:val="left"/>
      <w:pPr>
        <w:tabs>
          <w:tab w:val="num" w:pos="4320"/>
        </w:tabs>
        <w:ind w:left="4320" w:hanging="360"/>
      </w:pPr>
      <w:rPr>
        <w:rFonts w:ascii="Arial" w:hAnsi="Arial" w:hint="default"/>
      </w:rPr>
    </w:lvl>
    <w:lvl w:ilvl="8" w:tplc="9D984E30" w:tentative="1">
      <w:start w:val="1"/>
      <w:numFmt w:val="bullet"/>
      <w:lvlText w:val="•"/>
      <w:lvlJc w:val="left"/>
      <w:pPr>
        <w:tabs>
          <w:tab w:val="num" w:pos="5040"/>
        </w:tabs>
        <w:ind w:left="5040" w:hanging="360"/>
      </w:pPr>
      <w:rPr>
        <w:rFonts w:ascii="Arial" w:hAnsi="Arial" w:hint="default"/>
      </w:rPr>
    </w:lvl>
  </w:abstractNum>
  <w:abstractNum w:abstractNumId="3" w15:restartNumberingAfterBreak="0">
    <w:nsid w:val="557371DD"/>
    <w:multiLevelType w:val="hybridMultilevel"/>
    <w:tmpl w:val="00109E30"/>
    <w:lvl w:ilvl="0" w:tplc="04090001">
      <w:start w:val="1"/>
      <w:numFmt w:val="bullet"/>
      <w:lvlText w:val=""/>
      <w:lvlJc w:val="left"/>
      <w:pPr>
        <w:tabs>
          <w:tab w:val="num" w:pos="720"/>
        </w:tabs>
        <w:ind w:left="720" w:hanging="360"/>
      </w:pPr>
      <w:rPr>
        <w:rFonts w:ascii="Symbol" w:hAnsi="Symbol" w:hint="default"/>
      </w:rPr>
    </w:lvl>
    <w:lvl w:ilvl="1" w:tplc="0DA4AE3A" w:tentative="1">
      <w:start w:val="1"/>
      <w:numFmt w:val="bullet"/>
      <w:lvlText w:val="•"/>
      <w:lvlJc w:val="left"/>
      <w:pPr>
        <w:tabs>
          <w:tab w:val="num" w:pos="1440"/>
        </w:tabs>
        <w:ind w:left="1440" w:hanging="360"/>
      </w:pPr>
      <w:rPr>
        <w:rFonts w:ascii="Arial" w:hAnsi="Arial" w:hint="default"/>
      </w:rPr>
    </w:lvl>
    <w:lvl w:ilvl="2" w:tplc="8B3CF156" w:tentative="1">
      <w:start w:val="1"/>
      <w:numFmt w:val="bullet"/>
      <w:lvlText w:val="•"/>
      <w:lvlJc w:val="left"/>
      <w:pPr>
        <w:tabs>
          <w:tab w:val="num" w:pos="2160"/>
        </w:tabs>
        <w:ind w:left="2160" w:hanging="360"/>
      </w:pPr>
      <w:rPr>
        <w:rFonts w:ascii="Arial" w:hAnsi="Arial" w:hint="default"/>
      </w:rPr>
    </w:lvl>
    <w:lvl w:ilvl="3" w:tplc="370C16A2" w:tentative="1">
      <w:start w:val="1"/>
      <w:numFmt w:val="bullet"/>
      <w:lvlText w:val="•"/>
      <w:lvlJc w:val="left"/>
      <w:pPr>
        <w:tabs>
          <w:tab w:val="num" w:pos="2880"/>
        </w:tabs>
        <w:ind w:left="2880" w:hanging="360"/>
      </w:pPr>
      <w:rPr>
        <w:rFonts w:ascii="Arial" w:hAnsi="Arial" w:hint="default"/>
      </w:rPr>
    </w:lvl>
    <w:lvl w:ilvl="4" w:tplc="9A86AF84" w:tentative="1">
      <w:start w:val="1"/>
      <w:numFmt w:val="bullet"/>
      <w:lvlText w:val="•"/>
      <w:lvlJc w:val="left"/>
      <w:pPr>
        <w:tabs>
          <w:tab w:val="num" w:pos="3600"/>
        </w:tabs>
        <w:ind w:left="3600" w:hanging="360"/>
      </w:pPr>
      <w:rPr>
        <w:rFonts w:ascii="Arial" w:hAnsi="Arial" w:hint="default"/>
      </w:rPr>
    </w:lvl>
    <w:lvl w:ilvl="5" w:tplc="1062CB48" w:tentative="1">
      <w:start w:val="1"/>
      <w:numFmt w:val="bullet"/>
      <w:lvlText w:val="•"/>
      <w:lvlJc w:val="left"/>
      <w:pPr>
        <w:tabs>
          <w:tab w:val="num" w:pos="4320"/>
        </w:tabs>
        <w:ind w:left="4320" w:hanging="360"/>
      </w:pPr>
      <w:rPr>
        <w:rFonts w:ascii="Arial" w:hAnsi="Arial" w:hint="default"/>
      </w:rPr>
    </w:lvl>
    <w:lvl w:ilvl="6" w:tplc="0A7E0464" w:tentative="1">
      <w:start w:val="1"/>
      <w:numFmt w:val="bullet"/>
      <w:lvlText w:val="•"/>
      <w:lvlJc w:val="left"/>
      <w:pPr>
        <w:tabs>
          <w:tab w:val="num" w:pos="5040"/>
        </w:tabs>
        <w:ind w:left="5040" w:hanging="360"/>
      </w:pPr>
      <w:rPr>
        <w:rFonts w:ascii="Arial" w:hAnsi="Arial" w:hint="default"/>
      </w:rPr>
    </w:lvl>
    <w:lvl w:ilvl="7" w:tplc="CAFE080A" w:tentative="1">
      <w:start w:val="1"/>
      <w:numFmt w:val="bullet"/>
      <w:lvlText w:val="•"/>
      <w:lvlJc w:val="left"/>
      <w:pPr>
        <w:tabs>
          <w:tab w:val="num" w:pos="5760"/>
        </w:tabs>
        <w:ind w:left="5760" w:hanging="360"/>
      </w:pPr>
      <w:rPr>
        <w:rFonts w:ascii="Arial" w:hAnsi="Arial" w:hint="default"/>
      </w:rPr>
    </w:lvl>
    <w:lvl w:ilvl="8" w:tplc="BE8C7C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017762"/>
    <w:multiLevelType w:val="hybridMultilevel"/>
    <w:tmpl w:val="70087B5E"/>
    <w:lvl w:ilvl="0" w:tplc="B28674D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24CD0"/>
    <w:multiLevelType w:val="hybridMultilevel"/>
    <w:tmpl w:val="1E9A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67"/>
    <w:rsid w:val="00027B4B"/>
    <w:rsid w:val="000A196B"/>
    <w:rsid w:val="000E68FD"/>
    <w:rsid w:val="000F6373"/>
    <w:rsid w:val="001A59F2"/>
    <w:rsid w:val="002618F2"/>
    <w:rsid w:val="002A3E79"/>
    <w:rsid w:val="00316DFC"/>
    <w:rsid w:val="004F6CBE"/>
    <w:rsid w:val="005C1B27"/>
    <w:rsid w:val="00656848"/>
    <w:rsid w:val="00685B8A"/>
    <w:rsid w:val="008A70E9"/>
    <w:rsid w:val="008B4528"/>
    <w:rsid w:val="009B1DE9"/>
    <w:rsid w:val="00A51450"/>
    <w:rsid w:val="00BF2B77"/>
    <w:rsid w:val="00E251EA"/>
    <w:rsid w:val="00E819E9"/>
    <w:rsid w:val="00E929F7"/>
    <w:rsid w:val="00F17167"/>
    <w:rsid w:val="00F258A8"/>
    <w:rsid w:val="00FD70BF"/>
    <w:rsid w:val="068CDBB3"/>
    <w:rsid w:val="0B77539F"/>
    <w:rsid w:val="5C8C6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D521"/>
  <w15:chartTrackingRefBased/>
  <w15:docId w15:val="{4CE8175C-52F1-4E85-9C6B-23947D4E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C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6CBE"/>
    <w:rPr>
      <w:color w:val="0563C1" w:themeColor="hyperlink"/>
      <w:u w:val="single"/>
    </w:rPr>
  </w:style>
  <w:style w:type="character" w:styleId="UnresolvedMention">
    <w:name w:val="Unresolved Mention"/>
    <w:basedOn w:val="DefaultParagraphFont"/>
    <w:uiPriority w:val="99"/>
    <w:semiHidden/>
    <w:unhideWhenUsed/>
    <w:rsid w:val="004F6CBE"/>
    <w:rPr>
      <w:color w:val="605E5C"/>
      <w:shd w:val="clear" w:color="auto" w:fill="E1DFDD"/>
    </w:rPr>
  </w:style>
  <w:style w:type="paragraph" w:styleId="ListParagraph">
    <w:name w:val="List Paragraph"/>
    <w:basedOn w:val="Normal"/>
    <w:uiPriority w:val="34"/>
    <w:qFormat/>
    <w:rsid w:val="00316DFC"/>
    <w:pPr>
      <w:ind w:left="720"/>
      <w:contextualSpacing/>
    </w:pPr>
  </w:style>
  <w:style w:type="character" w:styleId="FollowedHyperlink">
    <w:name w:val="FollowedHyperlink"/>
    <w:basedOn w:val="DefaultParagraphFont"/>
    <w:uiPriority w:val="99"/>
    <w:semiHidden/>
    <w:unhideWhenUsed/>
    <w:rsid w:val="00316DFC"/>
    <w:rPr>
      <w:color w:val="954F72" w:themeColor="followedHyperlink"/>
      <w:u w:val="single"/>
    </w:rPr>
  </w:style>
  <w:style w:type="table" w:styleId="PlainTable2">
    <w:name w:val="Plain Table 2"/>
    <w:basedOn w:val="TableNormal"/>
    <w:uiPriority w:val="42"/>
    <w:rsid w:val="00316D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E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0E68F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CommentReference">
    <w:name w:val="annotation reference"/>
    <w:basedOn w:val="DefaultParagraphFont"/>
    <w:uiPriority w:val="99"/>
    <w:semiHidden/>
    <w:unhideWhenUsed/>
    <w:rsid w:val="000F6373"/>
    <w:rPr>
      <w:sz w:val="16"/>
      <w:szCs w:val="16"/>
    </w:rPr>
  </w:style>
  <w:style w:type="paragraph" w:styleId="CommentText">
    <w:name w:val="annotation text"/>
    <w:basedOn w:val="Normal"/>
    <w:link w:val="CommentTextChar"/>
    <w:uiPriority w:val="99"/>
    <w:semiHidden/>
    <w:unhideWhenUsed/>
    <w:rsid w:val="000F6373"/>
    <w:pPr>
      <w:spacing w:line="240" w:lineRule="auto"/>
    </w:pPr>
    <w:rPr>
      <w:sz w:val="20"/>
      <w:szCs w:val="20"/>
    </w:rPr>
  </w:style>
  <w:style w:type="character" w:customStyle="1" w:styleId="CommentTextChar">
    <w:name w:val="Comment Text Char"/>
    <w:basedOn w:val="DefaultParagraphFont"/>
    <w:link w:val="CommentText"/>
    <w:uiPriority w:val="99"/>
    <w:semiHidden/>
    <w:rsid w:val="000F6373"/>
    <w:rPr>
      <w:sz w:val="20"/>
      <w:szCs w:val="20"/>
    </w:rPr>
  </w:style>
  <w:style w:type="paragraph" w:styleId="CommentSubject">
    <w:name w:val="annotation subject"/>
    <w:basedOn w:val="CommentText"/>
    <w:next w:val="CommentText"/>
    <w:link w:val="CommentSubjectChar"/>
    <w:uiPriority w:val="99"/>
    <w:semiHidden/>
    <w:unhideWhenUsed/>
    <w:rsid w:val="000F6373"/>
    <w:rPr>
      <w:b/>
      <w:bCs/>
    </w:rPr>
  </w:style>
  <w:style w:type="character" w:customStyle="1" w:styleId="CommentSubjectChar">
    <w:name w:val="Comment Subject Char"/>
    <w:basedOn w:val="CommentTextChar"/>
    <w:link w:val="CommentSubject"/>
    <w:uiPriority w:val="99"/>
    <w:semiHidden/>
    <w:rsid w:val="000F6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22544">
      <w:bodyDiv w:val="1"/>
      <w:marLeft w:val="0"/>
      <w:marRight w:val="0"/>
      <w:marTop w:val="0"/>
      <w:marBottom w:val="0"/>
      <w:divBdr>
        <w:top w:val="none" w:sz="0" w:space="0" w:color="auto"/>
        <w:left w:val="none" w:sz="0" w:space="0" w:color="auto"/>
        <w:bottom w:val="none" w:sz="0" w:space="0" w:color="auto"/>
        <w:right w:val="none" w:sz="0" w:space="0" w:color="auto"/>
      </w:divBdr>
    </w:div>
    <w:div w:id="1397825284">
      <w:bodyDiv w:val="1"/>
      <w:marLeft w:val="0"/>
      <w:marRight w:val="0"/>
      <w:marTop w:val="0"/>
      <w:marBottom w:val="0"/>
      <w:divBdr>
        <w:top w:val="none" w:sz="0" w:space="0" w:color="auto"/>
        <w:left w:val="none" w:sz="0" w:space="0" w:color="auto"/>
        <w:bottom w:val="none" w:sz="0" w:space="0" w:color="auto"/>
        <w:right w:val="none" w:sz="0" w:space="0" w:color="auto"/>
      </w:divBdr>
      <w:divsChild>
        <w:div w:id="701981335">
          <w:marLeft w:val="360"/>
          <w:marRight w:val="0"/>
          <w:marTop w:val="200"/>
          <w:marBottom w:val="0"/>
          <w:divBdr>
            <w:top w:val="none" w:sz="0" w:space="0" w:color="auto"/>
            <w:left w:val="none" w:sz="0" w:space="0" w:color="auto"/>
            <w:bottom w:val="none" w:sz="0" w:space="0" w:color="auto"/>
            <w:right w:val="none" w:sz="0" w:space="0" w:color="auto"/>
          </w:divBdr>
        </w:div>
        <w:div w:id="441725064">
          <w:marLeft w:val="360"/>
          <w:marRight w:val="0"/>
          <w:marTop w:val="200"/>
          <w:marBottom w:val="0"/>
          <w:divBdr>
            <w:top w:val="none" w:sz="0" w:space="0" w:color="auto"/>
            <w:left w:val="none" w:sz="0" w:space="0" w:color="auto"/>
            <w:bottom w:val="none" w:sz="0" w:space="0" w:color="auto"/>
            <w:right w:val="none" w:sz="0" w:space="0" w:color="auto"/>
          </w:divBdr>
        </w:div>
        <w:div w:id="1512527980">
          <w:marLeft w:val="360"/>
          <w:marRight w:val="0"/>
          <w:marTop w:val="200"/>
          <w:marBottom w:val="0"/>
          <w:divBdr>
            <w:top w:val="none" w:sz="0" w:space="0" w:color="auto"/>
            <w:left w:val="none" w:sz="0" w:space="0" w:color="auto"/>
            <w:bottom w:val="none" w:sz="0" w:space="0" w:color="auto"/>
            <w:right w:val="none" w:sz="0" w:space="0" w:color="auto"/>
          </w:divBdr>
        </w:div>
      </w:divsChild>
    </w:div>
    <w:div w:id="1673407828">
      <w:bodyDiv w:val="1"/>
      <w:marLeft w:val="0"/>
      <w:marRight w:val="0"/>
      <w:marTop w:val="0"/>
      <w:marBottom w:val="0"/>
      <w:divBdr>
        <w:top w:val="none" w:sz="0" w:space="0" w:color="auto"/>
        <w:left w:val="none" w:sz="0" w:space="0" w:color="auto"/>
        <w:bottom w:val="none" w:sz="0" w:space="0" w:color="auto"/>
        <w:right w:val="none" w:sz="0" w:space="0" w:color="auto"/>
      </w:divBdr>
    </w:div>
    <w:div w:id="16905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7/" TargetMode="External"/><Relationship Id="rId13" Type="http://schemas.openxmlformats.org/officeDocument/2006/relationships/hyperlink" Target="https://ideadata.org/sites/default/files/media/documents/2022-06/IDC%20Laminated%20Cards%20%282%29.pdf" TargetMode="External"/><Relationship Id="rId18" Type="http://schemas.openxmlformats.org/officeDocument/2006/relationships/hyperlink" Target="https://challengingbehavior.org/" TargetMode="External"/><Relationship Id="rId3" Type="http://schemas.openxmlformats.org/officeDocument/2006/relationships/customXml" Target="../customXml/item3.xml"/><Relationship Id="rId21" Type="http://schemas.openxmlformats.org/officeDocument/2006/relationships/hyperlink" Target="https://ectacenter.org/topics/ssip/" TargetMode="External"/><Relationship Id="rId7" Type="http://schemas.openxmlformats.org/officeDocument/2006/relationships/webSettings" Target="webSettings.xml"/><Relationship Id="rId12" Type="http://schemas.openxmlformats.org/officeDocument/2006/relationships/hyperlink" Target="https://www.doe.mass.edu/sped/spp/indicators/indicator17/indicator17-vietnamese.docx" TargetMode="External"/><Relationship Id="rId17" Type="http://schemas.openxmlformats.org/officeDocument/2006/relationships/hyperlink" Target="https://www.doe.mass.edu/sped/spp/ssip-evaluation-plan.docx" TargetMode="External"/><Relationship Id="rId2" Type="http://schemas.openxmlformats.org/officeDocument/2006/relationships/customXml" Target="../customXml/item2.xml"/><Relationship Id="rId16" Type="http://schemas.openxmlformats.org/officeDocument/2006/relationships/hyperlink" Target="https://www.doe.mass.edu/sped/spp/ssip-action-theory.docx" TargetMode="External"/><Relationship Id="rId20" Type="http://schemas.openxmlformats.org/officeDocument/2006/relationships/hyperlink" Target="https://ectacenter.org/topics/ss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7/indicator17-portuguese.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crscenter.org/products-resources/predictors-postsecondary-success" TargetMode="External"/><Relationship Id="rId23" Type="http://schemas.openxmlformats.org/officeDocument/2006/relationships/fontTable" Target="fontTable.xml"/><Relationship Id="rId10" Type="http://schemas.openxmlformats.org/officeDocument/2006/relationships/hyperlink" Target="https://www.doe.mass.edu/sped/spp/indicators/indicator17/indicator17-haitiancreole.docx" TargetMode="External"/><Relationship Id="rId19" Type="http://schemas.openxmlformats.org/officeDocument/2006/relationships/hyperlink" Target="https://www.pyramidmodel.org/" TargetMode="External"/><Relationship Id="rId4" Type="http://schemas.openxmlformats.org/officeDocument/2006/relationships/numbering" Target="numbering.xml"/><Relationship Id="rId9" Type="http://schemas.openxmlformats.org/officeDocument/2006/relationships/hyperlink" Target="https://www.doe.mass.edu/sped/spp/indicators/indicator17/indicator17-chinese.docx" TargetMode="External"/><Relationship Id="rId14" Type="http://schemas.openxmlformats.org/officeDocument/2006/relationships/hyperlink" Target="https://www.naeyc.org/resources/pubs/yc/mar2018/promoting-social-and-emotional-health" TargetMode="External"/><Relationship Id="rId22" Type="http://schemas.openxmlformats.org/officeDocument/2006/relationships/hyperlink" Target="https://www.doe.mass.edu/sped/spp/indicators/indicator17/indicator17-slides-spanish.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12BDD-7DD2-474C-8689-3EA77213BA02}">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F1695A33-5097-477C-844A-D05DA0F9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8F4D6-E9C5-468D-B21E-9AFC95281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718</Words>
  <Characters>3624</Characters>
  <Application>Microsoft Office Word</Application>
  <DocSecurity>0</DocSecurity>
  <Lines>213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17: State Systemic Improvement Plan — Spanish</dc:title>
  <dc:subject/>
  <dc:creator>DESE</dc:creator>
  <cp:keywords/>
  <dc:description/>
  <cp:lastModifiedBy>Zou, Dong (EOE)</cp:lastModifiedBy>
  <cp:revision>11</cp:revision>
  <dcterms:created xsi:type="dcterms:W3CDTF">2022-11-01T13:10:00Z</dcterms:created>
  <dcterms:modified xsi:type="dcterms:W3CDTF">2023-02-09T20:27:00Z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2023 12:00AM</vt:lpwstr>
  </property>
</Properties>
</file>