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1E3E" w14:textId="4D0D91B4" w:rsidR="00D8223B" w:rsidRPr="00F57743" w:rsidRDefault="003162C3" w:rsidP="009134EE">
      <w:pPr>
        <w:pStyle w:val="Heading1"/>
        <w:rPr>
          <w:rFonts w:ascii="Times New Roman" w:eastAsia="FangSong" w:hAnsi="Times New Roman" w:cs="Times New Roman"/>
          <w:b/>
          <w:bCs/>
          <w:lang w:eastAsia="zh-CN"/>
        </w:rPr>
      </w:pPr>
      <w:r w:rsidRPr="00F57743">
        <w:rPr>
          <w:rFonts w:ascii="Times New Roman" w:eastAsia="FangSong" w:hAnsi="Times New Roman" w:cs="Times New Roman" w:hint="eastAsia"/>
          <w:b/>
          <w:bCs/>
          <w:lang w:eastAsia="zh-CN"/>
        </w:rPr>
        <w:t>指标二</w:t>
      </w:r>
      <w:r w:rsidR="00A82C58" w:rsidRPr="00F57743">
        <w:rPr>
          <w:rFonts w:ascii="Times New Roman" w:eastAsia="FangSong" w:hAnsi="Times New Roman" w:cs="Times New Roman" w:hint="eastAsia"/>
          <w:b/>
          <w:bCs/>
          <w:lang w:eastAsia="zh-CN"/>
        </w:rPr>
        <w:t>：</w:t>
      </w:r>
      <w:r w:rsidR="00A82C58" w:rsidRPr="00F57743">
        <w:rPr>
          <w:rFonts w:ascii="Times New Roman" w:eastAsia="FangSong" w:hAnsi="Times New Roman" w:cs="Times New Roman"/>
          <w:b/>
          <w:bCs/>
          <w:lang w:eastAsia="zh-CN"/>
        </w:rPr>
        <w:t xml:space="preserve">IEP </w:t>
      </w:r>
      <w:r w:rsidR="00A82C58" w:rsidRPr="00F57743">
        <w:rPr>
          <w:rFonts w:ascii="Times New Roman" w:eastAsia="FangSong" w:hAnsi="Times New Roman" w:cs="Times New Roman" w:hint="eastAsia"/>
          <w:b/>
          <w:bCs/>
          <w:lang w:eastAsia="zh-CN"/>
        </w:rPr>
        <w:t>学生的辍学率</w:t>
      </w:r>
    </w:p>
    <w:p w14:paraId="527D62F6" w14:textId="77777777" w:rsidR="00EC2946" w:rsidRPr="00A82C58" w:rsidRDefault="00EC2946" w:rsidP="00EC2946">
      <w:pPr>
        <w:rPr>
          <w:rFonts w:ascii="Times New Roman" w:eastAsia="FangSong" w:hAnsi="Times New Roman" w:cs="Times New Roman"/>
          <w:lang w:eastAsia="zh-CN"/>
        </w:rPr>
      </w:pPr>
    </w:p>
    <w:p w14:paraId="151E37E6" w14:textId="77777777" w:rsidR="00EC2946" w:rsidRPr="00A82C58" w:rsidRDefault="00EC2946" w:rsidP="00FF1DCE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</w:p>
    <w:p w14:paraId="3A86B4A5" w14:textId="1750898D" w:rsidR="003115B4" w:rsidRPr="00A82C58" w:rsidRDefault="00A82C58" w:rsidP="00FF1DCE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 w:rsidRPr="00A82C58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什么是</w:t>
      </w:r>
      <w:r w:rsidR="003162C3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指标二</w:t>
      </w:r>
      <w:r w:rsidRPr="00A82C58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？</w:t>
      </w:r>
    </w:p>
    <w:p w14:paraId="2F9208AB" w14:textId="680EB928" w:rsidR="005F097C" w:rsidRPr="00A82C58" w:rsidRDefault="003162C3" w:rsidP="00FF1DCE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指标二</w:t>
      </w:r>
      <w:r w:rsidR="0025607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表示的是</w:t>
      </w:r>
      <w:r w:rsidR="006171AD" w:rsidRPr="006171AD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个别化教育计划（简称为“</w:t>
      </w:r>
      <w:r w:rsidR="006171AD" w:rsidRPr="006171AD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IEP</w:t>
      </w:r>
      <w:r w:rsidR="006171AD" w:rsidRPr="006171AD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”）</w:t>
      </w:r>
      <w:r w:rsidR="00256077" w:rsidRPr="0025607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</w:t>
      </w:r>
      <w:r w:rsidR="006171AD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高中辍学百分比。</w:t>
      </w:r>
      <w:r w:rsidR="58366C26" w:rsidRPr="00A82C58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  <w:bookmarkStart w:id="0" w:name="_Hlk82241042"/>
    </w:p>
    <w:p w14:paraId="669679F3" w14:textId="1DB9DEE2" w:rsidR="00D8587B" w:rsidRPr="00A82C58" w:rsidRDefault="003162C3" w:rsidP="00FF1DCE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指标二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的数据来自中小学教育部的</w:t>
      </w:r>
      <w:hyperlink r:id="rId10" w:history="1">
        <w:r w:rsidR="00A82C58" w:rsidRPr="00A82C58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学生信息管理系统</w:t>
        </w:r>
        <w:r w:rsidR="00A82C58" w:rsidRPr="00A82C58">
          <w:rPr>
            <w:rStyle w:val="Hyperlink"/>
            <w:rFonts w:ascii="Times New Roman" w:eastAsia="FangSong" w:hAnsi="Times New Roman" w:cs="Times New Roman"/>
            <w:sz w:val="24"/>
            <w:szCs w:val="24"/>
            <w:lang w:eastAsia="zh-CN"/>
          </w:rPr>
          <w:t xml:space="preserve"> (SIMS)</w:t>
        </w:r>
      </w:hyperlink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</w:p>
    <w:bookmarkEnd w:id="0"/>
    <w:p w14:paraId="54C483A1" w14:textId="45F6322D" w:rsidR="00A82C58" w:rsidRPr="00A82C58" w:rsidRDefault="003162C3" w:rsidP="00A82C58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指标二</w:t>
      </w:r>
      <w:r w:rsidR="00671D91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的</w:t>
      </w:r>
      <w:r w:rsidR="00A82C58" w:rsidRPr="00A82C58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重要</w:t>
      </w:r>
      <w:r w:rsidR="00671D91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性</w:t>
      </w:r>
    </w:p>
    <w:p w14:paraId="7DE770A3" w14:textId="5DC9E742" w:rsidR="00391B13" w:rsidRPr="00A82C58" w:rsidRDefault="003162C3" w:rsidP="00A82C58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指标二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是评估</w:t>
      </w:r>
      <w:r w:rsidR="00256077" w:rsidRPr="0025607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马萨诸塞州实现这一目标的一种方法：即在高中毕业后，是否所有学生在继续教育、工作和日常生活方面均取得成功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</w:p>
    <w:p w14:paraId="43883EE6" w14:textId="60AD43D8" w:rsidR="00A82C58" w:rsidRPr="00A82C58" w:rsidRDefault="00256077" w:rsidP="00A82C58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有关</w:t>
      </w:r>
      <w:r w:rsidR="003162C3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指标二</w:t>
      </w:r>
      <w:r w:rsidR="00A82C58" w:rsidRPr="00A82C58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报告的变化</w:t>
      </w:r>
    </w:p>
    <w:p w14:paraId="5CE1DDC3" w14:textId="79B8685D" w:rsidR="00A82C58" w:rsidRPr="00A82C58" w:rsidRDefault="00256077" w:rsidP="00A82C58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过去，</w:t>
      </w:r>
      <w:r w:rsidR="00316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指标二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</w:t>
      </w:r>
      <w:r w:rsidR="00A82C58" w:rsidRPr="00256077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基于报告年度就读高中（</w:t>
      </w:r>
      <w:r w:rsidR="00A82C58" w:rsidRPr="00256077">
        <w:rPr>
          <w:rFonts w:ascii="Times New Roman" w:eastAsia="FangSong" w:hAnsi="Times New Roman" w:cs="Times New Roman"/>
          <w:i/>
          <w:iCs/>
          <w:sz w:val="24"/>
          <w:szCs w:val="24"/>
          <w:lang w:eastAsia="zh-CN"/>
        </w:rPr>
        <w:t xml:space="preserve">9-12 </w:t>
      </w:r>
      <w:r w:rsidR="00A82C58" w:rsidRPr="00256077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年级）的</w:t>
      </w:r>
      <w:r w:rsidR="00A82C58" w:rsidRPr="00256077">
        <w:rPr>
          <w:rFonts w:ascii="Times New Roman" w:eastAsia="FangSong" w:hAnsi="Times New Roman" w:cs="Times New Roman"/>
          <w:i/>
          <w:iCs/>
          <w:sz w:val="24"/>
          <w:szCs w:val="24"/>
          <w:lang w:eastAsia="zh-CN"/>
        </w:rPr>
        <w:t xml:space="preserve"> IEP </w:t>
      </w:r>
      <w:r w:rsidR="00A82C58" w:rsidRPr="00256077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学生总数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来报告</w:t>
      </w:r>
      <w:r w:rsidR="00A82C58" w:rsidRPr="00A82C58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IEP 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学生辍学的百分比。</w:t>
      </w:r>
    </w:p>
    <w:p w14:paraId="495CF566" w14:textId="36A24E71" w:rsidR="001B43A8" w:rsidRPr="00A82C58" w:rsidRDefault="00256077" w:rsidP="00A82C58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自</w:t>
      </w:r>
      <w:r w:rsidR="00A82C58" w:rsidRPr="00A82C58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2021 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年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起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，美国特殊教育计划办公室</w:t>
      </w:r>
      <w:r w:rsidR="00A82C58" w:rsidRPr="00A82C58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(OSEP) 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要求</w:t>
      </w:r>
      <w:r w:rsidR="002F617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</w:t>
      </w:r>
      <w:r w:rsidR="003162C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指标二</w:t>
      </w:r>
      <w:r w:rsidR="002F617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中的这一</w:t>
      </w:r>
      <w:r w:rsidR="00A82C58" w:rsidRPr="00256077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百分比基于报告年度中离开高中的</w:t>
      </w:r>
      <w:r w:rsidR="00A82C58" w:rsidRPr="00256077">
        <w:rPr>
          <w:rFonts w:ascii="Times New Roman" w:eastAsia="FangSong" w:hAnsi="Times New Roman" w:cs="Times New Roman"/>
          <w:i/>
          <w:iCs/>
          <w:sz w:val="24"/>
          <w:szCs w:val="24"/>
          <w:lang w:eastAsia="zh-CN"/>
        </w:rPr>
        <w:t xml:space="preserve"> IEP </w:t>
      </w:r>
      <w:r w:rsidR="00A82C58" w:rsidRPr="00256077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学生总数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。下表中</w:t>
      </w:r>
      <w:r w:rsidR="002F617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所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报告的辍学率</w:t>
      </w:r>
      <w:r w:rsidR="002F617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即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</w:t>
      </w:r>
      <w:r w:rsidR="002F617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使用</w:t>
      </w:r>
      <w:r w:rsidRPr="0025607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特殊教育计划办公室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新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的量度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要求</w:t>
      </w:r>
      <w:r w:rsidR="002F617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进行的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重新计算。</w:t>
      </w:r>
    </w:p>
    <w:p w14:paraId="59795B10" w14:textId="2DD67F4B" w:rsidR="00844E1A" w:rsidRPr="00A82C58" w:rsidRDefault="00A82C58" w:rsidP="00844E1A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82C58"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  <w:t xml:space="preserve">IEP </w:t>
      </w:r>
      <w:r w:rsidRPr="00A82C58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学生的辍学率</w:t>
      </w:r>
      <w:r w:rsidR="00844E1A" w:rsidRPr="00A82C58"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44E1A" w:rsidRPr="00A82C58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TableGrid"/>
        <w:tblW w:w="7800" w:type="dxa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</w:tblGrid>
      <w:tr w:rsidR="00B82B53" w:rsidRPr="00A82C58" w14:paraId="00A2D820" w14:textId="42F29C54" w:rsidTr="00B82B53">
        <w:tc>
          <w:tcPr>
            <w:tcW w:w="1560" w:type="dxa"/>
          </w:tcPr>
          <w:p w14:paraId="72EE1267" w14:textId="77777777" w:rsidR="00B82B53" w:rsidRPr="00A82C58" w:rsidRDefault="00B82B53" w:rsidP="00991FCB">
            <w:pPr>
              <w:spacing w:before="120" w:after="12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A82C58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14:paraId="3244F161" w14:textId="77777777" w:rsidR="00B82B53" w:rsidRPr="00A82C58" w:rsidRDefault="00B82B53" w:rsidP="00991FCB">
            <w:pPr>
              <w:spacing w:before="120" w:after="12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A82C58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14:paraId="19ECE8BD" w14:textId="77777777" w:rsidR="00B82B53" w:rsidRPr="00A82C58" w:rsidRDefault="00B82B53" w:rsidP="00991FCB">
            <w:pPr>
              <w:spacing w:before="120" w:after="12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A82C58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14:paraId="30A94D9D" w14:textId="77777777" w:rsidR="00B82B53" w:rsidRPr="00A82C58" w:rsidRDefault="00B82B53" w:rsidP="00991FCB">
            <w:pPr>
              <w:spacing w:before="120" w:after="12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A82C58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14:paraId="6A13474A" w14:textId="77777777" w:rsidR="00B82B53" w:rsidRPr="00A82C58" w:rsidRDefault="00B82B53" w:rsidP="3F3464EB">
            <w:pPr>
              <w:spacing w:before="120" w:after="12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A82C58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B82B53" w:rsidRPr="00A82C58" w14:paraId="037FC96F" w14:textId="4D94CA3A" w:rsidTr="00B82B53">
        <w:tc>
          <w:tcPr>
            <w:tcW w:w="1560" w:type="dxa"/>
          </w:tcPr>
          <w:p w14:paraId="68774AB0" w14:textId="77777777" w:rsidR="00B82B53" w:rsidRPr="00A82C58" w:rsidRDefault="00B82B53" w:rsidP="00991FCB">
            <w:pPr>
              <w:spacing w:before="120" w:after="12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82C58">
              <w:rPr>
                <w:rFonts w:ascii="Times New Roman" w:eastAsia="FangSong" w:hAnsi="Times New Roman" w:cs="Times New Roman"/>
                <w:sz w:val="24"/>
                <w:szCs w:val="24"/>
              </w:rPr>
              <w:t>15.43%</w:t>
            </w:r>
          </w:p>
        </w:tc>
        <w:tc>
          <w:tcPr>
            <w:tcW w:w="1560" w:type="dxa"/>
          </w:tcPr>
          <w:p w14:paraId="43793690" w14:textId="77777777" w:rsidR="00B82B53" w:rsidRPr="00A82C58" w:rsidRDefault="00B82B53" w:rsidP="00991FCB">
            <w:pPr>
              <w:spacing w:before="120" w:after="12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82C58">
              <w:rPr>
                <w:rFonts w:ascii="Times New Roman" w:eastAsia="FangSong" w:hAnsi="Times New Roman" w:cs="Times New Roman"/>
                <w:sz w:val="24"/>
                <w:szCs w:val="24"/>
              </w:rPr>
              <w:t>15.50%</w:t>
            </w:r>
          </w:p>
        </w:tc>
        <w:tc>
          <w:tcPr>
            <w:tcW w:w="1560" w:type="dxa"/>
          </w:tcPr>
          <w:p w14:paraId="1C2EFDC5" w14:textId="77777777" w:rsidR="00B82B53" w:rsidRPr="00A82C58" w:rsidRDefault="00B82B53" w:rsidP="00991FCB">
            <w:pPr>
              <w:spacing w:before="120" w:after="12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82C58">
              <w:rPr>
                <w:rFonts w:ascii="Times New Roman" w:eastAsia="FangSong" w:hAnsi="Times New Roman" w:cs="Times New Roman"/>
                <w:sz w:val="24"/>
                <w:szCs w:val="24"/>
              </w:rPr>
              <w:t>15.11%</w:t>
            </w:r>
          </w:p>
        </w:tc>
        <w:tc>
          <w:tcPr>
            <w:tcW w:w="1560" w:type="dxa"/>
          </w:tcPr>
          <w:p w14:paraId="51CA1EAB" w14:textId="77777777" w:rsidR="00B82B53" w:rsidRPr="00A82C58" w:rsidRDefault="00B82B53" w:rsidP="00991FCB">
            <w:pPr>
              <w:spacing w:before="120" w:after="12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82C58">
              <w:rPr>
                <w:rFonts w:ascii="Times New Roman" w:eastAsia="FangSong" w:hAnsi="Times New Roman" w:cs="Times New Roman"/>
                <w:sz w:val="24"/>
                <w:szCs w:val="24"/>
              </w:rPr>
              <w:t>13.97%</w:t>
            </w:r>
          </w:p>
        </w:tc>
        <w:tc>
          <w:tcPr>
            <w:tcW w:w="1560" w:type="dxa"/>
          </w:tcPr>
          <w:p w14:paraId="5207777D" w14:textId="77777777" w:rsidR="00B82B53" w:rsidRPr="00A82C58" w:rsidRDefault="00B82B53" w:rsidP="00991FCB">
            <w:pPr>
              <w:spacing w:before="120" w:after="12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A82C58">
              <w:rPr>
                <w:rFonts w:ascii="Times New Roman" w:eastAsia="FangSong" w:hAnsi="Times New Roman" w:cs="Times New Roman"/>
                <w:sz w:val="24"/>
                <w:szCs w:val="24"/>
              </w:rPr>
              <w:t>10.38%</w:t>
            </w:r>
          </w:p>
        </w:tc>
      </w:tr>
    </w:tbl>
    <w:p w14:paraId="09930857" w14:textId="06EB58CD" w:rsidR="00536371" w:rsidRPr="00A82C58" w:rsidRDefault="003162C3" w:rsidP="00FF1DCE">
      <w:pPr>
        <w:spacing w:before="120" w:after="120" w:line="240" w:lineRule="auto"/>
        <w:rPr>
          <w:rFonts w:ascii="Times New Roman" w:eastAsia="FangSong" w:hAnsi="Times New Roman" w:cs="Times New Roman"/>
        </w:rPr>
      </w:pPr>
      <w:r>
        <w:rPr>
          <w:rFonts w:ascii="Times New Roman" w:eastAsia="FangSong" w:hAnsi="Times New Roman" w:cs="Times New Roman" w:hint="eastAsia"/>
          <w:b/>
          <w:bCs/>
          <w:sz w:val="24"/>
          <w:szCs w:val="24"/>
        </w:rPr>
        <w:t>指标二</w:t>
      </w:r>
      <w:r w:rsidR="00256077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的</w:t>
      </w:r>
      <w:r w:rsidR="00256077">
        <w:rPr>
          <w:rFonts w:ascii="Times New Roman" w:eastAsia="FangSong" w:hAnsi="Times New Roman" w:cs="Times New Roman" w:hint="eastAsia"/>
          <w:b/>
          <w:bCs/>
          <w:sz w:val="24"/>
          <w:szCs w:val="24"/>
        </w:rPr>
        <w:t>量度</w:t>
      </w:r>
    </w:p>
    <w:p w14:paraId="417C464B" w14:textId="546004C1" w:rsidR="00A82C58" w:rsidRPr="00A82C58" w:rsidRDefault="00A82C58" w:rsidP="00A82C58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表中的百分比是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通过辍学</w:t>
      </w:r>
      <w:r w:rsidR="002F617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而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退出特殊教育的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14-21 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岁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IEP 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学生人数</w:t>
      </w: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除以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分母中离开高中的所有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14-21 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岁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IEP 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学生人数</w:t>
      </w: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</w:p>
    <w:p w14:paraId="70F315DF" w14:textId="16DB4522" w:rsidR="00920523" w:rsidRPr="00A82C58" w:rsidRDefault="00A82C58" w:rsidP="00A82C58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“</w:t>
      </w:r>
      <w:r w:rsidR="001361C8" w:rsidRP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离开高中</w:t>
      </w: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”是指</w:t>
      </w:r>
      <w:r w:rsidR="002F617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</w:t>
      </w: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：</w:t>
      </w:r>
      <w:r w:rsidR="00920523" w:rsidRPr="00A82C58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25BF5092" w14:textId="2373770E" w:rsidR="00A82C58" w:rsidRPr="00A82C58" w:rsidRDefault="00536371" w:rsidP="00A82C58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82C58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(a) 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毕业并获得普通高中文凭</w:t>
      </w:r>
      <w:r w:rsid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；</w:t>
      </w:r>
      <w:r w:rsidR="00A82C58"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</w:t>
      </w:r>
    </w:p>
    <w:p w14:paraId="3782B0CE" w14:textId="1FAB0C6F" w:rsidR="00A82C58" w:rsidRPr="00A82C58" w:rsidRDefault="00A82C58" w:rsidP="00A82C58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82C58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(b) </w:t>
      </w: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收到证书</w:t>
      </w:r>
      <w:r w:rsid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；</w:t>
      </w: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</w:t>
      </w:r>
    </w:p>
    <w:p w14:paraId="2BC5986B" w14:textId="6F2BBD67" w:rsidR="00A82C58" w:rsidRPr="00A82C58" w:rsidRDefault="00A82C58" w:rsidP="00A82C58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82C58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(c) </w:t>
      </w: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达到年龄</w:t>
      </w:r>
      <w:r w:rsidR="002F617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限制</w:t>
      </w:r>
      <w:r w:rsid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；</w:t>
      </w: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</w:t>
      </w:r>
    </w:p>
    <w:p w14:paraId="62E49011" w14:textId="415AE17A" w:rsidR="00536371" w:rsidRPr="00A82C58" w:rsidRDefault="00A82C58" w:rsidP="00A82C58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A82C58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(d) </w:t>
      </w:r>
      <w:r w:rsidR="001361C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缀学</w:t>
      </w:r>
      <w:r w:rsidRPr="00A82C58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</w:p>
    <w:p w14:paraId="478EDDF5" w14:textId="31D351E1" w:rsidR="00EC2946" w:rsidRDefault="00EC2946" w:rsidP="00FF1DCE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</w:p>
    <w:p w14:paraId="113D6EED" w14:textId="77777777" w:rsidR="008257BC" w:rsidRPr="008257BC" w:rsidRDefault="008257BC" w:rsidP="008257BC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8257BC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建议：</w:t>
      </w:r>
    </w:p>
    <w:p w14:paraId="7CD543E6" w14:textId="77777777" w:rsidR="008257BC" w:rsidRPr="008257BC" w:rsidRDefault="008257BC" w:rsidP="008257BC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8257BC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基线：</w:t>
      </w:r>
      <w:r w:rsidRPr="008257BC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13.97%</w:t>
      </w:r>
      <w:r w:rsidRPr="008257BC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（与</w:t>
      </w:r>
      <w:r w:rsidRPr="008257BC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2019</w:t>
      </w:r>
      <w:r w:rsidRPr="008257BC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年相同）</w:t>
      </w:r>
    </w:p>
    <w:p w14:paraId="1C9ACB8A" w14:textId="77777777" w:rsidR="008257BC" w:rsidRPr="008257BC" w:rsidRDefault="008257BC" w:rsidP="008257BC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8257BC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目标：一直到</w:t>
      </w:r>
      <w:r w:rsidRPr="008257BC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2025</w:t>
      </w:r>
      <w:r w:rsidRPr="008257BC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财年，每年下降</w:t>
      </w:r>
      <w:r w:rsidRPr="008257BC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0.5% </w:t>
      </w:r>
    </w:p>
    <w:p w14:paraId="12F8F836" w14:textId="2BD4A3F3" w:rsidR="00687952" w:rsidRDefault="009B7F87" w:rsidP="00FF1DCE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9B7F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lastRenderedPageBreak/>
        <w:t>我们使用基线作为起点，并将其他年份的数据与基线年的数据进行比较。由于大流行，</w:t>
      </w:r>
      <w:r w:rsidRPr="009B7F87">
        <w:rPr>
          <w:rFonts w:ascii="Times New Roman" w:eastAsia="FangSong" w:hAnsi="Times New Roman" w:cs="Times New Roman"/>
          <w:sz w:val="24"/>
          <w:szCs w:val="24"/>
          <w:lang w:eastAsia="zh-CN"/>
        </w:rPr>
        <w:t>OSEP</w:t>
      </w:r>
      <w:r w:rsidRPr="009B7F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允许各州使用</w:t>
      </w:r>
      <w:r w:rsidRPr="009B7F87">
        <w:rPr>
          <w:rFonts w:ascii="Times New Roman" w:eastAsia="FangSong" w:hAnsi="Times New Roman" w:cs="Times New Roman"/>
          <w:sz w:val="24"/>
          <w:szCs w:val="24"/>
          <w:lang w:eastAsia="zh-CN"/>
        </w:rPr>
        <w:t>2019</w:t>
      </w:r>
      <w:r w:rsidRPr="009B7F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年的辍学率（</w:t>
      </w:r>
      <w:r w:rsidRPr="009B7F87">
        <w:rPr>
          <w:rFonts w:ascii="Times New Roman" w:eastAsia="FangSong" w:hAnsi="Times New Roman" w:cs="Times New Roman"/>
          <w:sz w:val="24"/>
          <w:szCs w:val="24"/>
          <w:lang w:eastAsia="zh-CN"/>
        </w:rPr>
        <w:t>13.97%</w:t>
      </w:r>
      <w:r w:rsidRPr="009B7F87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）作为基线。</w:t>
      </w:r>
    </w:p>
    <w:p w14:paraId="46528A5F" w14:textId="77777777" w:rsidR="00687952" w:rsidRPr="00A82C58" w:rsidRDefault="00687952" w:rsidP="00FF1DCE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</w:p>
    <w:p w14:paraId="64E3649E" w14:textId="2C696548" w:rsidR="00EC2946" w:rsidRDefault="00A82C58" w:rsidP="00EC2946">
      <w:pPr>
        <w:rPr>
          <w:rFonts w:ascii="Times New Roman" w:eastAsia="FangSong" w:hAnsi="Times New Roman" w:cs="Times New Roman"/>
          <w:b/>
          <w:bCs/>
          <w:szCs w:val="24"/>
          <w:lang w:eastAsia="zh-CN"/>
        </w:rPr>
      </w:pPr>
      <w:r w:rsidRPr="00FF7026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>了解有关指标</w:t>
      </w:r>
      <w:r w:rsidRPr="00FF7026">
        <w:rPr>
          <w:rFonts w:ascii="Times New Roman" w:eastAsia="FangSong" w:hAnsi="Times New Roman" w:cs="Times New Roman"/>
          <w:b/>
          <w:bCs/>
          <w:szCs w:val="24"/>
          <w:lang w:eastAsia="zh-CN"/>
        </w:rPr>
        <w:t xml:space="preserve"> #2 </w:t>
      </w:r>
      <w:r w:rsidRPr="00FF7026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>的更多信息：</w:t>
      </w:r>
      <w:r w:rsidR="00FF7026" w:rsidRPr="00A82C58">
        <w:rPr>
          <w:rFonts w:ascii="Times New Roman" w:eastAsia="FangSong" w:hAnsi="Times New Roman" w:cs="Times New Roman"/>
          <w:b/>
          <w:bCs/>
          <w:szCs w:val="24"/>
          <w:lang w:eastAsia="zh-CN"/>
        </w:rPr>
        <w:t xml:space="preserve"> </w:t>
      </w:r>
    </w:p>
    <w:p w14:paraId="06FA8980" w14:textId="48358C57" w:rsidR="008A026A" w:rsidRPr="008A026A" w:rsidRDefault="00376E11" w:rsidP="008A026A">
      <w:pPr>
        <w:pStyle w:val="ListParagraph"/>
        <w:numPr>
          <w:ilvl w:val="0"/>
          <w:numId w:val="8"/>
        </w:numPr>
        <w:rPr>
          <w:rFonts w:ascii="Microsoft JhengHei" w:eastAsia="Microsoft JhengHei" w:hAnsi="Microsoft JhengHei" w:cs="Microsoft JhengHei"/>
          <w:color w:val="0070C0"/>
          <w:u w:val="single"/>
        </w:rPr>
      </w:pPr>
      <w:hyperlink r:id="rId11" w:history="1">
        <w:r w:rsidR="00813128" w:rsidRPr="00DF0F26">
          <w:rPr>
            <w:rStyle w:val="Hyperlink"/>
            <w:rFonts w:ascii="MS Gothic" w:eastAsia="MS Gothic" w:hAnsi="MS Gothic" w:cs="MS Gothic" w:hint="eastAsia"/>
          </w:rPr>
          <w:t>指</w:t>
        </w:r>
        <w:r w:rsidR="00813128" w:rsidRPr="00DF0F26">
          <w:rPr>
            <w:rStyle w:val="Hyperlink"/>
            <w:rFonts w:ascii="Microsoft JhengHei" w:eastAsia="Microsoft JhengHei" w:hAnsi="Microsoft JhengHei" w:cs="Microsoft JhengHei" w:hint="eastAsia"/>
          </w:rPr>
          <w:t>标2</w:t>
        </w:r>
        <w:r w:rsidR="00813128" w:rsidRPr="00DF0F26">
          <w:rPr>
            <w:rStyle w:val="Hyperlink"/>
            <w:rFonts w:ascii="MS Gothic" w:eastAsia="MS Gothic" w:hAnsi="MS Gothic" w:cs="MS Gothic" w:hint="eastAsia"/>
          </w:rPr>
          <w:t>的</w:t>
        </w:r>
        <w:r w:rsidR="00813128" w:rsidRPr="00DF0F26">
          <w:rPr>
            <w:rStyle w:val="Hyperlink"/>
            <w:rFonts w:ascii="Microsoft JhengHei" w:eastAsia="Microsoft JhengHei" w:hAnsi="Microsoft JhengHei" w:cs="Microsoft JhengHei" w:hint="eastAsia"/>
          </w:rPr>
          <w:t>简报</w:t>
        </w:r>
      </w:hyperlink>
      <w:r w:rsidR="008A026A" w:rsidRPr="008A026A">
        <w:rPr>
          <w:rFonts w:ascii="Microsoft JhengHei" w:eastAsia="Microsoft JhengHei" w:hAnsi="Microsoft JhengHei" w:cs="Microsoft JhengHei" w:hint="eastAsia"/>
          <w:color w:val="0070C0"/>
          <w:u w:val="single"/>
        </w:rPr>
        <w:t xml:space="preserve"> </w:t>
      </w:r>
    </w:p>
    <w:p w14:paraId="64027835" w14:textId="7E50D3A0" w:rsidR="00EC2946" w:rsidRPr="00A82C58" w:rsidRDefault="00EC2946" w:rsidP="00F57743">
      <w:pPr>
        <w:spacing w:after="0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 w:rsidRPr="00A82C58">
        <w:rPr>
          <w:rFonts w:ascii="Times New Roman" w:eastAsia="FangSong" w:hAnsi="Times New Roman" w:cs="Times New Roman"/>
          <w:b/>
          <w:bCs/>
          <w:szCs w:val="24"/>
          <w:lang w:eastAsia="zh-CN"/>
        </w:rPr>
        <w:t xml:space="preserve">       </w:t>
      </w:r>
    </w:p>
    <w:sectPr w:rsidR="00EC2946" w:rsidRPr="00A82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EC086" w14:textId="77777777" w:rsidR="00E67382" w:rsidRDefault="00E67382">
      <w:pPr>
        <w:spacing w:after="0" w:line="240" w:lineRule="auto"/>
      </w:pPr>
      <w:r>
        <w:separator/>
      </w:r>
    </w:p>
  </w:endnote>
  <w:endnote w:type="continuationSeparator" w:id="0">
    <w:p w14:paraId="5768D5EA" w14:textId="77777777" w:rsidR="00E67382" w:rsidRDefault="00E67382">
      <w:pPr>
        <w:spacing w:after="0" w:line="240" w:lineRule="auto"/>
      </w:pPr>
      <w:r>
        <w:continuationSeparator/>
      </w:r>
    </w:p>
  </w:endnote>
  <w:endnote w:type="continuationNotice" w:id="1">
    <w:p w14:paraId="0BE13E7D" w14:textId="77777777" w:rsidR="00E67382" w:rsidRDefault="00E67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89FED" w14:textId="77777777" w:rsidR="00E67382" w:rsidRDefault="00E67382">
      <w:pPr>
        <w:spacing w:after="0" w:line="240" w:lineRule="auto"/>
      </w:pPr>
      <w:r>
        <w:separator/>
      </w:r>
    </w:p>
  </w:footnote>
  <w:footnote w:type="continuationSeparator" w:id="0">
    <w:p w14:paraId="3AF93802" w14:textId="77777777" w:rsidR="00E67382" w:rsidRDefault="00E67382">
      <w:pPr>
        <w:spacing w:after="0" w:line="240" w:lineRule="auto"/>
      </w:pPr>
      <w:r>
        <w:continuationSeparator/>
      </w:r>
    </w:p>
  </w:footnote>
  <w:footnote w:type="continuationNotice" w:id="1">
    <w:p w14:paraId="7505A431" w14:textId="77777777" w:rsidR="00E67382" w:rsidRDefault="00E673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339E"/>
    <w:multiLevelType w:val="hybridMultilevel"/>
    <w:tmpl w:val="CE460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5F61"/>
    <w:multiLevelType w:val="hybridMultilevel"/>
    <w:tmpl w:val="9DDEB6F0"/>
    <w:lvl w:ilvl="0" w:tplc="9E82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7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8A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A3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E2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C3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6C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4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6C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5F364A"/>
    <w:multiLevelType w:val="hybridMultilevel"/>
    <w:tmpl w:val="D4E2899E"/>
    <w:lvl w:ilvl="0" w:tplc="051EB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A81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2E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0D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3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8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2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4E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42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FF6066"/>
    <w:multiLevelType w:val="hybridMultilevel"/>
    <w:tmpl w:val="C606846E"/>
    <w:lvl w:ilvl="0" w:tplc="129E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A6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00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3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4F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E5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65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C9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C40AE8"/>
    <w:multiLevelType w:val="hybridMultilevel"/>
    <w:tmpl w:val="405ED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E72B07"/>
    <w:multiLevelType w:val="hybridMultilevel"/>
    <w:tmpl w:val="DA6CDBA8"/>
    <w:lvl w:ilvl="0" w:tplc="3FB675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C8D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AA9F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2C276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C2F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5A53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3E645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2A7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386F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58D358B6"/>
    <w:multiLevelType w:val="hybridMultilevel"/>
    <w:tmpl w:val="5966186A"/>
    <w:lvl w:ilvl="0" w:tplc="EDC2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3179A"/>
    <w:multiLevelType w:val="hybridMultilevel"/>
    <w:tmpl w:val="3FC241A8"/>
    <w:lvl w:ilvl="0" w:tplc="53C88A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B2E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48B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0853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7CCD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84E1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49454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AE2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A63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8"/>
    <w:rsid w:val="0000158E"/>
    <w:rsid w:val="000067DD"/>
    <w:rsid w:val="00016343"/>
    <w:rsid w:val="000244FE"/>
    <w:rsid w:val="00046F66"/>
    <w:rsid w:val="00055696"/>
    <w:rsid w:val="00062E69"/>
    <w:rsid w:val="00073CF6"/>
    <w:rsid w:val="000742F2"/>
    <w:rsid w:val="000D1CD0"/>
    <w:rsid w:val="000E31DE"/>
    <w:rsid w:val="000F1B3C"/>
    <w:rsid w:val="001361C8"/>
    <w:rsid w:val="00152D1E"/>
    <w:rsid w:val="00157CEC"/>
    <w:rsid w:val="001621DA"/>
    <w:rsid w:val="00182442"/>
    <w:rsid w:val="00190BAE"/>
    <w:rsid w:val="00195051"/>
    <w:rsid w:val="001952AB"/>
    <w:rsid w:val="001B43A8"/>
    <w:rsid w:val="001C2912"/>
    <w:rsid w:val="001E3400"/>
    <w:rsid w:val="00256077"/>
    <w:rsid w:val="002A3B1F"/>
    <w:rsid w:val="002D5C05"/>
    <w:rsid w:val="002E7DA2"/>
    <w:rsid w:val="002F04F1"/>
    <w:rsid w:val="002F6178"/>
    <w:rsid w:val="00305C06"/>
    <w:rsid w:val="003115B4"/>
    <w:rsid w:val="003162C3"/>
    <w:rsid w:val="00347234"/>
    <w:rsid w:val="0036098A"/>
    <w:rsid w:val="00376E11"/>
    <w:rsid w:val="003863F3"/>
    <w:rsid w:val="00391B13"/>
    <w:rsid w:val="0039585F"/>
    <w:rsid w:val="003C3D4D"/>
    <w:rsid w:val="003D235F"/>
    <w:rsid w:val="003E24C0"/>
    <w:rsid w:val="003F6EE1"/>
    <w:rsid w:val="004022C0"/>
    <w:rsid w:val="0040638B"/>
    <w:rsid w:val="004610F0"/>
    <w:rsid w:val="0047213C"/>
    <w:rsid w:val="004825AA"/>
    <w:rsid w:val="00491A21"/>
    <w:rsid w:val="00492795"/>
    <w:rsid w:val="004B7130"/>
    <w:rsid w:val="004D5369"/>
    <w:rsid w:val="004E02D3"/>
    <w:rsid w:val="005018A9"/>
    <w:rsid w:val="005127CF"/>
    <w:rsid w:val="005249B8"/>
    <w:rsid w:val="0052707A"/>
    <w:rsid w:val="0053393A"/>
    <w:rsid w:val="00536371"/>
    <w:rsid w:val="00543E5C"/>
    <w:rsid w:val="00571996"/>
    <w:rsid w:val="005A7F74"/>
    <w:rsid w:val="005B307D"/>
    <w:rsid w:val="005B64E1"/>
    <w:rsid w:val="005E03F0"/>
    <w:rsid w:val="005E0F9B"/>
    <w:rsid w:val="005E403A"/>
    <w:rsid w:val="005F097C"/>
    <w:rsid w:val="006171AD"/>
    <w:rsid w:val="0062629D"/>
    <w:rsid w:val="00633142"/>
    <w:rsid w:val="00633E86"/>
    <w:rsid w:val="006468BF"/>
    <w:rsid w:val="00671D91"/>
    <w:rsid w:val="006876A6"/>
    <w:rsid w:val="00687952"/>
    <w:rsid w:val="00687F0C"/>
    <w:rsid w:val="006C233D"/>
    <w:rsid w:val="00703F2B"/>
    <w:rsid w:val="00721430"/>
    <w:rsid w:val="00744196"/>
    <w:rsid w:val="00752562"/>
    <w:rsid w:val="00760C45"/>
    <w:rsid w:val="00761445"/>
    <w:rsid w:val="00770280"/>
    <w:rsid w:val="007A109B"/>
    <w:rsid w:val="007B5C6F"/>
    <w:rsid w:val="007C4D0D"/>
    <w:rsid w:val="007C5DE2"/>
    <w:rsid w:val="00813128"/>
    <w:rsid w:val="008257BC"/>
    <w:rsid w:val="00841727"/>
    <w:rsid w:val="00844E1A"/>
    <w:rsid w:val="00851777"/>
    <w:rsid w:val="00881218"/>
    <w:rsid w:val="00892D13"/>
    <w:rsid w:val="008A026A"/>
    <w:rsid w:val="008A151D"/>
    <w:rsid w:val="008A1CB6"/>
    <w:rsid w:val="008C40D1"/>
    <w:rsid w:val="008C4D20"/>
    <w:rsid w:val="008C6E18"/>
    <w:rsid w:val="008D1563"/>
    <w:rsid w:val="009134EE"/>
    <w:rsid w:val="00920523"/>
    <w:rsid w:val="00925B1D"/>
    <w:rsid w:val="00936F9F"/>
    <w:rsid w:val="009532FA"/>
    <w:rsid w:val="009772F4"/>
    <w:rsid w:val="00980716"/>
    <w:rsid w:val="0098591C"/>
    <w:rsid w:val="00991BA3"/>
    <w:rsid w:val="009B7F87"/>
    <w:rsid w:val="009E2DD8"/>
    <w:rsid w:val="00A3472F"/>
    <w:rsid w:val="00A6427B"/>
    <w:rsid w:val="00A64F5F"/>
    <w:rsid w:val="00A752E2"/>
    <w:rsid w:val="00A80ED2"/>
    <w:rsid w:val="00A82C58"/>
    <w:rsid w:val="00AA32B8"/>
    <w:rsid w:val="00AB5C37"/>
    <w:rsid w:val="00AC7026"/>
    <w:rsid w:val="00B551C7"/>
    <w:rsid w:val="00B66AD7"/>
    <w:rsid w:val="00B82B53"/>
    <w:rsid w:val="00BA68D7"/>
    <w:rsid w:val="00BD6068"/>
    <w:rsid w:val="00BF15C9"/>
    <w:rsid w:val="00C03536"/>
    <w:rsid w:val="00C17FD1"/>
    <w:rsid w:val="00C315AC"/>
    <w:rsid w:val="00C366F7"/>
    <w:rsid w:val="00C45504"/>
    <w:rsid w:val="00C55208"/>
    <w:rsid w:val="00C74FD6"/>
    <w:rsid w:val="00CA49F5"/>
    <w:rsid w:val="00CD6CD9"/>
    <w:rsid w:val="00CE30DA"/>
    <w:rsid w:val="00CE6A4E"/>
    <w:rsid w:val="00D00268"/>
    <w:rsid w:val="00D1117A"/>
    <w:rsid w:val="00D20817"/>
    <w:rsid w:val="00D4007B"/>
    <w:rsid w:val="00D55A56"/>
    <w:rsid w:val="00D63E8C"/>
    <w:rsid w:val="00D72E5A"/>
    <w:rsid w:val="00D8223B"/>
    <w:rsid w:val="00D8587B"/>
    <w:rsid w:val="00DB4B59"/>
    <w:rsid w:val="00DB5CBC"/>
    <w:rsid w:val="00DE4019"/>
    <w:rsid w:val="00DE417D"/>
    <w:rsid w:val="00DF0F26"/>
    <w:rsid w:val="00DF3220"/>
    <w:rsid w:val="00E23A75"/>
    <w:rsid w:val="00E42B8E"/>
    <w:rsid w:val="00E67382"/>
    <w:rsid w:val="00E82DDA"/>
    <w:rsid w:val="00EC2702"/>
    <w:rsid w:val="00EC2946"/>
    <w:rsid w:val="00F0741F"/>
    <w:rsid w:val="00F10BEA"/>
    <w:rsid w:val="00F12844"/>
    <w:rsid w:val="00F25657"/>
    <w:rsid w:val="00F465E7"/>
    <w:rsid w:val="00F4760B"/>
    <w:rsid w:val="00F57743"/>
    <w:rsid w:val="00F70293"/>
    <w:rsid w:val="00FC0C79"/>
    <w:rsid w:val="00FC3779"/>
    <w:rsid w:val="00FE226B"/>
    <w:rsid w:val="00FE2CA3"/>
    <w:rsid w:val="00FE529A"/>
    <w:rsid w:val="00FF1DCE"/>
    <w:rsid w:val="00FF2298"/>
    <w:rsid w:val="00FF7026"/>
    <w:rsid w:val="01C4A486"/>
    <w:rsid w:val="02C491A2"/>
    <w:rsid w:val="05F0D53F"/>
    <w:rsid w:val="07ED1D0F"/>
    <w:rsid w:val="089C3257"/>
    <w:rsid w:val="08CAB8A1"/>
    <w:rsid w:val="095F7BC3"/>
    <w:rsid w:val="0B1575CC"/>
    <w:rsid w:val="0B2F622F"/>
    <w:rsid w:val="0B525E6F"/>
    <w:rsid w:val="0E8EE123"/>
    <w:rsid w:val="0EC0AF39"/>
    <w:rsid w:val="1050627D"/>
    <w:rsid w:val="1074D277"/>
    <w:rsid w:val="10F7DA0E"/>
    <w:rsid w:val="126F06FC"/>
    <w:rsid w:val="15A095D4"/>
    <w:rsid w:val="16539E8B"/>
    <w:rsid w:val="1B706FBF"/>
    <w:rsid w:val="1CF2B4C9"/>
    <w:rsid w:val="1D38030E"/>
    <w:rsid w:val="1DB6CDBC"/>
    <w:rsid w:val="1DC506D6"/>
    <w:rsid w:val="1DE5412A"/>
    <w:rsid w:val="1E4038D3"/>
    <w:rsid w:val="202AB885"/>
    <w:rsid w:val="20B0AEF7"/>
    <w:rsid w:val="2105E62E"/>
    <w:rsid w:val="220B7431"/>
    <w:rsid w:val="222EB428"/>
    <w:rsid w:val="23C11BD7"/>
    <w:rsid w:val="244657F3"/>
    <w:rsid w:val="24A2793B"/>
    <w:rsid w:val="269FD81A"/>
    <w:rsid w:val="26C5BCF7"/>
    <w:rsid w:val="26DEBA74"/>
    <w:rsid w:val="27B9DE2C"/>
    <w:rsid w:val="2A83FA84"/>
    <w:rsid w:val="2B992E1A"/>
    <w:rsid w:val="2BC653D5"/>
    <w:rsid w:val="2BF0F23C"/>
    <w:rsid w:val="2C7A567C"/>
    <w:rsid w:val="2E0C73EA"/>
    <w:rsid w:val="2EC6F6E5"/>
    <w:rsid w:val="30F1ACCC"/>
    <w:rsid w:val="311A3276"/>
    <w:rsid w:val="3195E3B5"/>
    <w:rsid w:val="326F7794"/>
    <w:rsid w:val="3349AD83"/>
    <w:rsid w:val="33806A97"/>
    <w:rsid w:val="33E0C939"/>
    <w:rsid w:val="3438D93C"/>
    <w:rsid w:val="3492F1A1"/>
    <w:rsid w:val="36C7D20E"/>
    <w:rsid w:val="36F3E5D2"/>
    <w:rsid w:val="3887105E"/>
    <w:rsid w:val="392FD37F"/>
    <w:rsid w:val="39AD07FF"/>
    <w:rsid w:val="3A475F9D"/>
    <w:rsid w:val="3A7A8979"/>
    <w:rsid w:val="3CC20B2A"/>
    <w:rsid w:val="3CC654CE"/>
    <w:rsid w:val="3CEF5C20"/>
    <w:rsid w:val="3D5052F3"/>
    <w:rsid w:val="3E6F7BDA"/>
    <w:rsid w:val="3EE53306"/>
    <w:rsid w:val="3F3464EB"/>
    <w:rsid w:val="407E08E1"/>
    <w:rsid w:val="419EC2E2"/>
    <w:rsid w:val="41FBE1E3"/>
    <w:rsid w:val="4451E01C"/>
    <w:rsid w:val="462056D2"/>
    <w:rsid w:val="465DF47B"/>
    <w:rsid w:val="47B14B55"/>
    <w:rsid w:val="47F7202C"/>
    <w:rsid w:val="48455BFA"/>
    <w:rsid w:val="496401EC"/>
    <w:rsid w:val="4BCC3FE8"/>
    <w:rsid w:val="4C6435CB"/>
    <w:rsid w:val="4DD03B8B"/>
    <w:rsid w:val="4EE14540"/>
    <w:rsid w:val="4FEBA552"/>
    <w:rsid w:val="50F2EE74"/>
    <w:rsid w:val="51158A54"/>
    <w:rsid w:val="51CFD5C2"/>
    <w:rsid w:val="51F3AB6C"/>
    <w:rsid w:val="5225DA3B"/>
    <w:rsid w:val="54C3A982"/>
    <w:rsid w:val="565892BD"/>
    <w:rsid w:val="56D86026"/>
    <w:rsid w:val="57EAB071"/>
    <w:rsid w:val="58366C26"/>
    <w:rsid w:val="592F8448"/>
    <w:rsid w:val="59CF46AE"/>
    <w:rsid w:val="5A0F4387"/>
    <w:rsid w:val="5A80A85D"/>
    <w:rsid w:val="5C3B3F05"/>
    <w:rsid w:val="5DB8491F"/>
    <w:rsid w:val="623E172F"/>
    <w:rsid w:val="63416076"/>
    <w:rsid w:val="63F5631D"/>
    <w:rsid w:val="65834B03"/>
    <w:rsid w:val="672E5DFD"/>
    <w:rsid w:val="68103377"/>
    <w:rsid w:val="68392BFB"/>
    <w:rsid w:val="69A1D54A"/>
    <w:rsid w:val="69AC03D8"/>
    <w:rsid w:val="6A4B7C44"/>
    <w:rsid w:val="6A64A4A1"/>
    <w:rsid w:val="6C3E1F9E"/>
    <w:rsid w:val="6CD9760C"/>
    <w:rsid w:val="6CE7C55F"/>
    <w:rsid w:val="6E73D648"/>
    <w:rsid w:val="704127F4"/>
    <w:rsid w:val="7193BED2"/>
    <w:rsid w:val="734E4058"/>
    <w:rsid w:val="74459BF3"/>
    <w:rsid w:val="758DAEAA"/>
    <w:rsid w:val="76E33651"/>
    <w:rsid w:val="78CDBD33"/>
    <w:rsid w:val="79F16566"/>
    <w:rsid w:val="7BAFCBBA"/>
    <w:rsid w:val="7BCEA0E1"/>
    <w:rsid w:val="7EE1E9A1"/>
    <w:rsid w:val="7FEF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F2B59"/>
  <w15:chartTrackingRefBased/>
  <w15:docId w15:val="{F77FDD04-A78A-4246-B535-371A3914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4">
    <w:name w:val="Grid Table 4"/>
    <w:basedOn w:val="TableNormal"/>
    <w:uiPriority w:val="49"/>
    <w:rsid w:val="00CE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7A109B"/>
  </w:style>
  <w:style w:type="character" w:customStyle="1" w:styleId="eop">
    <w:name w:val="eop"/>
    <w:basedOn w:val="DefaultParagraphFont"/>
    <w:rsid w:val="007A10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F0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2/indicator2-slides-chinese.ppt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e.mass.edu/infoservices/data/si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4BC81-E520-410A-980C-63E0F20BA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6ABE1-C03C-4386-82CB-D6B285555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1D51D-482F-4B53-B4BA-FD6556A0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475</Characters>
  <Application>Microsoft Office Word</Application>
  <DocSecurity>0</DocSecurity>
  <Lines>36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2: Dropout Rate for Students with IEPs — Chinese</dc:title>
  <dc:subject/>
  <dc:creator>DESE</dc:creator>
  <cp:keywords/>
  <dc:description/>
  <cp:lastModifiedBy>Zou, Dong (EOE)</cp:lastModifiedBy>
  <cp:revision>7</cp:revision>
  <cp:lastPrinted>2021-10-06T16:21:00Z</cp:lastPrinted>
  <dcterms:created xsi:type="dcterms:W3CDTF">2023-01-09T12:51:00Z</dcterms:created>
  <dcterms:modified xsi:type="dcterms:W3CDTF">2023-01-09T15:27:00Z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9 2023 12:00AM</vt:lpwstr>
  </property>
</Properties>
</file>