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1E3E" w14:textId="494E0E0A" w:rsidR="00D8223B" w:rsidRPr="008F33B5" w:rsidRDefault="00D8223B" w:rsidP="009134EE">
      <w:pPr>
        <w:pStyle w:val="Heading1"/>
        <w:rPr>
          <w:b/>
          <w:bCs/>
        </w:rPr>
      </w:pPr>
      <w:r w:rsidRPr="008F33B5">
        <w:rPr>
          <w:b/>
          <w:bCs/>
        </w:rPr>
        <w:t>Endikatè 2: To Abandon pou Elèv ki gen IEPs yo</w:t>
      </w:r>
    </w:p>
    <w:p w14:paraId="13177FDE" w14:textId="77777777" w:rsidR="001B6EA2" w:rsidRPr="00EC2946" w:rsidRDefault="001B6EA2" w:rsidP="00EC2946"/>
    <w:p w14:paraId="3A86B4A5" w14:textId="7711248C" w:rsidR="003115B4" w:rsidRDefault="003115B4" w:rsidP="00FF1DCE">
      <w:pPr>
        <w:spacing w:before="120" w:after="120" w:line="240" w:lineRule="auto"/>
        <w:rPr>
          <w:rFonts w:eastAsiaTheme="minorEastAsia"/>
          <w:b/>
          <w:bCs/>
          <w:sz w:val="24"/>
          <w:szCs w:val="24"/>
        </w:rPr>
      </w:pPr>
      <w:r>
        <w:rPr>
          <w:rFonts w:eastAsiaTheme="minorEastAsia"/>
          <w:b/>
          <w:bCs/>
          <w:sz w:val="24"/>
          <w:szCs w:val="24"/>
        </w:rPr>
        <w:t>Kisa Endikatè 2 a ye?</w:t>
      </w:r>
    </w:p>
    <w:p w14:paraId="2F9208AB" w14:textId="6C03339C" w:rsidR="005F097C" w:rsidRDefault="58366C26" w:rsidP="00FF1DCE">
      <w:pPr>
        <w:spacing w:before="120" w:after="120" w:line="240" w:lineRule="auto"/>
        <w:rPr>
          <w:rFonts w:eastAsiaTheme="minorEastAsia"/>
          <w:sz w:val="24"/>
          <w:szCs w:val="24"/>
        </w:rPr>
      </w:pPr>
      <w:r>
        <w:rPr>
          <w:rFonts w:eastAsiaTheme="minorEastAsia"/>
          <w:sz w:val="24"/>
          <w:szCs w:val="24"/>
        </w:rPr>
        <w:t xml:space="preserve">Endikatè 2 a fè konnen pousantaj elèv ki gen IEP epi ki te abandone lekòl segondè. </w:t>
      </w:r>
      <w:bookmarkStart w:id="0" w:name="_Hlk82241042"/>
    </w:p>
    <w:p w14:paraId="669679F3" w14:textId="4E6B3C35" w:rsidR="00D8587B" w:rsidRPr="00D8587B" w:rsidRDefault="001E3400" w:rsidP="00FF1DCE">
      <w:pPr>
        <w:spacing w:before="120" w:after="120" w:line="240" w:lineRule="auto"/>
        <w:rPr>
          <w:rFonts w:ascii="Calibri" w:eastAsia="Calibri" w:hAnsi="Calibri" w:cs="Arial"/>
          <w:sz w:val="24"/>
          <w:szCs w:val="24"/>
        </w:rPr>
      </w:pPr>
      <w:r>
        <w:rPr>
          <w:rFonts w:ascii="Calibri" w:eastAsia="Calibri" w:hAnsi="Calibri" w:cs="Arial"/>
          <w:sz w:val="24"/>
          <w:szCs w:val="24"/>
        </w:rPr>
        <w:t xml:space="preserve">Done Endikatè 2 yo soti nan </w:t>
      </w:r>
      <w:hyperlink r:id="rId10" w:history="1">
        <w:r>
          <w:rPr>
            <w:rFonts w:ascii="Calibri" w:eastAsia="Calibri" w:hAnsi="Calibri" w:cs="Arial"/>
            <w:color w:val="0563C1"/>
            <w:sz w:val="24"/>
            <w:szCs w:val="24"/>
          </w:rPr>
          <w:t>Sistèm Jesyon Enfòmasyon sou Elèv (</w:t>
        </w:r>
        <w:r>
          <w:rPr>
            <w:rFonts w:ascii="Calibri" w:eastAsia="Calibri" w:hAnsi="Calibri" w:cs="Arial"/>
            <w:color w:val="0563C1"/>
            <w:sz w:val="24"/>
            <w:szCs w:val="24"/>
            <w:u w:val="single"/>
          </w:rPr>
          <w:t>Student Information Management System, SIMS</w:t>
        </w:r>
        <w:r>
          <w:rPr>
            <w:rFonts w:ascii="Calibri" w:eastAsia="Calibri" w:hAnsi="Calibri" w:cs="Arial"/>
            <w:color w:val="0563C1"/>
            <w:sz w:val="24"/>
            <w:szCs w:val="24"/>
          </w:rPr>
          <w:t>)</w:t>
        </w:r>
      </w:hyperlink>
      <w:r>
        <w:rPr>
          <w:rFonts w:ascii="Calibri" w:eastAsia="Calibri" w:hAnsi="Calibri" w:cs="Arial"/>
          <w:sz w:val="24"/>
          <w:szCs w:val="24"/>
        </w:rPr>
        <w:t xml:space="preserve"> ki nan Depatman Edikasyon Elemantè ak Segondè a (Department of Elementary and Secondary Education).</w:t>
      </w:r>
    </w:p>
    <w:bookmarkEnd w:id="0"/>
    <w:p w14:paraId="6A240837" w14:textId="7C2BA2A0" w:rsidR="00391B13" w:rsidRDefault="00391B13" w:rsidP="00FF1DCE">
      <w:pPr>
        <w:spacing w:before="120" w:after="120" w:line="240" w:lineRule="auto"/>
        <w:rPr>
          <w:rFonts w:eastAsiaTheme="minorEastAsia"/>
          <w:b/>
          <w:bCs/>
          <w:sz w:val="24"/>
          <w:szCs w:val="24"/>
        </w:rPr>
      </w:pPr>
      <w:r>
        <w:rPr>
          <w:rFonts w:eastAsiaTheme="minorEastAsia"/>
          <w:b/>
          <w:bCs/>
          <w:sz w:val="24"/>
          <w:szCs w:val="24"/>
        </w:rPr>
        <w:t>Poukisa Endikatè 2 a enpòtan?</w:t>
      </w:r>
    </w:p>
    <w:p w14:paraId="7DE770A3" w14:textId="46C037B6" w:rsidR="00391B13" w:rsidRPr="00391B13" w:rsidRDefault="00391B13" w:rsidP="00FF1DCE">
      <w:pPr>
        <w:spacing w:before="120" w:after="120" w:line="240" w:lineRule="auto"/>
        <w:rPr>
          <w:rFonts w:eastAsiaTheme="minorEastAsia"/>
          <w:sz w:val="24"/>
          <w:szCs w:val="24"/>
        </w:rPr>
      </w:pPr>
      <w:r>
        <w:rPr>
          <w:rFonts w:eastAsiaTheme="minorEastAsia"/>
          <w:sz w:val="24"/>
          <w:szCs w:val="24"/>
        </w:rPr>
        <w:t>Endikatè 2 an se yon fason pou evalye si Massachusetts ap atenn objektif li a, ki se, prepare tout elèv yo pou siksè apre yo fini ak lekòl segondè, nan ansèyman siperyè, nan travay, ak nan lavi chak jou yo.</w:t>
      </w:r>
    </w:p>
    <w:p w14:paraId="27733E4C" w14:textId="035C103C" w:rsidR="007A109B" w:rsidRDefault="007A109B" w:rsidP="00FF1DCE">
      <w:pPr>
        <w:spacing w:before="120" w:after="120" w:line="240" w:lineRule="auto"/>
        <w:rPr>
          <w:rFonts w:eastAsiaTheme="minorEastAsia"/>
          <w:b/>
          <w:bCs/>
          <w:sz w:val="24"/>
          <w:szCs w:val="24"/>
        </w:rPr>
      </w:pPr>
      <w:r>
        <w:rPr>
          <w:rFonts w:eastAsiaTheme="minorEastAsia"/>
          <w:b/>
          <w:bCs/>
          <w:sz w:val="24"/>
          <w:szCs w:val="24"/>
        </w:rPr>
        <w:t xml:space="preserve">Chanjman nan Rapò Endikatè 2 an </w:t>
      </w:r>
    </w:p>
    <w:p w14:paraId="0658E608" w14:textId="2634ABF1" w:rsidR="007A109B" w:rsidRDefault="00760C45" w:rsidP="00FF1DCE">
      <w:pPr>
        <w:spacing w:before="120" w:after="120" w:line="240" w:lineRule="auto"/>
        <w:rPr>
          <w:rFonts w:eastAsiaTheme="minorEastAsia"/>
          <w:sz w:val="24"/>
          <w:szCs w:val="24"/>
        </w:rPr>
      </w:pPr>
      <w:r>
        <w:rPr>
          <w:rFonts w:eastAsiaTheme="minorEastAsia"/>
          <w:sz w:val="24"/>
          <w:szCs w:val="24"/>
        </w:rPr>
        <w:t xml:space="preserve">Nan tan pase yo, Endikatè 2 an te fè konnen pousantaj elèv ki gen IEP men ki te abandone lekòl </w:t>
      </w:r>
      <w:r>
        <w:rPr>
          <w:rFonts w:eastAsiaTheme="minorEastAsia"/>
          <w:i/>
          <w:iCs/>
          <w:sz w:val="24"/>
          <w:szCs w:val="24"/>
        </w:rPr>
        <w:t>pa rapò ak kantite total elèv ki gen IEP ki te enskri nan lekòl segondè (Klas 9yèm jiska 12yèm ane) nan ane yo konsidere a.</w:t>
      </w:r>
      <w:r>
        <w:rPr>
          <w:rFonts w:eastAsiaTheme="minorEastAsia"/>
          <w:sz w:val="24"/>
          <w:szCs w:val="24"/>
        </w:rPr>
        <w:t xml:space="preserve"> </w:t>
      </w:r>
    </w:p>
    <w:p w14:paraId="495CF566" w14:textId="621A4105" w:rsidR="001B43A8" w:rsidRDefault="001621DA" w:rsidP="00844E1A">
      <w:pPr>
        <w:spacing w:before="120" w:after="120" w:line="240" w:lineRule="auto"/>
        <w:rPr>
          <w:rFonts w:eastAsiaTheme="minorEastAsia"/>
          <w:sz w:val="24"/>
          <w:szCs w:val="24"/>
        </w:rPr>
      </w:pPr>
      <w:r>
        <w:rPr>
          <w:rFonts w:eastAsiaTheme="minorEastAsia"/>
          <w:sz w:val="24"/>
          <w:szCs w:val="24"/>
        </w:rPr>
        <w:t xml:space="preserve">Apati ane 2021, Biwo Pwogram Edikasyon Espesyal Ameriken an (OSEP) egzije pou Endikatè 2 a baze pousantaj li a sou </w:t>
      </w:r>
      <w:r>
        <w:rPr>
          <w:rFonts w:eastAsiaTheme="minorEastAsia"/>
          <w:i/>
          <w:iCs/>
          <w:sz w:val="24"/>
          <w:szCs w:val="24"/>
        </w:rPr>
        <w:t>kantite total elèv ki gen IEP ki te kite lekòl segondè nan ane yo konsidere a.</w:t>
      </w:r>
      <w:r>
        <w:rPr>
          <w:rFonts w:eastAsiaTheme="minorEastAsia"/>
          <w:sz w:val="24"/>
          <w:szCs w:val="24"/>
        </w:rPr>
        <w:t xml:space="preserve"> Yo te rekalkile to abandon yo rapòte nan tablo ki anba a, yo te annik sèvi avèk nouvo kondisyon mezi OSEP la.</w:t>
      </w:r>
    </w:p>
    <w:p w14:paraId="59795B10" w14:textId="5347896C" w:rsidR="00844E1A" w:rsidRPr="00761445" w:rsidRDefault="00844E1A" w:rsidP="00844E1A">
      <w:pPr>
        <w:spacing w:before="120" w:after="120" w:line="240" w:lineRule="auto"/>
        <w:rPr>
          <w:rFonts w:cstheme="minorHAnsi"/>
          <w:sz w:val="24"/>
          <w:szCs w:val="24"/>
        </w:rPr>
      </w:pPr>
      <w:r>
        <w:rPr>
          <w:rFonts w:cstheme="minorHAnsi"/>
          <w:b/>
          <w:bCs/>
          <w:sz w:val="24"/>
          <w:szCs w:val="24"/>
        </w:rPr>
        <w:t xml:space="preserve">To Abandon pou Elèv ki gen IEPs yo </w:t>
      </w:r>
      <w:r>
        <w:rPr>
          <w:rFonts w:cstheme="minorHAnsi"/>
          <w:sz w:val="24"/>
          <w:szCs w:val="24"/>
        </w:rPr>
        <w:t xml:space="preserve"> </w:t>
      </w:r>
    </w:p>
    <w:tbl>
      <w:tblPr>
        <w:tblStyle w:val="TableGrid"/>
        <w:tblW w:w="7800" w:type="dxa"/>
        <w:tblLayout w:type="fixed"/>
        <w:tblLook w:val="06A0" w:firstRow="1" w:lastRow="0" w:firstColumn="1" w:lastColumn="0" w:noHBand="1" w:noVBand="1"/>
      </w:tblPr>
      <w:tblGrid>
        <w:gridCol w:w="1560"/>
        <w:gridCol w:w="1560"/>
        <w:gridCol w:w="1560"/>
        <w:gridCol w:w="1560"/>
        <w:gridCol w:w="1560"/>
      </w:tblGrid>
      <w:tr w:rsidR="00B82B53" w:rsidRPr="00761445" w14:paraId="00A2D820" w14:textId="42F29C54" w:rsidTr="00B82B53">
        <w:tc>
          <w:tcPr>
            <w:tcW w:w="1560" w:type="dxa"/>
          </w:tcPr>
          <w:p w14:paraId="72EE1267" w14:textId="77777777" w:rsidR="00B82B53" w:rsidRPr="00761445" w:rsidRDefault="00B82B53" w:rsidP="00991FCB">
            <w:pPr>
              <w:spacing w:before="120" w:after="120"/>
              <w:rPr>
                <w:rFonts w:cstheme="minorHAnsi"/>
                <w:b/>
                <w:bCs/>
                <w:sz w:val="24"/>
                <w:szCs w:val="24"/>
              </w:rPr>
            </w:pPr>
            <w:r>
              <w:rPr>
                <w:rFonts w:cstheme="minorHAnsi"/>
                <w:b/>
                <w:bCs/>
                <w:sz w:val="24"/>
                <w:szCs w:val="24"/>
              </w:rPr>
              <w:t>2016</w:t>
            </w:r>
          </w:p>
        </w:tc>
        <w:tc>
          <w:tcPr>
            <w:tcW w:w="1560" w:type="dxa"/>
          </w:tcPr>
          <w:p w14:paraId="3244F161" w14:textId="77777777" w:rsidR="00B82B53" w:rsidRPr="00761445" w:rsidRDefault="00B82B53" w:rsidP="00991FCB">
            <w:pPr>
              <w:spacing w:before="120" w:after="120"/>
              <w:rPr>
                <w:rFonts w:cstheme="minorHAnsi"/>
                <w:b/>
                <w:bCs/>
                <w:sz w:val="24"/>
                <w:szCs w:val="24"/>
              </w:rPr>
            </w:pPr>
            <w:r>
              <w:rPr>
                <w:rFonts w:cstheme="minorHAnsi"/>
                <w:b/>
                <w:bCs/>
                <w:sz w:val="24"/>
                <w:szCs w:val="24"/>
              </w:rPr>
              <w:t>2017</w:t>
            </w:r>
          </w:p>
        </w:tc>
        <w:tc>
          <w:tcPr>
            <w:tcW w:w="1560" w:type="dxa"/>
          </w:tcPr>
          <w:p w14:paraId="19ECE8BD" w14:textId="77777777" w:rsidR="00B82B53" w:rsidRPr="00761445" w:rsidRDefault="00B82B53" w:rsidP="00991FCB">
            <w:pPr>
              <w:spacing w:before="120" w:after="120"/>
              <w:rPr>
                <w:rFonts w:cstheme="minorHAnsi"/>
                <w:b/>
                <w:bCs/>
                <w:sz w:val="24"/>
                <w:szCs w:val="24"/>
              </w:rPr>
            </w:pPr>
            <w:r>
              <w:rPr>
                <w:rFonts w:cstheme="minorHAnsi"/>
                <w:b/>
                <w:bCs/>
                <w:sz w:val="24"/>
                <w:szCs w:val="24"/>
              </w:rPr>
              <w:t>2018</w:t>
            </w:r>
          </w:p>
        </w:tc>
        <w:tc>
          <w:tcPr>
            <w:tcW w:w="1560" w:type="dxa"/>
          </w:tcPr>
          <w:p w14:paraId="30A94D9D" w14:textId="77777777" w:rsidR="00B82B53" w:rsidRPr="00761445" w:rsidRDefault="00B82B53" w:rsidP="00991FCB">
            <w:pPr>
              <w:spacing w:before="120" w:after="120"/>
              <w:rPr>
                <w:rFonts w:cstheme="minorHAnsi"/>
                <w:b/>
                <w:bCs/>
                <w:sz w:val="24"/>
                <w:szCs w:val="24"/>
              </w:rPr>
            </w:pPr>
            <w:r>
              <w:rPr>
                <w:rFonts w:cstheme="minorHAnsi"/>
                <w:b/>
                <w:bCs/>
                <w:sz w:val="24"/>
                <w:szCs w:val="24"/>
              </w:rPr>
              <w:t>2019</w:t>
            </w:r>
          </w:p>
        </w:tc>
        <w:tc>
          <w:tcPr>
            <w:tcW w:w="1560" w:type="dxa"/>
          </w:tcPr>
          <w:p w14:paraId="6A13474A" w14:textId="77777777" w:rsidR="00B82B53" w:rsidRPr="00761445" w:rsidRDefault="00B82B53" w:rsidP="3F3464EB">
            <w:pPr>
              <w:spacing w:before="120" w:after="120"/>
              <w:rPr>
                <w:b/>
                <w:bCs/>
                <w:sz w:val="24"/>
                <w:szCs w:val="24"/>
              </w:rPr>
            </w:pPr>
            <w:r>
              <w:rPr>
                <w:b/>
                <w:bCs/>
                <w:sz w:val="24"/>
                <w:szCs w:val="24"/>
              </w:rPr>
              <w:t>2020</w:t>
            </w:r>
          </w:p>
        </w:tc>
      </w:tr>
      <w:tr w:rsidR="00B82B53" w:rsidRPr="00761445" w14:paraId="037FC96F" w14:textId="4D94CA3A" w:rsidTr="00B82B53">
        <w:tc>
          <w:tcPr>
            <w:tcW w:w="1560" w:type="dxa"/>
          </w:tcPr>
          <w:p w14:paraId="68774AB0" w14:textId="77777777" w:rsidR="00B82B53" w:rsidRPr="00761445" w:rsidRDefault="00B82B53" w:rsidP="00991FCB">
            <w:pPr>
              <w:spacing w:before="120" w:after="120"/>
              <w:rPr>
                <w:rFonts w:cstheme="minorHAnsi"/>
                <w:sz w:val="24"/>
                <w:szCs w:val="24"/>
              </w:rPr>
            </w:pPr>
            <w:r>
              <w:rPr>
                <w:rFonts w:cstheme="minorHAnsi"/>
                <w:sz w:val="24"/>
                <w:szCs w:val="24"/>
              </w:rPr>
              <w:t>15.43%</w:t>
            </w:r>
          </w:p>
        </w:tc>
        <w:tc>
          <w:tcPr>
            <w:tcW w:w="1560" w:type="dxa"/>
          </w:tcPr>
          <w:p w14:paraId="43793690" w14:textId="77777777" w:rsidR="00B82B53" w:rsidRPr="00761445" w:rsidRDefault="00B82B53" w:rsidP="00991FCB">
            <w:pPr>
              <w:spacing w:before="120" w:after="120"/>
              <w:rPr>
                <w:rFonts w:cstheme="minorHAnsi"/>
                <w:sz w:val="24"/>
                <w:szCs w:val="24"/>
              </w:rPr>
            </w:pPr>
            <w:r>
              <w:rPr>
                <w:rFonts w:cstheme="minorHAnsi"/>
                <w:sz w:val="24"/>
                <w:szCs w:val="24"/>
              </w:rPr>
              <w:t>15.50%</w:t>
            </w:r>
          </w:p>
        </w:tc>
        <w:tc>
          <w:tcPr>
            <w:tcW w:w="1560" w:type="dxa"/>
          </w:tcPr>
          <w:p w14:paraId="1C2EFDC5" w14:textId="77777777" w:rsidR="00B82B53" w:rsidRPr="00761445" w:rsidRDefault="00B82B53" w:rsidP="00991FCB">
            <w:pPr>
              <w:spacing w:before="120" w:after="120"/>
              <w:rPr>
                <w:rFonts w:cstheme="minorHAnsi"/>
                <w:sz w:val="24"/>
                <w:szCs w:val="24"/>
              </w:rPr>
            </w:pPr>
            <w:r>
              <w:rPr>
                <w:rFonts w:cstheme="minorHAnsi"/>
                <w:sz w:val="24"/>
                <w:szCs w:val="24"/>
              </w:rPr>
              <w:t>15.11%</w:t>
            </w:r>
          </w:p>
        </w:tc>
        <w:tc>
          <w:tcPr>
            <w:tcW w:w="1560" w:type="dxa"/>
          </w:tcPr>
          <w:p w14:paraId="51CA1EAB" w14:textId="77777777" w:rsidR="00B82B53" w:rsidRPr="00761445" w:rsidRDefault="00B82B53" w:rsidP="00991FCB">
            <w:pPr>
              <w:spacing w:before="120" w:after="120"/>
              <w:rPr>
                <w:rFonts w:cstheme="minorHAnsi"/>
                <w:sz w:val="24"/>
                <w:szCs w:val="24"/>
              </w:rPr>
            </w:pPr>
            <w:r>
              <w:rPr>
                <w:rFonts w:cstheme="minorHAnsi"/>
                <w:sz w:val="24"/>
                <w:szCs w:val="24"/>
              </w:rPr>
              <w:t>13.97%</w:t>
            </w:r>
          </w:p>
        </w:tc>
        <w:tc>
          <w:tcPr>
            <w:tcW w:w="1560" w:type="dxa"/>
          </w:tcPr>
          <w:p w14:paraId="5207777D" w14:textId="77777777" w:rsidR="00B82B53" w:rsidRPr="00761445" w:rsidRDefault="00B82B53" w:rsidP="00991FCB">
            <w:pPr>
              <w:spacing w:before="120" w:after="120"/>
              <w:rPr>
                <w:rFonts w:cstheme="minorHAnsi"/>
                <w:sz w:val="24"/>
                <w:szCs w:val="24"/>
              </w:rPr>
            </w:pPr>
            <w:r>
              <w:rPr>
                <w:rFonts w:cstheme="minorHAnsi"/>
                <w:sz w:val="24"/>
                <w:szCs w:val="24"/>
              </w:rPr>
              <w:t>10.38%</w:t>
            </w:r>
          </w:p>
        </w:tc>
      </w:tr>
    </w:tbl>
    <w:p w14:paraId="09930857" w14:textId="2970FACD" w:rsidR="00536371" w:rsidRDefault="00536371" w:rsidP="00FF1DCE">
      <w:pPr>
        <w:spacing w:before="120" w:after="120" w:line="240" w:lineRule="auto"/>
      </w:pPr>
      <w:r>
        <w:rPr>
          <w:rFonts w:cstheme="minorHAnsi"/>
          <w:b/>
          <w:bCs/>
          <w:sz w:val="24"/>
          <w:szCs w:val="24"/>
        </w:rPr>
        <w:t>Mezi Endikatè 2 a</w:t>
      </w:r>
    </w:p>
    <w:p w14:paraId="3E8B1300" w14:textId="53556216" w:rsidR="00536371" w:rsidRPr="004825AA" w:rsidRDefault="00FE2CA3" w:rsidP="00FF1DCE">
      <w:pPr>
        <w:spacing w:before="120" w:after="120" w:line="240" w:lineRule="auto"/>
        <w:rPr>
          <w:rFonts w:cstheme="minorHAnsi"/>
          <w:sz w:val="24"/>
          <w:szCs w:val="24"/>
        </w:rPr>
      </w:pPr>
      <w:r>
        <w:rPr>
          <w:rFonts w:cstheme="minorHAnsi"/>
          <w:sz w:val="24"/>
          <w:szCs w:val="24"/>
        </w:rPr>
        <w:t>Pousantaj ki nan tablo a, se kantite elèv ki gen laj 14 jiska 21 lane, ki gen IEP epi ki te kite edikasyon espesyal la pa abandon (yo te abandone), divize pa kantite elèv ki gen laj 14 jiska 21 lane, ki gen IEP epi ki te kite lekòl segondè a nan denominatè a.</w:t>
      </w:r>
    </w:p>
    <w:p w14:paraId="70F315DF" w14:textId="18E39286" w:rsidR="00920523" w:rsidRPr="00A03935" w:rsidRDefault="00920523" w:rsidP="00FF1DCE">
      <w:pPr>
        <w:spacing w:before="120" w:after="120" w:line="240" w:lineRule="auto"/>
        <w:rPr>
          <w:rFonts w:eastAsiaTheme="minorEastAsia"/>
          <w:sz w:val="24"/>
          <w:szCs w:val="24"/>
        </w:rPr>
      </w:pPr>
      <w:r>
        <w:rPr>
          <w:rFonts w:eastAsiaTheme="minorEastAsia"/>
          <w:sz w:val="24"/>
          <w:szCs w:val="24"/>
        </w:rPr>
        <w:t xml:space="preserve">''Kite lekòl segondè'' vle di, yon moun: </w:t>
      </w:r>
    </w:p>
    <w:p w14:paraId="0822AD4E" w14:textId="4FDCC16E" w:rsidR="00536371" w:rsidRPr="004825AA" w:rsidRDefault="00536371" w:rsidP="00FF1DCE">
      <w:pPr>
        <w:spacing w:before="120" w:after="120" w:line="240" w:lineRule="auto"/>
        <w:rPr>
          <w:rFonts w:cstheme="minorHAnsi"/>
          <w:sz w:val="24"/>
          <w:szCs w:val="24"/>
        </w:rPr>
      </w:pPr>
      <w:r>
        <w:rPr>
          <w:rFonts w:cstheme="minorHAnsi"/>
          <w:sz w:val="24"/>
          <w:szCs w:val="24"/>
        </w:rPr>
        <w:t>(a) te resevwa yon diplòm lekòl segondè OSWA</w:t>
      </w:r>
    </w:p>
    <w:p w14:paraId="1F42C50B" w14:textId="5D7784E8" w:rsidR="00536371" w:rsidRPr="004825AA" w:rsidRDefault="00536371" w:rsidP="00FF1DCE">
      <w:pPr>
        <w:spacing w:before="120" w:after="120" w:line="240" w:lineRule="auto"/>
        <w:rPr>
          <w:rFonts w:cstheme="minorHAnsi"/>
          <w:sz w:val="24"/>
          <w:szCs w:val="24"/>
        </w:rPr>
      </w:pPr>
      <w:r>
        <w:rPr>
          <w:rFonts w:cstheme="minorHAnsi"/>
          <w:sz w:val="24"/>
          <w:szCs w:val="24"/>
        </w:rPr>
        <w:t>(b) te resevwa yon sètifika OSWA</w:t>
      </w:r>
    </w:p>
    <w:p w14:paraId="5F8DEDB1" w14:textId="29643231" w:rsidR="00536371" w:rsidRPr="00E12899" w:rsidRDefault="00536371" w:rsidP="00FF1DCE">
      <w:pPr>
        <w:spacing w:before="120" w:after="120" w:line="240" w:lineRule="auto"/>
        <w:rPr>
          <w:rFonts w:cstheme="minorHAnsi"/>
          <w:sz w:val="24"/>
          <w:szCs w:val="24"/>
          <w:lang w:val="es-ES"/>
        </w:rPr>
      </w:pPr>
      <w:r w:rsidRPr="00E12899">
        <w:rPr>
          <w:rFonts w:cstheme="minorHAnsi"/>
          <w:sz w:val="24"/>
          <w:szCs w:val="24"/>
          <w:lang w:val="es-ES"/>
        </w:rPr>
        <w:t>(c) te atenn limit laj maksimòm nan OSWA</w:t>
      </w:r>
    </w:p>
    <w:p w14:paraId="62E49011" w14:textId="2E703A00" w:rsidR="00536371" w:rsidRPr="00E12899" w:rsidRDefault="00536371" w:rsidP="00FF1DCE">
      <w:pPr>
        <w:spacing w:before="120" w:after="120" w:line="240" w:lineRule="auto"/>
        <w:rPr>
          <w:sz w:val="24"/>
          <w:szCs w:val="24"/>
          <w:lang w:val="es-ES"/>
        </w:rPr>
      </w:pPr>
      <w:r w:rsidRPr="00E12899">
        <w:rPr>
          <w:sz w:val="24"/>
          <w:szCs w:val="24"/>
          <w:lang w:val="es-ES"/>
        </w:rPr>
        <w:t>(d) te abandone lekòl</w:t>
      </w:r>
    </w:p>
    <w:p w14:paraId="478EDDF5" w14:textId="60B0F21C" w:rsidR="00EC2946" w:rsidRDefault="00EC2946" w:rsidP="00FF1DCE">
      <w:pPr>
        <w:spacing w:before="120" w:after="120" w:line="240" w:lineRule="auto"/>
        <w:rPr>
          <w:rFonts w:cstheme="minorHAnsi"/>
          <w:sz w:val="24"/>
          <w:szCs w:val="24"/>
          <w:lang w:val="es-ES"/>
        </w:rPr>
      </w:pPr>
    </w:p>
    <w:p w14:paraId="3164A1C3" w14:textId="77777777" w:rsidR="00A15334" w:rsidRPr="00A15334" w:rsidRDefault="00A15334" w:rsidP="00A15334">
      <w:pPr>
        <w:spacing w:before="120" w:after="120" w:line="240" w:lineRule="auto"/>
        <w:rPr>
          <w:rFonts w:cstheme="minorHAnsi"/>
          <w:sz w:val="24"/>
          <w:szCs w:val="24"/>
        </w:rPr>
      </w:pPr>
      <w:r w:rsidRPr="00A15334">
        <w:rPr>
          <w:rFonts w:cstheme="minorHAnsi"/>
          <w:b/>
          <w:bCs/>
          <w:sz w:val="24"/>
          <w:szCs w:val="24"/>
        </w:rPr>
        <w:t>Rekòmandasyon:</w:t>
      </w:r>
    </w:p>
    <w:p w14:paraId="7C9E8290" w14:textId="77777777" w:rsidR="00A15334" w:rsidRPr="00A15334" w:rsidRDefault="00A15334" w:rsidP="00A15334">
      <w:pPr>
        <w:spacing w:before="120" w:after="120" w:line="240" w:lineRule="auto"/>
        <w:rPr>
          <w:rFonts w:cstheme="minorHAnsi"/>
          <w:sz w:val="24"/>
          <w:szCs w:val="24"/>
        </w:rPr>
      </w:pPr>
      <w:r w:rsidRPr="00A15334">
        <w:rPr>
          <w:rFonts w:cstheme="minorHAnsi"/>
          <w:b/>
          <w:bCs/>
          <w:sz w:val="24"/>
          <w:szCs w:val="24"/>
        </w:rPr>
        <w:lastRenderedPageBreak/>
        <w:t>Referans: 13.97%  (menm jan ak pousantaj 2019 la)</w:t>
      </w:r>
    </w:p>
    <w:p w14:paraId="6803CE83" w14:textId="77777777" w:rsidR="00A15334" w:rsidRPr="00A15334" w:rsidRDefault="00A15334" w:rsidP="00A15334">
      <w:pPr>
        <w:spacing w:before="120" w:after="120" w:line="240" w:lineRule="auto"/>
        <w:rPr>
          <w:rFonts w:cstheme="minorHAnsi"/>
          <w:sz w:val="24"/>
          <w:szCs w:val="24"/>
        </w:rPr>
      </w:pPr>
      <w:r w:rsidRPr="00A15334">
        <w:rPr>
          <w:rFonts w:cstheme="minorHAnsi"/>
          <w:b/>
          <w:bCs/>
          <w:sz w:val="24"/>
          <w:szCs w:val="24"/>
        </w:rPr>
        <w:t>Objectif: Bès 0.5% jiska Ane 2025 (FFY2025) </w:t>
      </w:r>
    </w:p>
    <w:p w14:paraId="7F450FC8" w14:textId="322710ED" w:rsidR="00FD7BFD" w:rsidRDefault="00F134D3" w:rsidP="00FF1DCE">
      <w:pPr>
        <w:spacing w:before="120" w:after="120" w:line="240" w:lineRule="auto"/>
        <w:rPr>
          <w:rFonts w:cstheme="minorHAnsi"/>
          <w:sz w:val="24"/>
          <w:szCs w:val="24"/>
          <w:lang w:val="es-ES"/>
        </w:rPr>
      </w:pPr>
      <w:r w:rsidRPr="00F134D3">
        <w:rPr>
          <w:rFonts w:cstheme="minorHAnsi"/>
          <w:sz w:val="24"/>
          <w:szCs w:val="24"/>
          <w:lang w:val="es-ES"/>
        </w:rPr>
        <w:t>Nou itilize baz kòm yon pwen kòmanse ak konpare done ki sòti nan lòt ane nan done yo debaz. Akòz pandemi an, OSEP pèmèt eta yo sèvi ak pousantaj goutout 2019 la (13.97%) kòm baseline a.</w:t>
      </w:r>
    </w:p>
    <w:p w14:paraId="767536C4" w14:textId="77777777" w:rsidR="00FD7BFD" w:rsidRPr="00E12899" w:rsidRDefault="00FD7BFD" w:rsidP="00FF1DCE">
      <w:pPr>
        <w:spacing w:before="120" w:after="120" w:line="240" w:lineRule="auto"/>
        <w:rPr>
          <w:rFonts w:cstheme="minorHAnsi"/>
          <w:sz w:val="24"/>
          <w:szCs w:val="24"/>
          <w:lang w:val="es-ES"/>
        </w:rPr>
      </w:pPr>
    </w:p>
    <w:p w14:paraId="64E3649E" w14:textId="75539410" w:rsidR="00EC2946" w:rsidRDefault="00EC2946" w:rsidP="00EC2946">
      <w:pPr>
        <w:rPr>
          <w:rFonts w:cstheme="minorHAnsi"/>
          <w:b/>
          <w:bCs/>
          <w:szCs w:val="24"/>
        </w:rPr>
      </w:pPr>
      <w:r w:rsidRPr="00B7389C">
        <w:rPr>
          <w:rFonts w:cstheme="minorHAnsi"/>
          <w:b/>
          <w:bCs/>
          <w:szCs w:val="24"/>
        </w:rPr>
        <w:t>Jwenn plis enfòmasyon sou Endikatè # 2 a:</w:t>
      </w:r>
    </w:p>
    <w:p w14:paraId="3877436B" w14:textId="733E67EF" w:rsidR="008746E4" w:rsidRDefault="00633FCC" w:rsidP="008746E4">
      <w:pPr>
        <w:pStyle w:val="NormalWeb"/>
        <w:numPr>
          <w:ilvl w:val="0"/>
          <w:numId w:val="8"/>
        </w:numPr>
        <w:shd w:val="clear" w:color="auto" w:fill="FFFFFF"/>
        <w:spacing w:before="0" w:beforeAutospacing="0" w:afterAutospacing="0"/>
        <w:ind w:left="600"/>
        <w:rPr>
          <w:rFonts w:ascii="Segoe UI" w:hAnsi="Segoe UI" w:cs="Segoe UI"/>
          <w:color w:val="0070C0"/>
          <w:u w:val="single"/>
        </w:rPr>
      </w:pPr>
      <w:hyperlink r:id="rId11" w:history="1">
        <w:r w:rsidR="008746E4" w:rsidRPr="00E12899">
          <w:rPr>
            <w:rStyle w:val="Hyperlink"/>
            <w:rFonts w:ascii="Segoe UI" w:hAnsi="Segoe UI" w:cs="Segoe UI"/>
          </w:rPr>
          <w:t>Indicator 2 PowerPoint</w:t>
        </w:r>
      </w:hyperlink>
    </w:p>
    <w:p w14:paraId="0297DDCB" w14:textId="40ED2ADC" w:rsidR="00EC2946" w:rsidRDefault="00EC2946" w:rsidP="00EC2946">
      <w:pPr>
        <w:spacing w:after="0"/>
        <w:rPr>
          <w:rFonts w:cstheme="minorHAnsi"/>
          <w:b/>
          <w:bCs/>
          <w:szCs w:val="24"/>
        </w:rPr>
      </w:pPr>
      <w:r>
        <w:rPr>
          <w:rFonts w:cstheme="minorHAnsi"/>
          <w:b/>
          <w:bCs/>
          <w:szCs w:val="24"/>
        </w:rPr>
        <w:t xml:space="preserve">          </w:t>
      </w:r>
    </w:p>
    <w:p w14:paraId="17245771" w14:textId="77777777" w:rsidR="00EC2946" w:rsidRDefault="00EC2946" w:rsidP="00EC2946">
      <w:pPr>
        <w:spacing w:after="0"/>
        <w:rPr>
          <w:b/>
          <w:bCs/>
        </w:rPr>
      </w:pPr>
    </w:p>
    <w:p w14:paraId="64027835" w14:textId="77777777" w:rsidR="00EC2946" w:rsidRPr="006C233D" w:rsidRDefault="00EC2946" w:rsidP="00FF1DCE">
      <w:pPr>
        <w:spacing w:before="120" w:after="120" w:line="240" w:lineRule="auto"/>
        <w:rPr>
          <w:rFonts w:cstheme="minorHAnsi"/>
          <w:b/>
          <w:bCs/>
          <w:sz w:val="24"/>
          <w:szCs w:val="24"/>
        </w:rPr>
      </w:pPr>
    </w:p>
    <w:sectPr w:rsidR="00EC2946" w:rsidRPr="006C2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39C13" w14:textId="77777777" w:rsidR="00E40B28" w:rsidRDefault="00E40B28">
      <w:pPr>
        <w:spacing w:after="0" w:line="240" w:lineRule="auto"/>
      </w:pPr>
      <w:r>
        <w:separator/>
      </w:r>
    </w:p>
  </w:endnote>
  <w:endnote w:type="continuationSeparator" w:id="0">
    <w:p w14:paraId="202455AF" w14:textId="77777777" w:rsidR="00E40B28" w:rsidRDefault="00E40B28">
      <w:pPr>
        <w:spacing w:after="0" w:line="240" w:lineRule="auto"/>
      </w:pPr>
      <w:r>
        <w:continuationSeparator/>
      </w:r>
    </w:p>
  </w:endnote>
  <w:endnote w:type="continuationNotice" w:id="1">
    <w:p w14:paraId="3DBEEB52" w14:textId="77777777" w:rsidR="00E40B28" w:rsidRDefault="00E40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C5351" w14:textId="77777777" w:rsidR="00E40B28" w:rsidRDefault="00E40B28">
      <w:pPr>
        <w:spacing w:after="0" w:line="240" w:lineRule="auto"/>
      </w:pPr>
      <w:r>
        <w:separator/>
      </w:r>
    </w:p>
  </w:footnote>
  <w:footnote w:type="continuationSeparator" w:id="0">
    <w:p w14:paraId="513EECEF" w14:textId="77777777" w:rsidR="00E40B28" w:rsidRDefault="00E40B28">
      <w:pPr>
        <w:spacing w:after="0" w:line="240" w:lineRule="auto"/>
      </w:pPr>
      <w:r>
        <w:continuationSeparator/>
      </w:r>
    </w:p>
  </w:footnote>
  <w:footnote w:type="continuationNotice" w:id="1">
    <w:p w14:paraId="088DCF9B" w14:textId="77777777" w:rsidR="00E40B28" w:rsidRDefault="00E40B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7339E"/>
    <w:multiLevelType w:val="hybridMultilevel"/>
    <w:tmpl w:val="CE460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15F61"/>
    <w:multiLevelType w:val="hybridMultilevel"/>
    <w:tmpl w:val="9DDEB6F0"/>
    <w:lvl w:ilvl="0" w:tplc="9E82824C">
      <w:start w:val="1"/>
      <w:numFmt w:val="bullet"/>
      <w:lvlText w:val="•"/>
      <w:lvlJc w:val="left"/>
      <w:pPr>
        <w:tabs>
          <w:tab w:val="num" w:pos="720"/>
        </w:tabs>
        <w:ind w:left="720" w:hanging="360"/>
      </w:pPr>
      <w:rPr>
        <w:rFonts w:ascii="Arial" w:hAnsi="Arial" w:hint="default"/>
      </w:rPr>
    </w:lvl>
    <w:lvl w:ilvl="1" w:tplc="3F727A30" w:tentative="1">
      <w:start w:val="1"/>
      <w:numFmt w:val="bullet"/>
      <w:lvlText w:val="•"/>
      <w:lvlJc w:val="left"/>
      <w:pPr>
        <w:tabs>
          <w:tab w:val="num" w:pos="1440"/>
        </w:tabs>
        <w:ind w:left="1440" w:hanging="360"/>
      </w:pPr>
      <w:rPr>
        <w:rFonts w:ascii="Arial" w:hAnsi="Arial" w:hint="default"/>
      </w:rPr>
    </w:lvl>
    <w:lvl w:ilvl="2" w:tplc="EE18A9B0" w:tentative="1">
      <w:start w:val="1"/>
      <w:numFmt w:val="bullet"/>
      <w:lvlText w:val="•"/>
      <w:lvlJc w:val="left"/>
      <w:pPr>
        <w:tabs>
          <w:tab w:val="num" w:pos="2160"/>
        </w:tabs>
        <w:ind w:left="2160" w:hanging="360"/>
      </w:pPr>
      <w:rPr>
        <w:rFonts w:ascii="Arial" w:hAnsi="Arial" w:hint="default"/>
      </w:rPr>
    </w:lvl>
    <w:lvl w:ilvl="3" w:tplc="73BA3892" w:tentative="1">
      <w:start w:val="1"/>
      <w:numFmt w:val="bullet"/>
      <w:lvlText w:val="•"/>
      <w:lvlJc w:val="left"/>
      <w:pPr>
        <w:tabs>
          <w:tab w:val="num" w:pos="2880"/>
        </w:tabs>
        <w:ind w:left="2880" w:hanging="360"/>
      </w:pPr>
      <w:rPr>
        <w:rFonts w:ascii="Arial" w:hAnsi="Arial" w:hint="default"/>
      </w:rPr>
    </w:lvl>
    <w:lvl w:ilvl="4" w:tplc="B1DE2F9C" w:tentative="1">
      <w:start w:val="1"/>
      <w:numFmt w:val="bullet"/>
      <w:lvlText w:val="•"/>
      <w:lvlJc w:val="left"/>
      <w:pPr>
        <w:tabs>
          <w:tab w:val="num" w:pos="3600"/>
        </w:tabs>
        <w:ind w:left="3600" w:hanging="360"/>
      </w:pPr>
      <w:rPr>
        <w:rFonts w:ascii="Arial" w:hAnsi="Arial" w:hint="default"/>
      </w:rPr>
    </w:lvl>
    <w:lvl w:ilvl="5" w:tplc="E72C3D68" w:tentative="1">
      <w:start w:val="1"/>
      <w:numFmt w:val="bullet"/>
      <w:lvlText w:val="•"/>
      <w:lvlJc w:val="left"/>
      <w:pPr>
        <w:tabs>
          <w:tab w:val="num" w:pos="4320"/>
        </w:tabs>
        <w:ind w:left="4320" w:hanging="360"/>
      </w:pPr>
      <w:rPr>
        <w:rFonts w:ascii="Arial" w:hAnsi="Arial" w:hint="default"/>
      </w:rPr>
    </w:lvl>
    <w:lvl w:ilvl="6" w:tplc="4496C576" w:tentative="1">
      <w:start w:val="1"/>
      <w:numFmt w:val="bullet"/>
      <w:lvlText w:val="•"/>
      <w:lvlJc w:val="left"/>
      <w:pPr>
        <w:tabs>
          <w:tab w:val="num" w:pos="5040"/>
        </w:tabs>
        <w:ind w:left="5040" w:hanging="360"/>
      </w:pPr>
      <w:rPr>
        <w:rFonts w:ascii="Arial" w:hAnsi="Arial" w:hint="default"/>
      </w:rPr>
    </w:lvl>
    <w:lvl w:ilvl="7" w:tplc="DBF4E1F2" w:tentative="1">
      <w:start w:val="1"/>
      <w:numFmt w:val="bullet"/>
      <w:lvlText w:val="•"/>
      <w:lvlJc w:val="left"/>
      <w:pPr>
        <w:tabs>
          <w:tab w:val="num" w:pos="5760"/>
        </w:tabs>
        <w:ind w:left="5760" w:hanging="360"/>
      </w:pPr>
      <w:rPr>
        <w:rFonts w:ascii="Arial" w:hAnsi="Arial" w:hint="default"/>
      </w:rPr>
    </w:lvl>
    <w:lvl w:ilvl="8" w:tplc="AF26CD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5F364A"/>
    <w:multiLevelType w:val="hybridMultilevel"/>
    <w:tmpl w:val="D4E2899E"/>
    <w:lvl w:ilvl="0" w:tplc="051EB65A">
      <w:start w:val="1"/>
      <w:numFmt w:val="bullet"/>
      <w:lvlText w:val="•"/>
      <w:lvlJc w:val="left"/>
      <w:pPr>
        <w:tabs>
          <w:tab w:val="num" w:pos="720"/>
        </w:tabs>
        <w:ind w:left="720" w:hanging="360"/>
      </w:pPr>
      <w:rPr>
        <w:rFonts w:ascii="Arial" w:hAnsi="Arial" w:hint="default"/>
      </w:rPr>
    </w:lvl>
    <w:lvl w:ilvl="1" w:tplc="386A81A2">
      <w:numFmt w:val="bullet"/>
      <w:lvlText w:val="o"/>
      <w:lvlJc w:val="left"/>
      <w:pPr>
        <w:tabs>
          <w:tab w:val="num" w:pos="1440"/>
        </w:tabs>
        <w:ind w:left="1440" w:hanging="360"/>
      </w:pPr>
      <w:rPr>
        <w:rFonts w:ascii="Courier New" w:hAnsi="Courier New" w:hint="default"/>
      </w:rPr>
    </w:lvl>
    <w:lvl w:ilvl="2" w:tplc="8F2E585A" w:tentative="1">
      <w:start w:val="1"/>
      <w:numFmt w:val="bullet"/>
      <w:lvlText w:val="•"/>
      <w:lvlJc w:val="left"/>
      <w:pPr>
        <w:tabs>
          <w:tab w:val="num" w:pos="2160"/>
        </w:tabs>
        <w:ind w:left="2160" w:hanging="360"/>
      </w:pPr>
      <w:rPr>
        <w:rFonts w:ascii="Arial" w:hAnsi="Arial" w:hint="default"/>
      </w:rPr>
    </w:lvl>
    <w:lvl w:ilvl="3" w:tplc="EC60D4CC" w:tentative="1">
      <w:start w:val="1"/>
      <w:numFmt w:val="bullet"/>
      <w:lvlText w:val="•"/>
      <w:lvlJc w:val="left"/>
      <w:pPr>
        <w:tabs>
          <w:tab w:val="num" w:pos="2880"/>
        </w:tabs>
        <w:ind w:left="2880" w:hanging="360"/>
      </w:pPr>
      <w:rPr>
        <w:rFonts w:ascii="Arial" w:hAnsi="Arial" w:hint="default"/>
      </w:rPr>
    </w:lvl>
    <w:lvl w:ilvl="4" w:tplc="478C3B94" w:tentative="1">
      <w:start w:val="1"/>
      <w:numFmt w:val="bullet"/>
      <w:lvlText w:val="•"/>
      <w:lvlJc w:val="left"/>
      <w:pPr>
        <w:tabs>
          <w:tab w:val="num" w:pos="3600"/>
        </w:tabs>
        <w:ind w:left="3600" w:hanging="360"/>
      </w:pPr>
      <w:rPr>
        <w:rFonts w:ascii="Arial" w:hAnsi="Arial" w:hint="default"/>
      </w:rPr>
    </w:lvl>
    <w:lvl w:ilvl="5" w:tplc="F1108B02" w:tentative="1">
      <w:start w:val="1"/>
      <w:numFmt w:val="bullet"/>
      <w:lvlText w:val="•"/>
      <w:lvlJc w:val="left"/>
      <w:pPr>
        <w:tabs>
          <w:tab w:val="num" w:pos="4320"/>
        </w:tabs>
        <w:ind w:left="4320" w:hanging="360"/>
      </w:pPr>
      <w:rPr>
        <w:rFonts w:ascii="Arial" w:hAnsi="Arial" w:hint="default"/>
      </w:rPr>
    </w:lvl>
    <w:lvl w:ilvl="6" w:tplc="36525458" w:tentative="1">
      <w:start w:val="1"/>
      <w:numFmt w:val="bullet"/>
      <w:lvlText w:val="•"/>
      <w:lvlJc w:val="left"/>
      <w:pPr>
        <w:tabs>
          <w:tab w:val="num" w:pos="5040"/>
        </w:tabs>
        <w:ind w:left="5040" w:hanging="360"/>
      </w:pPr>
      <w:rPr>
        <w:rFonts w:ascii="Arial" w:hAnsi="Arial" w:hint="default"/>
      </w:rPr>
    </w:lvl>
    <w:lvl w:ilvl="7" w:tplc="0AB4E9C2" w:tentative="1">
      <w:start w:val="1"/>
      <w:numFmt w:val="bullet"/>
      <w:lvlText w:val="•"/>
      <w:lvlJc w:val="left"/>
      <w:pPr>
        <w:tabs>
          <w:tab w:val="num" w:pos="5760"/>
        </w:tabs>
        <w:ind w:left="5760" w:hanging="360"/>
      </w:pPr>
      <w:rPr>
        <w:rFonts w:ascii="Arial" w:hAnsi="Arial" w:hint="default"/>
      </w:rPr>
    </w:lvl>
    <w:lvl w:ilvl="8" w:tplc="53F426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F6066"/>
    <w:multiLevelType w:val="hybridMultilevel"/>
    <w:tmpl w:val="C606846E"/>
    <w:lvl w:ilvl="0" w:tplc="129EB8FC">
      <w:start w:val="1"/>
      <w:numFmt w:val="bullet"/>
      <w:lvlText w:val="•"/>
      <w:lvlJc w:val="left"/>
      <w:pPr>
        <w:tabs>
          <w:tab w:val="num" w:pos="720"/>
        </w:tabs>
        <w:ind w:left="720" w:hanging="360"/>
      </w:pPr>
      <w:rPr>
        <w:rFonts w:ascii="Arial" w:hAnsi="Arial" w:hint="default"/>
      </w:rPr>
    </w:lvl>
    <w:lvl w:ilvl="1" w:tplc="4B3A6466" w:tentative="1">
      <w:start w:val="1"/>
      <w:numFmt w:val="bullet"/>
      <w:lvlText w:val="•"/>
      <w:lvlJc w:val="left"/>
      <w:pPr>
        <w:tabs>
          <w:tab w:val="num" w:pos="1440"/>
        </w:tabs>
        <w:ind w:left="1440" w:hanging="360"/>
      </w:pPr>
      <w:rPr>
        <w:rFonts w:ascii="Arial" w:hAnsi="Arial" w:hint="default"/>
      </w:rPr>
    </w:lvl>
    <w:lvl w:ilvl="2" w:tplc="F1C00546" w:tentative="1">
      <w:start w:val="1"/>
      <w:numFmt w:val="bullet"/>
      <w:lvlText w:val="•"/>
      <w:lvlJc w:val="left"/>
      <w:pPr>
        <w:tabs>
          <w:tab w:val="num" w:pos="2160"/>
        </w:tabs>
        <w:ind w:left="2160" w:hanging="360"/>
      </w:pPr>
      <w:rPr>
        <w:rFonts w:ascii="Arial" w:hAnsi="Arial" w:hint="default"/>
      </w:rPr>
    </w:lvl>
    <w:lvl w:ilvl="3" w:tplc="B98E1032" w:tentative="1">
      <w:start w:val="1"/>
      <w:numFmt w:val="bullet"/>
      <w:lvlText w:val="•"/>
      <w:lvlJc w:val="left"/>
      <w:pPr>
        <w:tabs>
          <w:tab w:val="num" w:pos="2880"/>
        </w:tabs>
        <w:ind w:left="2880" w:hanging="360"/>
      </w:pPr>
      <w:rPr>
        <w:rFonts w:ascii="Arial" w:hAnsi="Arial" w:hint="default"/>
      </w:rPr>
    </w:lvl>
    <w:lvl w:ilvl="4" w:tplc="B85C34F4" w:tentative="1">
      <w:start w:val="1"/>
      <w:numFmt w:val="bullet"/>
      <w:lvlText w:val="•"/>
      <w:lvlJc w:val="left"/>
      <w:pPr>
        <w:tabs>
          <w:tab w:val="num" w:pos="3600"/>
        </w:tabs>
        <w:ind w:left="3600" w:hanging="360"/>
      </w:pPr>
      <w:rPr>
        <w:rFonts w:ascii="Arial" w:hAnsi="Arial" w:hint="default"/>
      </w:rPr>
    </w:lvl>
    <w:lvl w:ilvl="5" w:tplc="CD34F94E" w:tentative="1">
      <w:start w:val="1"/>
      <w:numFmt w:val="bullet"/>
      <w:lvlText w:val="•"/>
      <w:lvlJc w:val="left"/>
      <w:pPr>
        <w:tabs>
          <w:tab w:val="num" w:pos="4320"/>
        </w:tabs>
        <w:ind w:left="4320" w:hanging="360"/>
      </w:pPr>
      <w:rPr>
        <w:rFonts w:ascii="Arial" w:hAnsi="Arial" w:hint="default"/>
      </w:rPr>
    </w:lvl>
    <w:lvl w:ilvl="6" w:tplc="A8CE5A84" w:tentative="1">
      <w:start w:val="1"/>
      <w:numFmt w:val="bullet"/>
      <w:lvlText w:val="•"/>
      <w:lvlJc w:val="left"/>
      <w:pPr>
        <w:tabs>
          <w:tab w:val="num" w:pos="5040"/>
        </w:tabs>
        <w:ind w:left="5040" w:hanging="360"/>
      </w:pPr>
      <w:rPr>
        <w:rFonts w:ascii="Arial" w:hAnsi="Arial" w:hint="default"/>
      </w:rPr>
    </w:lvl>
    <w:lvl w:ilvl="7" w:tplc="0236521A" w:tentative="1">
      <w:start w:val="1"/>
      <w:numFmt w:val="bullet"/>
      <w:lvlText w:val="•"/>
      <w:lvlJc w:val="left"/>
      <w:pPr>
        <w:tabs>
          <w:tab w:val="num" w:pos="5760"/>
        </w:tabs>
        <w:ind w:left="5760" w:hanging="360"/>
      </w:pPr>
      <w:rPr>
        <w:rFonts w:ascii="Arial" w:hAnsi="Arial" w:hint="default"/>
      </w:rPr>
    </w:lvl>
    <w:lvl w:ilvl="8" w:tplc="0BBC9E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BE72B07"/>
    <w:multiLevelType w:val="hybridMultilevel"/>
    <w:tmpl w:val="DA6CDBA8"/>
    <w:lvl w:ilvl="0" w:tplc="3FB67562">
      <w:start w:val="1"/>
      <w:numFmt w:val="bullet"/>
      <w:lvlText w:val="o"/>
      <w:lvlJc w:val="left"/>
      <w:pPr>
        <w:tabs>
          <w:tab w:val="num" w:pos="720"/>
        </w:tabs>
        <w:ind w:left="720" w:hanging="360"/>
      </w:pPr>
      <w:rPr>
        <w:rFonts w:ascii="Courier New" w:hAnsi="Courier New" w:hint="default"/>
      </w:rPr>
    </w:lvl>
    <w:lvl w:ilvl="1" w:tplc="9EC8DDD4" w:tentative="1">
      <w:start w:val="1"/>
      <w:numFmt w:val="bullet"/>
      <w:lvlText w:val="o"/>
      <w:lvlJc w:val="left"/>
      <w:pPr>
        <w:tabs>
          <w:tab w:val="num" w:pos="1440"/>
        </w:tabs>
        <w:ind w:left="1440" w:hanging="360"/>
      </w:pPr>
      <w:rPr>
        <w:rFonts w:ascii="Courier New" w:hAnsi="Courier New" w:hint="default"/>
      </w:rPr>
    </w:lvl>
    <w:lvl w:ilvl="2" w:tplc="C2AA9F60" w:tentative="1">
      <w:start w:val="1"/>
      <w:numFmt w:val="bullet"/>
      <w:lvlText w:val="o"/>
      <w:lvlJc w:val="left"/>
      <w:pPr>
        <w:tabs>
          <w:tab w:val="num" w:pos="2160"/>
        </w:tabs>
        <w:ind w:left="2160" w:hanging="360"/>
      </w:pPr>
      <w:rPr>
        <w:rFonts w:ascii="Courier New" w:hAnsi="Courier New" w:hint="default"/>
      </w:rPr>
    </w:lvl>
    <w:lvl w:ilvl="3" w:tplc="A2C276E2" w:tentative="1">
      <w:start w:val="1"/>
      <w:numFmt w:val="bullet"/>
      <w:lvlText w:val="o"/>
      <w:lvlJc w:val="left"/>
      <w:pPr>
        <w:tabs>
          <w:tab w:val="num" w:pos="2880"/>
        </w:tabs>
        <w:ind w:left="2880" w:hanging="360"/>
      </w:pPr>
      <w:rPr>
        <w:rFonts w:ascii="Courier New" w:hAnsi="Courier New" w:hint="default"/>
      </w:rPr>
    </w:lvl>
    <w:lvl w:ilvl="4" w:tplc="57C2FF68" w:tentative="1">
      <w:start w:val="1"/>
      <w:numFmt w:val="bullet"/>
      <w:lvlText w:val="o"/>
      <w:lvlJc w:val="left"/>
      <w:pPr>
        <w:tabs>
          <w:tab w:val="num" w:pos="3600"/>
        </w:tabs>
        <w:ind w:left="3600" w:hanging="360"/>
      </w:pPr>
      <w:rPr>
        <w:rFonts w:ascii="Courier New" w:hAnsi="Courier New" w:hint="default"/>
      </w:rPr>
    </w:lvl>
    <w:lvl w:ilvl="5" w:tplc="ED5A53C6" w:tentative="1">
      <w:start w:val="1"/>
      <w:numFmt w:val="bullet"/>
      <w:lvlText w:val="o"/>
      <w:lvlJc w:val="left"/>
      <w:pPr>
        <w:tabs>
          <w:tab w:val="num" w:pos="4320"/>
        </w:tabs>
        <w:ind w:left="4320" w:hanging="360"/>
      </w:pPr>
      <w:rPr>
        <w:rFonts w:ascii="Courier New" w:hAnsi="Courier New" w:hint="default"/>
      </w:rPr>
    </w:lvl>
    <w:lvl w:ilvl="6" w:tplc="43E64520" w:tentative="1">
      <w:start w:val="1"/>
      <w:numFmt w:val="bullet"/>
      <w:lvlText w:val="o"/>
      <w:lvlJc w:val="left"/>
      <w:pPr>
        <w:tabs>
          <w:tab w:val="num" w:pos="5040"/>
        </w:tabs>
        <w:ind w:left="5040" w:hanging="360"/>
      </w:pPr>
      <w:rPr>
        <w:rFonts w:ascii="Courier New" w:hAnsi="Courier New" w:hint="default"/>
      </w:rPr>
    </w:lvl>
    <w:lvl w:ilvl="7" w:tplc="4F2A7E60" w:tentative="1">
      <w:start w:val="1"/>
      <w:numFmt w:val="bullet"/>
      <w:lvlText w:val="o"/>
      <w:lvlJc w:val="left"/>
      <w:pPr>
        <w:tabs>
          <w:tab w:val="num" w:pos="5760"/>
        </w:tabs>
        <w:ind w:left="5760" w:hanging="360"/>
      </w:pPr>
      <w:rPr>
        <w:rFonts w:ascii="Courier New" w:hAnsi="Courier New" w:hint="default"/>
      </w:rPr>
    </w:lvl>
    <w:lvl w:ilvl="8" w:tplc="CA386F3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2941C38"/>
    <w:multiLevelType w:val="multilevel"/>
    <w:tmpl w:val="C7CEE60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3179A"/>
    <w:multiLevelType w:val="hybridMultilevel"/>
    <w:tmpl w:val="3FC241A8"/>
    <w:lvl w:ilvl="0" w:tplc="53C88AF2">
      <w:start w:val="1"/>
      <w:numFmt w:val="bullet"/>
      <w:lvlText w:val="o"/>
      <w:lvlJc w:val="left"/>
      <w:pPr>
        <w:tabs>
          <w:tab w:val="num" w:pos="720"/>
        </w:tabs>
        <w:ind w:left="720" w:hanging="360"/>
      </w:pPr>
      <w:rPr>
        <w:rFonts w:ascii="Courier New" w:hAnsi="Courier New" w:hint="default"/>
      </w:rPr>
    </w:lvl>
    <w:lvl w:ilvl="1" w:tplc="E3B2E3CA">
      <w:start w:val="1"/>
      <w:numFmt w:val="bullet"/>
      <w:lvlText w:val="o"/>
      <w:lvlJc w:val="left"/>
      <w:pPr>
        <w:tabs>
          <w:tab w:val="num" w:pos="1440"/>
        </w:tabs>
        <w:ind w:left="1440" w:hanging="360"/>
      </w:pPr>
      <w:rPr>
        <w:rFonts w:ascii="Courier New" w:hAnsi="Courier New" w:hint="default"/>
      </w:rPr>
    </w:lvl>
    <w:lvl w:ilvl="2" w:tplc="3F448B28" w:tentative="1">
      <w:start w:val="1"/>
      <w:numFmt w:val="bullet"/>
      <w:lvlText w:val="o"/>
      <w:lvlJc w:val="left"/>
      <w:pPr>
        <w:tabs>
          <w:tab w:val="num" w:pos="2160"/>
        </w:tabs>
        <w:ind w:left="2160" w:hanging="360"/>
      </w:pPr>
      <w:rPr>
        <w:rFonts w:ascii="Courier New" w:hAnsi="Courier New" w:hint="default"/>
      </w:rPr>
    </w:lvl>
    <w:lvl w:ilvl="3" w:tplc="05085364" w:tentative="1">
      <w:start w:val="1"/>
      <w:numFmt w:val="bullet"/>
      <w:lvlText w:val="o"/>
      <w:lvlJc w:val="left"/>
      <w:pPr>
        <w:tabs>
          <w:tab w:val="num" w:pos="2880"/>
        </w:tabs>
        <w:ind w:left="2880" w:hanging="360"/>
      </w:pPr>
      <w:rPr>
        <w:rFonts w:ascii="Courier New" w:hAnsi="Courier New" w:hint="default"/>
      </w:rPr>
    </w:lvl>
    <w:lvl w:ilvl="4" w:tplc="A7CCDA16" w:tentative="1">
      <w:start w:val="1"/>
      <w:numFmt w:val="bullet"/>
      <w:lvlText w:val="o"/>
      <w:lvlJc w:val="left"/>
      <w:pPr>
        <w:tabs>
          <w:tab w:val="num" w:pos="3600"/>
        </w:tabs>
        <w:ind w:left="3600" w:hanging="360"/>
      </w:pPr>
      <w:rPr>
        <w:rFonts w:ascii="Courier New" w:hAnsi="Courier New" w:hint="default"/>
      </w:rPr>
    </w:lvl>
    <w:lvl w:ilvl="5" w:tplc="3E84E176" w:tentative="1">
      <w:start w:val="1"/>
      <w:numFmt w:val="bullet"/>
      <w:lvlText w:val="o"/>
      <w:lvlJc w:val="left"/>
      <w:pPr>
        <w:tabs>
          <w:tab w:val="num" w:pos="4320"/>
        </w:tabs>
        <w:ind w:left="4320" w:hanging="360"/>
      </w:pPr>
      <w:rPr>
        <w:rFonts w:ascii="Courier New" w:hAnsi="Courier New" w:hint="default"/>
      </w:rPr>
    </w:lvl>
    <w:lvl w:ilvl="6" w:tplc="F49454EC" w:tentative="1">
      <w:start w:val="1"/>
      <w:numFmt w:val="bullet"/>
      <w:lvlText w:val="o"/>
      <w:lvlJc w:val="left"/>
      <w:pPr>
        <w:tabs>
          <w:tab w:val="num" w:pos="5040"/>
        </w:tabs>
        <w:ind w:left="5040" w:hanging="360"/>
      </w:pPr>
      <w:rPr>
        <w:rFonts w:ascii="Courier New" w:hAnsi="Courier New" w:hint="default"/>
      </w:rPr>
    </w:lvl>
    <w:lvl w:ilvl="7" w:tplc="6AAE2BCC" w:tentative="1">
      <w:start w:val="1"/>
      <w:numFmt w:val="bullet"/>
      <w:lvlText w:val="o"/>
      <w:lvlJc w:val="left"/>
      <w:pPr>
        <w:tabs>
          <w:tab w:val="num" w:pos="5760"/>
        </w:tabs>
        <w:ind w:left="5760" w:hanging="360"/>
      </w:pPr>
      <w:rPr>
        <w:rFonts w:ascii="Courier New" w:hAnsi="Courier New" w:hint="default"/>
      </w:rPr>
    </w:lvl>
    <w:lvl w:ilvl="8" w:tplc="8CA633E2"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5"/>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8"/>
    <w:rsid w:val="000067DD"/>
    <w:rsid w:val="00016343"/>
    <w:rsid w:val="000244FE"/>
    <w:rsid w:val="00046F66"/>
    <w:rsid w:val="00055696"/>
    <w:rsid w:val="00062E69"/>
    <w:rsid w:val="00073CF6"/>
    <w:rsid w:val="000742F2"/>
    <w:rsid w:val="000D1CD0"/>
    <w:rsid w:val="000E31DE"/>
    <w:rsid w:val="000F1B3C"/>
    <w:rsid w:val="001528BB"/>
    <w:rsid w:val="00157CEC"/>
    <w:rsid w:val="001621DA"/>
    <w:rsid w:val="001952AB"/>
    <w:rsid w:val="001B43A8"/>
    <w:rsid w:val="001B6EA2"/>
    <w:rsid w:val="001C2912"/>
    <w:rsid w:val="001E3400"/>
    <w:rsid w:val="00264790"/>
    <w:rsid w:val="002A3B1F"/>
    <w:rsid w:val="002E6E1C"/>
    <w:rsid w:val="002E7DA2"/>
    <w:rsid w:val="00305C06"/>
    <w:rsid w:val="003115B4"/>
    <w:rsid w:val="00322A26"/>
    <w:rsid w:val="0034581F"/>
    <w:rsid w:val="00347234"/>
    <w:rsid w:val="0036098A"/>
    <w:rsid w:val="003863F3"/>
    <w:rsid w:val="00391B13"/>
    <w:rsid w:val="0039585F"/>
    <w:rsid w:val="003C3D4D"/>
    <w:rsid w:val="003D235F"/>
    <w:rsid w:val="003E0035"/>
    <w:rsid w:val="003E24C0"/>
    <w:rsid w:val="003F6EE1"/>
    <w:rsid w:val="004610F0"/>
    <w:rsid w:val="004825AA"/>
    <w:rsid w:val="00491A21"/>
    <w:rsid w:val="004B7130"/>
    <w:rsid w:val="004D5369"/>
    <w:rsid w:val="004E02D3"/>
    <w:rsid w:val="005018A9"/>
    <w:rsid w:val="005127CF"/>
    <w:rsid w:val="005249B8"/>
    <w:rsid w:val="0052707A"/>
    <w:rsid w:val="0053393A"/>
    <w:rsid w:val="00536371"/>
    <w:rsid w:val="00543E5C"/>
    <w:rsid w:val="00571996"/>
    <w:rsid w:val="005B307D"/>
    <w:rsid w:val="005B64E1"/>
    <w:rsid w:val="005E0F9B"/>
    <w:rsid w:val="005E403A"/>
    <w:rsid w:val="005F097C"/>
    <w:rsid w:val="0062629D"/>
    <w:rsid w:val="00633142"/>
    <w:rsid w:val="00633E86"/>
    <w:rsid w:val="00633FCC"/>
    <w:rsid w:val="006468BF"/>
    <w:rsid w:val="006876A6"/>
    <w:rsid w:val="006C233D"/>
    <w:rsid w:val="006F5C8A"/>
    <w:rsid w:val="00703F2B"/>
    <w:rsid w:val="00721430"/>
    <w:rsid w:val="00744196"/>
    <w:rsid w:val="00752562"/>
    <w:rsid w:val="00760C45"/>
    <w:rsid w:val="00761445"/>
    <w:rsid w:val="00770280"/>
    <w:rsid w:val="007A109B"/>
    <w:rsid w:val="007B5C6F"/>
    <w:rsid w:val="007C4D0D"/>
    <w:rsid w:val="007C5DE2"/>
    <w:rsid w:val="007E44C6"/>
    <w:rsid w:val="00841727"/>
    <w:rsid w:val="00844E1A"/>
    <w:rsid w:val="00851777"/>
    <w:rsid w:val="008527FE"/>
    <w:rsid w:val="008746E4"/>
    <w:rsid w:val="00881218"/>
    <w:rsid w:val="00892D13"/>
    <w:rsid w:val="008A151D"/>
    <w:rsid w:val="008A1CB6"/>
    <w:rsid w:val="008C4D20"/>
    <w:rsid w:val="008C6E18"/>
    <w:rsid w:val="008F33B5"/>
    <w:rsid w:val="009134EE"/>
    <w:rsid w:val="00920523"/>
    <w:rsid w:val="00925B1D"/>
    <w:rsid w:val="00936F9F"/>
    <w:rsid w:val="009532FA"/>
    <w:rsid w:val="00980716"/>
    <w:rsid w:val="0098591C"/>
    <w:rsid w:val="00991BA3"/>
    <w:rsid w:val="009E2DD8"/>
    <w:rsid w:val="00A15334"/>
    <w:rsid w:val="00A3472F"/>
    <w:rsid w:val="00A6427B"/>
    <w:rsid w:val="00A752E2"/>
    <w:rsid w:val="00A80ED2"/>
    <w:rsid w:val="00AA32B8"/>
    <w:rsid w:val="00AB5C37"/>
    <w:rsid w:val="00B551C7"/>
    <w:rsid w:val="00B66AD7"/>
    <w:rsid w:val="00B7389C"/>
    <w:rsid w:val="00B82B53"/>
    <w:rsid w:val="00BA68D7"/>
    <w:rsid w:val="00BD6068"/>
    <w:rsid w:val="00BF15C9"/>
    <w:rsid w:val="00BF6E44"/>
    <w:rsid w:val="00C03536"/>
    <w:rsid w:val="00C17FD1"/>
    <w:rsid w:val="00C366F7"/>
    <w:rsid w:val="00C45504"/>
    <w:rsid w:val="00C74FD6"/>
    <w:rsid w:val="00CD6CD9"/>
    <w:rsid w:val="00CE30DA"/>
    <w:rsid w:val="00CE6A4E"/>
    <w:rsid w:val="00D00268"/>
    <w:rsid w:val="00D1117A"/>
    <w:rsid w:val="00D4007B"/>
    <w:rsid w:val="00D55A56"/>
    <w:rsid w:val="00D63E8C"/>
    <w:rsid w:val="00D72E5A"/>
    <w:rsid w:val="00D7586A"/>
    <w:rsid w:val="00D8223B"/>
    <w:rsid w:val="00D8587B"/>
    <w:rsid w:val="00DB4B59"/>
    <w:rsid w:val="00DB5CBC"/>
    <w:rsid w:val="00DE4019"/>
    <w:rsid w:val="00DF3220"/>
    <w:rsid w:val="00E12899"/>
    <w:rsid w:val="00E23A75"/>
    <w:rsid w:val="00E40B28"/>
    <w:rsid w:val="00E42B8E"/>
    <w:rsid w:val="00E82DDA"/>
    <w:rsid w:val="00EC2702"/>
    <w:rsid w:val="00EC2946"/>
    <w:rsid w:val="00F0741F"/>
    <w:rsid w:val="00F10BEA"/>
    <w:rsid w:val="00F12844"/>
    <w:rsid w:val="00F134D3"/>
    <w:rsid w:val="00F465E7"/>
    <w:rsid w:val="00F4760B"/>
    <w:rsid w:val="00F70293"/>
    <w:rsid w:val="00FC0C79"/>
    <w:rsid w:val="00FD7BFD"/>
    <w:rsid w:val="00FE226B"/>
    <w:rsid w:val="00FE2CA3"/>
    <w:rsid w:val="00FE31CB"/>
    <w:rsid w:val="00FE529A"/>
    <w:rsid w:val="00FF1DCE"/>
    <w:rsid w:val="00FF2298"/>
    <w:rsid w:val="01C4A486"/>
    <w:rsid w:val="02C491A2"/>
    <w:rsid w:val="05F0D53F"/>
    <w:rsid w:val="07ED1D0F"/>
    <w:rsid w:val="089C3257"/>
    <w:rsid w:val="08CAB8A1"/>
    <w:rsid w:val="095F7BC3"/>
    <w:rsid w:val="0B1575CC"/>
    <w:rsid w:val="0B2F622F"/>
    <w:rsid w:val="0B525E6F"/>
    <w:rsid w:val="0E8EE123"/>
    <w:rsid w:val="0EC0AF39"/>
    <w:rsid w:val="1050627D"/>
    <w:rsid w:val="1074D277"/>
    <w:rsid w:val="10F7DA0E"/>
    <w:rsid w:val="126F06FC"/>
    <w:rsid w:val="15A095D4"/>
    <w:rsid w:val="16539E8B"/>
    <w:rsid w:val="1B706FBF"/>
    <w:rsid w:val="1CF2B4C9"/>
    <w:rsid w:val="1D38030E"/>
    <w:rsid w:val="1DB6CDBC"/>
    <w:rsid w:val="1DC506D6"/>
    <w:rsid w:val="1DE5412A"/>
    <w:rsid w:val="1E4038D3"/>
    <w:rsid w:val="202AB885"/>
    <w:rsid w:val="20B0AEF7"/>
    <w:rsid w:val="2105E62E"/>
    <w:rsid w:val="220B7431"/>
    <w:rsid w:val="222EB428"/>
    <w:rsid w:val="23C11BD7"/>
    <w:rsid w:val="244657F3"/>
    <w:rsid w:val="24A2793B"/>
    <w:rsid w:val="269FD81A"/>
    <w:rsid w:val="26C5BCF7"/>
    <w:rsid w:val="26DEBA74"/>
    <w:rsid w:val="27B9DE2C"/>
    <w:rsid w:val="2A83FA84"/>
    <w:rsid w:val="2B992E1A"/>
    <w:rsid w:val="2BC653D5"/>
    <w:rsid w:val="2BF0F23C"/>
    <w:rsid w:val="2C7A567C"/>
    <w:rsid w:val="2E0C73EA"/>
    <w:rsid w:val="2EC6F6E5"/>
    <w:rsid w:val="30F1ACCC"/>
    <w:rsid w:val="311A3276"/>
    <w:rsid w:val="3195E3B5"/>
    <w:rsid w:val="326F7794"/>
    <w:rsid w:val="3349AD83"/>
    <w:rsid w:val="33806A97"/>
    <w:rsid w:val="33E0C939"/>
    <w:rsid w:val="3438D93C"/>
    <w:rsid w:val="3492F1A1"/>
    <w:rsid w:val="36C7D20E"/>
    <w:rsid w:val="36F3E5D2"/>
    <w:rsid w:val="3887105E"/>
    <w:rsid w:val="392FD37F"/>
    <w:rsid w:val="39AD07FF"/>
    <w:rsid w:val="3A475F9D"/>
    <w:rsid w:val="3A7A8979"/>
    <w:rsid w:val="3CC20B2A"/>
    <w:rsid w:val="3CC654CE"/>
    <w:rsid w:val="3CEF5C20"/>
    <w:rsid w:val="3D5052F3"/>
    <w:rsid w:val="3E6F7BDA"/>
    <w:rsid w:val="3EE53306"/>
    <w:rsid w:val="3F3464EB"/>
    <w:rsid w:val="407E08E1"/>
    <w:rsid w:val="419EC2E2"/>
    <w:rsid w:val="41FBE1E3"/>
    <w:rsid w:val="4451E01C"/>
    <w:rsid w:val="462056D2"/>
    <w:rsid w:val="465DF47B"/>
    <w:rsid w:val="47B14B55"/>
    <w:rsid w:val="47F7202C"/>
    <w:rsid w:val="48455BFA"/>
    <w:rsid w:val="496401EC"/>
    <w:rsid w:val="4BCC3FE8"/>
    <w:rsid w:val="4C6435CB"/>
    <w:rsid w:val="4DD03B8B"/>
    <w:rsid w:val="4EE14540"/>
    <w:rsid w:val="4FEBA552"/>
    <w:rsid w:val="50F2EE74"/>
    <w:rsid w:val="51158A54"/>
    <w:rsid w:val="51CFD5C2"/>
    <w:rsid w:val="51F3AB6C"/>
    <w:rsid w:val="5225DA3B"/>
    <w:rsid w:val="54C3A982"/>
    <w:rsid w:val="565892BD"/>
    <w:rsid w:val="56D86026"/>
    <w:rsid w:val="57EAB071"/>
    <w:rsid w:val="58366C26"/>
    <w:rsid w:val="592F8448"/>
    <w:rsid w:val="59CF46AE"/>
    <w:rsid w:val="5A0F4387"/>
    <w:rsid w:val="5A80A85D"/>
    <w:rsid w:val="5C3B3F05"/>
    <w:rsid w:val="5DB8491F"/>
    <w:rsid w:val="623E172F"/>
    <w:rsid w:val="63416076"/>
    <w:rsid w:val="63F5631D"/>
    <w:rsid w:val="65834B03"/>
    <w:rsid w:val="672E5DFD"/>
    <w:rsid w:val="68103377"/>
    <w:rsid w:val="68392BFB"/>
    <w:rsid w:val="69A1D54A"/>
    <w:rsid w:val="69AC03D8"/>
    <w:rsid w:val="6A4B7C44"/>
    <w:rsid w:val="6A64A4A1"/>
    <w:rsid w:val="6C3E1F9E"/>
    <w:rsid w:val="6CD9760C"/>
    <w:rsid w:val="6CE7C55F"/>
    <w:rsid w:val="6E73D648"/>
    <w:rsid w:val="704127F4"/>
    <w:rsid w:val="7193BED2"/>
    <w:rsid w:val="734E4058"/>
    <w:rsid w:val="74459BF3"/>
    <w:rsid w:val="758DAEAA"/>
    <w:rsid w:val="76E33651"/>
    <w:rsid w:val="78CDBD33"/>
    <w:rsid w:val="79F16566"/>
    <w:rsid w:val="7BAFCBBA"/>
    <w:rsid w:val="7BCEA0E1"/>
    <w:rsid w:val="7EE1E9A1"/>
    <w:rsid w:val="7FEF9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2B59"/>
  <w15:chartTrackingRefBased/>
  <w15:docId w15:val="{F77FDD04-A78A-4246-B535-371A3914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4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B8"/>
    <w:rPr>
      <w:color w:val="0563C1" w:themeColor="hyperlink"/>
      <w:u w:val="single"/>
    </w:rPr>
  </w:style>
  <w:style w:type="character" w:styleId="UnresolvedMention">
    <w:name w:val="Unresolved Mention"/>
    <w:basedOn w:val="DefaultParagraphFont"/>
    <w:uiPriority w:val="99"/>
    <w:semiHidden/>
    <w:unhideWhenUsed/>
    <w:rsid w:val="005249B8"/>
    <w:rPr>
      <w:color w:val="605E5C"/>
      <w:shd w:val="clear" w:color="auto" w:fill="E1DFDD"/>
    </w:rPr>
  </w:style>
  <w:style w:type="paragraph" w:styleId="ListParagraph">
    <w:name w:val="List Paragraph"/>
    <w:basedOn w:val="Normal"/>
    <w:uiPriority w:val="34"/>
    <w:qFormat/>
    <w:rsid w:val="005249B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
    <w:name w:val="Grid Table 4"/>
    <w:basedOn w:val="TableNormal"/>
    <w:uiPriority w:val="49"/>
    <w:rsid w:val="00CE6A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7A109B"/>
  </w:style>
  <w:style w:type="character" w:customStyle="1" w:styleId="eop">
    <w:name w:val="eop"/>
    <w:basedOn w:val="DefaultParagraphFont"/>
    <w:rsid w:val="007A109B"/>
  </w:style>
  <w:style w:type="paragraph" w:styleId="CommentSubject">
    <w:name w:val="annotation subject"/>
    <w:basedOn w:val="CommentText"/>
    <w:next w:val="CommentText"/>
    <w:link w:val="CommentSubjectChar"/>
    <w:uiPriority w:val="99"/>
    <w:semiHidden/>
    <w:unhideWhenUsed/>
    <w:rsid w:val="00844E1A"/>
    <w:rPr>
      <w:b/>
      <w:bCs/>
    </w:rPr>
  </w:style>
  <w:style w:type="character" w:customStyle="1" w:styleId="CommentSubjectChar">
    <w:name w:val="Comment Subject Char"/>
    <w:basedOn w:val="CommentTextChar"/>
    <w:link w:val="CommentSubject"/>
    <w:uiPriority w:val="99"/>
    <w:semiHidden/>
    <w:rsid w:val="00844E1A"/>
    <w:rPr>
      <w:b/>
      <w:bCs/>
      <w:sz w:val="20"/>
      <w:szCs w:val="20"/>
    </w:rPr>
  </w:style>
  <w:style w:type="character" w:customStyle="1" w:styleId="Heading1Char">
    <w:name w:val="Heading 1 Char"/>
    <w:basedOn w:val="DefaultParagraphFont"/>
    <w:link w:val="Heading1"/>
    <w:uiPriority w:val="9"/>
    <w:rsid w:val="009134E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74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32416">
      <w:bodyDiv w:val="1"/>
      <w:marLeft w:val="0"/>
      <w:marRight w:val="0"/>
      <w:marTop w:val="0"/>
      <w:marBottom w:val="0"/>
      <w:divBdr>
        <w:top w:val="none" w:sz="0" w:space="0" w:color="auto"/>
        <w:left w:val="none" w:sz="0" w:space="0" w:color="auto"/>
        <w:bottom w:val="none" w:sz="0" w:space="0" w:color="auto"/>
        <w:right w:val="none" w:sz="0" w:space="0" w:color="auto"/>
      </w:divBdr>
    </w:div>
    <w:div w:id="768357404">
      <w:bodyDiv w:val="1"/>
      <w:marLeft w:val="0"/>
      <w:marRight w:val="0"/>
      <w:marTop w:val="0"/>
      <w:marBottom w:val="0"/>
      <w:divBdr>
        <w:top w:val="none" w:sz="0" w:space="0" w:color="auto"/>
        <w:left w:val="none" w:sz="0" w:space="0" w:color="auto"/>
        <w:bottom w:val="none" w:sz="0" w:space="0" w:color="auto"/>
        <w:right w:val="none" w:sz="0" w:space="0" w:color="auto"/>
      </w:divBdr>
      <w:divsChild>
        <w:div w:id="226649396">
          <w:marLeft w:val="360"/>
          <w:marRight w:val="0"/>
          <w:marTop w:val="200"/>
          <w:marBottom w:val="0"/>
          <w:divBdr>
            <w:top w:val="none" w:sz="0" w:space="0" w:color="auto"/>
            <w:left w:val="none" w:sz="0" w:space="0" w:color="auto"/>
            <w:bottom w:val="none" w:sz="0" w:space="0" w:color="auto"/>
            <w:right w:val="none" w:sz="0" w:space="0" w:color="auto"/>
          </w:divBdr>
        </w:div>
        <w:div w:id="1776168014">
          <w:marLeft w:val="360"/>
          <w:marRight w:val="0"/>
          <w:marTop w:val="200"/>
          <w:marBottom w:val="0"/>
          <w:divBdr>
            <w:top w:val="none" w:sz="0" w:space="0" w:color="auto"/>
            <w:left w:val="none" w:sz="0" w:space="0" w:color="auto"/>
            <w:bottom w:val="none" w:sz="0" w:space="0" w:color="auto"/>
            <w:right w:val="none" w:sz="0" w:space="0" w:color="auto"/>
          </w:divBdr>
        </w:div>
      </w:divsChild>
    </w:div>
    <w:div w:id="853150015">
      <w:bodyDiv w:val="1"/>
      <w:marLeft w:val="0"/>
      <w:marRight w:val="0"/>
      <w:marTop w:val="0"/>
      <w:marBottom w:val="0"/>
      <w:divBdr>
        <w:top w:val="none" w:sz="0" w:space="0" w:color="auto"/>
        <w:left w:val="none" w:sz="0" w:space="0" w:color="auto"/>
        <w:bottom w:val="none" w:sz="0" w:space="0" w:color="auto"/>
        <w:right w:val="none" w:sz="0" w:space="0" w:color="auto"/>
      </w:divBdr>
      <w:divsChild>
        <w:div w:id="646980408">
          <w:marLeft w:val="360"/>
          <w:marRight w:val="0"/>
          <w:marTop w:val="200"/>
          <w:marBottom w:val="0"/>
          <w:divBdr>
            <w:top w:val="none" w:sz="0" w:space="0" w:color="auto"/>
            <w:left w:val="none" w:sz="0" w:space="0" w:color="auto"/>
            <w:bottom w:val="none" w:sz="0" w:space="0" w:color="auto"/>
            <w:right w:val="none" w:sz="0" w:space="0" w:color="auto"/>
          </w:divBdr>
        </w:div>
        <w:div w:id="1937522043">
          <w:marLeft w:val="1080"/>
          <w:marRight w:val="0"/>
          <w:marTop w:val="100"/>
          <w:marBottom w:val="0"/>
          <w:divBdr>
            <w:top w:val="none" w:sz="0" w:space="0" w:color="auto"/>
            <w:left w:val="none" w:sz="0" w:space="0" w:color="auto"/>
            <w:bottom w:val="none" w:sz="0" w:space="0" w:color="auto"/>
            <w:right w:val="none" w:sz="0" w:space="0" w:color="auto"/>
          </w:divBdr>
        </w:div>
      </w:divsChild>
    </w:div>
    <w:div w:id="1021971672">
      <w:bodyDiv w:val="1"/>
      <w:marLeft w:val="0"/>
      <w:marRight w:val="0"/>
      <w:marTop w:val="0"/>
      <w:marBottom w:val="0"/>
      <w:divBdr>
        <w:top w:val="none" w:sz="0" w:space="0" w:color="auto"/>
        <w:left w:val="none" w:sz="0" w:space="0" w:color="auto"/>
        <w:bottom w:val="none" w:sz="0" w:space="0" w:color="auto"/>
        <w:right w:val="none" w:sz="0" w:space="0" w:color="auto"/>
      </w:divBdr>
    </w:div>
    <w:div w:id="1175073433">
      <w:bodyDiv w:val="1"/>
      <w:marLeft w:val="0"/>
      <w:marRight w:val="0"/>
      <w:marTop w:val="0"/>
      <w:marBottom w:val="0"/>
      <w:divBdr>
        <w:top w:val="none" w:sz="0" w:space="0" w:color="auto"/>
        <w:left w:val="none" w:sz="0" w:space="0" w:color="auto"/>
        <w:bottom w:val="none" w:sz="0" w:space="0" w:color="auto"/>
        <w:right w:val="none" w:sz="0" w:space="0" w:color="auto"/>
      </w:divBdr>
    </w:div>
    <w:div w:id="1387876096">
      <w:bodyDiv w:val="1"/>
      <w:marLeft w:val="0"/>
      <w:marRight w:val="0"/>
      <w:marTop w:val="0"/>
      <w:marBottom w:val="0"/>
      <w:divBdr>
        <w:top w:val="none" w:sz="0" w:space="0" w:color="auto"/>
        <w:left w:val="none" w:sz="0" w:space="0" w:color="auto"/>
        <w:bottom w:val="none" w:sz="0" w:space="0" w:color="auto"/>
        <w:right w:val="none" w:sz="0" w:space="0" w:color="auto"/>
      </w:divBdr>
      <w:divsChild>
        <w:div w:id="1655182691">
          <w:marLeft w:val="360"/>
          <w:marRight w:val="0"/>
          <w:marTop w:val="200"/>
          <w:marBottom w:val="0"/>
          <w:divBdr>
            <w:top w:val="none" w:sz="0" w:space="0" w:color="auto"/>
            <w:left w:val="none" w:sz="0" w:space="0" w:color="auto"/>
            <w:bottom w:val="none" w:sz="0" w:space="0" w:color="auto"/>
            <w:right w:val="none" w:sz="0" w:space="0" w:color="auto"/>
          </w:divBdr>
        </w:div>
        <w:div w:id="1920672472">
          <w:marLeft w:val="360"/>
          <w:marRight w:val="0"/>
          <w:marTop w:val="200"/>
          <w:marBottom w:val="0"/>
          <w:divBdr>
            <w:top w:val="none" w:sz="0" w:space="0" w:color="auto"/>
            <w:left w:val="none" w:sz="0" w:space="0" w:color="auto"/>
            <w:bottom w:val="none" w:sz="0" w:space="0" w:color="auto"/>
            <w:right w:val="none" w:sz="0" w:space="0" w:color="auto"/>
          </w:divBdr>
        </w:div>
      </w:divsChild>
    </w:div>
    <w:div w:id="1485076009">
      <w:bodyDiv w:val="1"/>
      <w:marLeft w:val="0"/>
      <w:marRight w:val="0"/>
      <w:marTop w:val="0"/>
      <w:marBottom w:val="0"/>
      <w:divBdr>
        <w:top w:val="none" w:sz="0" w:space="0" w:color="auto"/>
        <w:left w:val="none" w:sz="0" w:space="0" w:color="auto"/>
        <w:bottom w:val="none" w:sz="0" w:space="0" w:color="auto"/>
        <w:right w:val="none" w:sz="0" w:space="0" w:color="auto"/>
      </w:divBdr>
      <w:divsChild>
        <w:div w:id="282998708">
          <w:marLeft w:val="1080"/>
          <w:marRight w:val="0"/>
          <w:marTop w:val="100"/>
          <w:marBottom w:val="0"/>
          <w:divBdr>
            <w:top w:val="none" w:sz="0" w:space="0" w:color="auto"/>
            <w:left w:val="none" w:sz="0" w:space="0" w:color="auto"/>
            <w:bottom w:val="none" w:sz="0" w:space="0" w:color="auto"/>
            <w:right w:val="none" w:sz="0" w:space="0" w:color="auto"/>
          </w:divBdr>
        </w:div>
        <w:div w:id="1321544275">
          <w:marLeft w:val="360"/>
          <w:marRight w:val="0"/>
          <w:marTop w:val="200"/>
          <w:marBottom w:val="0"/>
          <w:divBdr>
            <w:top w:val="none" w:sz="0" w:space="0" w:color="auto"/>
            <w:left w:val="none" w:sz="0" w:space="0" w:color="auto"/>
            <w:bottom w:val="none" w:sz="0" w:space="0" w:color="auto"/>
            <w:right w:val="none" w:sz="0" w:space="0" w:color="auto"/>
          </w:divBdr>
        </w:div>
        <w:div w:id="1576548468">
          <w:marLeft w:val="360"/>
          <w:marRight w:val="0"/>
          <w:marTop w:val="200"/>
          <w:marBottom w:val="0"/>
          <w:divBdr>
            <w:top w:val="none" w:sz="0" w:space="0" w:color="auto"/>
            <w:left w:val="none" w:sz="0" w:space="0" w:color="auto"/>
            <w:bottom w:val="none" w:sz="0" w:space="0" w:color="auto"/>
            <w:right w:val="none" w:sz="0" w:space="0" w:color="auto"/>
          </w:divBdr>
        </w:div>
      </w:divsChild>
    </w:div>
    <w:div w:id="1675303203">
      <w:bodyDiv w:val="1"/>
      <w:marLeft w:val="0"/>
      <w:marRight w:val="0"/>
      <w:marTop w:val="0"/>
      <w:marBottom w:val="0"/>
      <w:divBdr>
        <w:top w:val="none" w:sz="0" w:space="0" w:color="auto"/>
        <w:left w:val="none" w:sz="0" w:space="0" w:color="auto"/>
        <w:bottom w:val="none" w:sz="0" w:space="0" w:color="auto"/>
        <w:right w:val="none" w:sz="0" w:space="0" w:color="auto"/>
      </w:divBdr>
      <w:divsChild>
        <w:div w:id="903561343">
          <w:marLeft w:val="360"/>
          <w:marRight w:val="0"/>
          <w:marTop w:val="200"/>
          <w:marBottom w:val="0"/>
          <w:divBdr>
            <w:top w:val="none" w:sz="0" w:space="0" w:color="auto"/>
            <w:left w:val="none" w:sz="0" w:space="0" w:color="auto"/>
            <w:bottom w:val="none" w:sz="0" w:space="0" w:color="auto"/>
            <w:right w:val="none" w:sz="0" w:space="0" w:color="auto"/>
          </w:divBdr>
        </w:div>
        <w:div w:id="1493835271">
          <w:marLeft w:val="360"/>
          <w:marRight w:val="0"/>
          <w:marTop w:val="200"/>
          <w:marBottom w:val="0"/>
          <w:divBdr>
            <w:top w:val="none" w:sz="0" w:space="0" w:color="auto"/>
            <w:left w:val="none" w:sz="0" w:space="0" w:color="auto"/>
            <w:bottom w:val="none" w:sz="0" w:space="0" w:color="auto"/>
            <w:right w:val="none" w:sz="0" w:space="0" w:color="auto"/>
          </w:divBdr>
        </w:div>
      </w:divsChild>
    </w:div>
    <w:div w:id="1784420878">
      <w:bodyDiv w:val="1"/>
      <w:marLeft w:val="0"/>
      <w:marRight w:val="0"/>
      <w:marTop w:val="0"/>
      <w:marBottom w:val="0"/>
      <w:divBdr>
        <w:top w:val="none" w:sz="0" w:space="0" w:color="auto"/>
        <w:left w:val="none" w:sz="0" w:space="0" w:color="auto"/>
        <w:bottom w:val="none" w:sz="0" w:space="0" w:color="auto"/>
        <w:right w:val="none" w:sz="0" w:space="0" w:color="auto"/>
      </w:divBdr>
    </w:div>
    <w:div w:id="2065644173">
      <w:bodyDiv w:val="1"/>
      <w:marLeft w:val="0"/>
      <w:marRight w:val="0"/>
      <w:marTop w:val="0"/>
      <w:marBottom w:val="0"/>
      <w:divBdr>
        <w:top w:val="none" w:sz="0" w:space="0" w:color="auto"/>
        <w:left w:val="none" w:sz="0" w:space="0" w:color="auto"/>
        <w:bottom w:val="none" w:sz="0" w:space="0" w:color="auto"/>
        <w:right w:val="none" w:sz="0" w:space="0" w:color="auto"/>
      </w:divBdr>
      <w:divsChild>
        <w:div w:id="499540758">
          <w:marLeft w:val="360"/>
          <w:marRight w:val="0"/>
          <w:marTop w:val="200"/>
          <w:marBottom w:val="0"/>
          <w:divBdr>
            <w:top w:val="none" w:sz="0" w:space="0" w:color="auto"/>
            <w:left w:val="none" w:sz="0" w:space="0" w:color="auto"/>
            <w:bottom w:val="none" w:sz="0" w:space="0" w:color="auto"/>
            <w:right w:val="none" w:sz="0" w:space="0" w:color="auto"/>
          </w:divBdr>
        </w:div>
        <w:div w:id="94569394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2/indicator2-slides-haitiancreole.pptx" TargetMode="External"/><Relationship Id="rId5" Type="http://schemas.openxmlformats.org/officeDocument/2006/relationships/styles" Target="styles.xml"/><Relationship Id="rId10" Type="http://schemas.openxmlformats.org/officeDocument/2006/relationships/hyperlink" Target="https://www.doe.mass.edu/infoservices/data/si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1D51D-482F-4B53-B4BA-FD6556A0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4BC81-E520-410A-980C-63E0F20BA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6ABE1-C03C-4386-82CB-D6B285555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424</Words>
  <Characters>1842</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2: Dropout Rate for Students with IEPs — Haitian Creole</dc:title>
  <dc:subject/>
  <dc:creator>DESE</dc:creator>
  <cp:keywords/>
  <dc:description/>
  <cp:lastModifiedBy>Zou, Dong (EOE)</cp:lastModifiedBy>
  <cp:revision>30</cp:revision>
  <cp:lastPrinted>2021-10-06T16:21:00Z</cp:lastPrinted>
  <dcterms:created xsi:type="dcterms:W3CDTF">2021-10-06T15:23:00Z</dcterms:created>
  <dcterms:modified xsi:type="dcterms:W3CDTF">2023-01-09T15:27:00Z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