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A1E3E" w14:textId="494E0E0A" w:rsidR="00D8223B" w:rsidRPr="0023419D" w:rsidRDefault="00D8223B" w:rsidP="009134EE">
      <w:pPr>
        <w:pStyle w:val="Heading1"/>
        <w:rPr>
          <w:b/>
          <w:bCs/>
          <w:lang w:val="es-ES"/>
        </w:rPr>
      </w:pPr>
      <w:r w:rsidRPr="0023419D">
        <w:rPr>
          <w:b/>
          <w:bCs/>
          <w:lang w:val="es"/>
        </w:rPr>
        <w:t>Indicador 2: Tasa de abandono para estudiantes con un IEP</w:t>
      </w:r>
    </w:p>
    <w:p w14:paraId="527D62F6" w14:textId="77777777" w:rsidR="00EC2946" w:rsidRPr="000A59BC" w:rsidRDefault="00EC2946" w:rsidP="00EC2946">
      <w:pPr>
        <w:rPr>
          <w:lang w:val="es-ES"/>
        </w:rPr>
      </w:pPr>
    </w:p>
    <w:p w14:paraId="3A86B4A5" w14:textId="7711248C" w:rsidR="003115B4" w:rsidRPr="000A59BC" w:rsidRDefault="003115B4" w:rsidP="00FF1DCE">
      <w:pPr>
        <w:spacing w:before="120" w:after="120" w:line="240" w:lineRule="auto"/>
        <w:rPr>
          <w:rFonts w:eastAsiaTheme="minorEastAsia"/>
          <w:b/>
          <w:bCs/>
          <w:sz w:val="24"/>
          <w:szCs w:val="24"/>
          <w:lang w:val="es-ES"/>
        </w:rPr>
      </w:pPr>
      <w:r>
        <w:rPr>
          <w:rFonts w:eastAsiaTheme="minorEastAsia"/>
          <w:b/>
          <w:bCs/>
          <w:sz w:val="24"/>
          <w:szCs w:val="24"/>
          <w:lang w:val="es"/>
        </w:rPr>
        <w:t>¿Qué es el Indicador 2?</w:t>
      </w:r>
    </w:p>
    <w:p w14:paraId="2F9208AB" w14:textId="6C03339C" w:rsidR="005F097C" w:rsidRPr="000A59BC" w:rsidRDefault="58366C26" w:rsidP="00FF1DCE">
      <w:pPr>
        <w:spacing w:before="120" w:after="120" w:line="240" w:lineRule="auto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"/>
        </w:rPr>
        <w:t xml:space="preserve">El Indicador 2 informa el porcentaje de estudiantes con un Programa de Educación Individualizado (Individualized Education Program, IEP) que abandonaron sus estudios en la escuela secundaria. </w:t>
      </w:r>
      <w:bookmarkStart w:id="0" w:name="_Hlk82241042"/>
    </w:p>
    <w:p w14:paraId="669679F3" w14:textId="4E6B3C35" w:rsidR="00D8587B" w:rsidRPr="000A59BC" w:rsidRDefault="001E3400" w:rsidP="00FF1DCE">
      <w:pPr>
        <w:spacing w:before="120" w:after="120" w:line="240" w:lineRule="auto"/>
        <w:rPr>
          <w:rFonts w:ascii="Calibri" w:eastAsia="Calibri" w:hAnsi="Calibri" w:cs="Arial"/>
          <w:sz w:val="24"/>
          <w:szCs w:val="24"/>
          <w:lang w:val="es-ES"/>
        </w:rPr>
      </w:pPr>
      <w:r>
        <w:rPr>
          <w:rFonts w:ascii="Calibri" w:eastAsia="Calibri" w:hAnsi="Calibri" w:cs="Arial"/>
          <w:sz w:val="24"/>
          <w:szCs w:val="24"/>
          <w:lang w:val="es"/>
        </w:rPr>
        <w:t xml:space="preserve">Los datos para el Indicador 2 provienen del </w:t>
      </w:r>
      <w:hyperlink r:id="rId10" w:history="1">
        <w:r>
          <w:rPr>
            <w:rFonts w:ascii="Calibri" w:eastAsia="Calibri" w:hAnsi="Calibri" w:cs="Arial"/>
            <w:color w:val="0563C1"/>
            <w:sz w:val="24"/>
            <w:szCs w:val="24"/>
            <w:u w:val="single"/>
            <w:lang w:val="es"/>
          </w:rPr>
          <w:t>Sistema de Gestión de Información del Estudiante (Student Information Management System, SIMS)</w:t>
        </w:r>
      </w:hyperlink>
      <w:r>
        <w:rPr>
          <w:rFonts w:ascii="Calibri" w:eastAsia="Calibri" w:hAnsi="Calibri" w:cs="Arial"/>
          <w:sz w:val="24"/>
          <w:szCs w:val="24"/>
          <w:lang w:val="es"/>
        </w:rPr>
        <w:t xml:space="preserve"> del Departamento de Educación Primaria y Secundaria (Department of Elementary and Secondary Education).</w:t>
      </w:r>
    </w:p>
    <w:bookmarkEnd w:id="0"/>
    <w:p w14:paraId="6A240837" w14:textId="7C2BA2A0" w:rsidR="00391B13" w:rsidRPr="000A59BC" w:rsidRDefault="00391B13" w:rsidP="00FF1DCE">
      <w:pPr>
        <w:spacing w:before="120" w:after="120" w:line="240" w:lineRule="auto"/>
        <w:rPr>
          <w:rFonts w:eastAsiaTheme="minorEastAsia"/>
          <w:b/>
          <w:bCs/>
          <w:sz w:val="24"/>
          <w:szCs w:val="24"/>
          <w:lang w:val="es-ES"/>
        </w:rPr>
      </w:pPr>
      <w:r>
        <w:rPr>
          <w:rFonts w:eastAsiaTheme="minorEastAsia"/>
          <w:b/>
          <w:bCs/>
          <w:sz w:val="24"/>
          <w:szCs w:val="24"/>
          <w:lang w:val="es"/>
        </w:rPr>
        <w:t>¿Por qué el Indicador 2 es importante?</w:t>
      </w:r>
    </w:p>
    <w:p w14:paraId="7DE770A3" w14:textId="46C037B6" w:rsidR="00391B13" w:rsidRPr="000A59BC" w:rsidRDefault="00391B13" w:rsidP="00FF1DCE">
      <w:pPr>
        <w:spacing w:before="120" w:after="120" w:line="240" w:lineRule="auto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"/>
        </w:rPr>
        <w:t>El Indicador 2 es una forma de evaluar si Massachusetts está cumpliendo su objetivo de preparar a todos los estudiantes para que tengan éxito después de la escuela secundaria en la educación superior, el trabajo y la vida diaria.</w:t>
      </w:r>
    </w:p>
    <w:p w14:paraId="27733E4C" w14:textId="035C103C" w:rsidR="007A109B" w:rsidRPr="000A59BC" w:rsidRDefault="007A109B" w:rsidP="00FF1DCE">
      <w:pPr>
        <w:spacing w:before="120" w:after="120" w:line="240" w:lineRule="auto"/>
        <w:rPr>
          <w:rFonts w:eastAsiaTheme="minorEastAsia"/>
          <w:b/>
          <w:bCs/>
          <w:sz w:val="24"/>
          <w:szCs w:val="24"/>
          <w:lang w:val="es-ES"/>
        </w:rPr>
      </w:pPr>
      <w:r>
        <w:rPr>
          <w:rFonts w:eastAsiaTheme="minorEastAsia"/>
          <w:b/>
          <w:bCs/>
          <w:sz w:val="24"/>
          <w:szCs w:val="24"/>
          <w:lang w:val="es"/>
        </w:rPr>
        <w:t xml:space="preserve">Cambios en el informe del Indicador 2 </w:t>
      </w:r>
    </w:p>
    <w:p w14:paraId="0658E608" w14:textId="2634ABF1" w:rsidR="007A109B" w:rsidRPr="000A59BC" w:rsidRDefault="00760C45" w:rsidP="00FF1DCE">
      <w:pPr>
        <w:spacing w:before="120" w:after="120" w:line="240" w:lineRule="auto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"/>
        </w:rPr>
        <w:t xml:space="preserve">En el pasado, el Indicador 2 informaba el porcentaje de estudiantes con un IEP que abandonaron sus estudios </w:t>
      </w:r>
      <w:r>
        <w:rPr>
          <w:rFonts w:eastAsiaTheme="minorEastAsia"/>
          <w:i/>
          <w:iCs/>
          <w:sz w:val="24"/>
          <w:szCs w:val="24"/>
          <w:lang w:val="es"/>
        </w:rPr>
        <w:t>en función de la cantidad total de estudiantes con un IEP inscritos en la escuela secundaria (de 9.º a 12.º grado) en el año de informe</w:t>
      </w:r>
      <w:r>
        <w:rPr>
          <w:rFonts w:eastAsiaTheme="minorEastAsia"/>
          <w:sz w:val="24"/>
          <w:szCs w:val="24"/>
          <w:lang w:val="es"/>
        </w:rPr>
        <w:t xml:space="preserve">. </w:t>
      </w:r>
    </w:p>
    <w:p w14:paraId="495CF566" w14:textId="621A4105" w:rsidR="001B43A8" w:rsidRPr="000A59BC" w:rsidRDefault="001621DA" w:rsidP="00844E1A">
      <w:pPr>
        <w:spacing w:before="120" w:after="120" w:line="240" w:lineRule="auto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"/>
        </w:rPr>
        <w:t xml:space="preserve">A partir de 2021, la Oficina de Programas de Educación Especial (Office of Special Education Programs, OSEP) de los EE. UU. exige que el Indicador 2 base este porcentaje en la cantidad total de estudiantes con un IEP </w:t>
      </w:r>
      <w:r>
        <w:rPr>
          <w:rFonts w:eastAsiaTheme="minorEastAsia"/>
          <w:i/>
          <w:iCs/>
          <w:sz w:val="24"/>
          <w:szCs w:val="24"/>
          <w:lang w:val="es"/>
        </w:rPr>
        <w:t>que dejaron de asistir a la escuela secundaria en el año de informe</w:t>
      </w:r>
      <w:r>
        <w:rPr>
          <w:rFonts w:eastAsiaTheme="minorEastAsia"/>
          <w:sz w:val="24"/>
          <w:szCs w:val="24"/>
          <w:lang w:val="es"/>
        </w:rPr>
        <w:t>. Las tasas de abandono informadas en la siguiente tabla se han recalculado a partir del nuevo requisito de medida de la OSEP.</w:t>
      </w:r>
    </w:p>
    <w:p w14:paraId="59795B10" w14:textId="513570C3" w:rsidR="00844E1A" w:rsidRPr="000A59BC" w:rsidRDefault="00844E1A" w:rsidP="00844E1A">
      <w:pPr>
        <w:spacing w:before="120" w:after="12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bCs/>
          <w:sz w:val="24"/>
          <w:szCs w:val="24"/>
          <w:lang w:val="es"/>
        </w:rPr>
        <w:t>Tasas de abandono para estudiantes con un IEP</w:t>
      </w:r>
      <w:r w:rsidR="000A59BC">
        <w:rPr>
          <w:rFonts w:cstheme="minorHAnsi"/>
          <w:b/>
          <w:bCs/>
          <w:sz w:val="24"/>
          <w:szCs w:val="24"/>
          <w:lang w:val="es"/>
        </w:rPr>
        <w:t xml:space="preserve"> </w:t>
      </w:r>
    </w:p>
    <w:tbl>
      <w:tblPr>
        <w:tblStyle w:val="TableGrid"/>
        <w:tblW w:w="7800" w:type="dxa"/>
        <w:tblLayout w:type="fixed"/>
        <w:tblLook w:val="06A0" w:firstRow="1" w:lastRow="0" w:firstColumn="1" w:lastColumn="0" w:noHBand="1" w:noVBand="1"/>
      </w:tblPr>
      <w:tblGrid>
        <w:gridCol w:w="1560"/>
        <w:gridCol w:w="1560"/>
        <w:gridCol w:w="1560"/>
        <w:gridCol w:w="1560"/>
        <w:gridCol w:w="1560"/>
      </w:tblGrid>
      <w:tr w:rsidR="00B82B53" w:rsidRPr="00761445" w14:paraId="00A2D820" w14:textId="42F29C54" w:rsidTr="00B82B53">
        <w:tc>
          <w:tcPr>
            <w:tcW w:w="1560" w:type="dxa"/>
          </w:tcPr>
          <w:p w14:paraId="72EE1267" w14:textId="77777777" w:rsidR="00B82B53" w:rsidRPr="00761445" w:rsidRDefault="00B82B53" w:rsidP="00991FCB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"/>
              </w:rPr>
              <w:t>2016</w:t>
            </w:r>
          </w:p>
        </w:tc>
        <w:tc>
          <w:tcPr>
            <w:tcW w:w="1560" w:type="dxa"/>
          </w:tcPr>
          <w:p w14:paraId="3244F161" w14:textId="77777777" w:rsidR="00B82B53" w:rsidRPr="00761445" w:rsidRDefault="00B82B53" w:rsidP="00991FCB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"/>
              </w:rPr>
              <w:t>2017</w:t>
            </w:r>
          </w:p>
        </w:tc>
        <w:tc>
          <w:tcPr>
            <w:tcW w:w="1560" w:type="dxa"/>
          </w:tcPr>
          <w:p w14:paraId="19ECE8BD" w14:textId="77777777" w:rsidR="00B82B53" w:rsidRPr="00761445" w:rsidRDefault="00B82B53" w:rsidP="00991FCB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"/>
              </w:rPr>
              <w:t>2018</w:t>
            </w:r>
          </w:p>
        </w:tc>
        <w:tc>
          <w:tcPr>
            <w:tcW w:w="1560" w:type="dxa"/>
          </w:tcPr>
          <w:p w14:paraId="30A94D9D" w14:textId="77777777" w:rsidR="00B82B53" w:rsidRPr="00761445" w:rsidRDefault="00B82B53" w:rsidP="00991FCB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"/>
              </w:rPr>
              <w:t>2019</w:t>
            </w:r>
          </w:p>
        </w:tc>
        <w:tc>
          <w:tcPr>
            <w:tcW w:w="1560" w:type="dxa"/>
          </w:tcPr>
          <w:p w14:paraId="6A13474A" w14:textId="77777777" w:rsidR="00B82B53" w:rsidRPr="00761445" w:rsidRDefault="00B82B53" w:rsidP="3F3464E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2020</w:t>
            </w:r>
          </w:p>
        </w:tc>
      </w:tr>
      <w:tr w:rsidR="00B82B53" w:rsidRPr="00761445" w14:paraId="037FC96F" w14:textId="4D94CA3A" w:rsidTr="00B82B53">
        <w:tc>
          <w:tcPr>
            <w:tcW w:w="1560" w:type="dxa"/>
          </w:tcPr>
          <w:p w14:paraId="68774AB0" w14:textId="77777777" w:rsidR="00B82B53" w:rsidRPr="00761445" w:rsidRDefault="00B82B53" w:rsidP="00991F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"/>
              </w:rPr>
              <w:t>15.43 %</w:t>
            </w:r>
          </w:p>
        </w:tc>
        <w:tc>
          <w:tcPr>
            <w:tcW w:w="1560" w:type="dxa"/>
          </w:tcPr>
          <w:p w14:paraId="43793690" w14:textId="77777777" w:rsidR="00B82B53" w:rsidRPr="00761445" w:rsidRDefault="00B82B53" w:rsidP="00991F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"/>
              </w:rPr>
              <w:t>15.50 %</w:t>
            </w:r>
          </w:p>
        </w:tc>
        <w:tc>
          <w:tcPr>
            <w:tcW w:w="1560" w:type="dxa"/>
          </w:tcPr>
          <w:p w14:paraId="1C2EFDC5" w14:textId="77777777" w:rsidR="00B82B53" w:rsidRPr="00761445" w:rsidRDefault="00B82B53" w:rsidP="00991F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"/>
              </w:rPr>
              <w:t>15.11 %</w:t>
            </w:r>
          </w:p>
        </w:tc>
        <w:tc>
          <w:tcPr>
            <w:tcW w:w="1560" w:type="dxa"/>
          </w:tcPr>
          <w:p w14:paraId="51CA1EAB" w14:textId="77777777" w:rsidR="00B82B53" w:rsidRPr="00761445" w:rsidRDefault="00B82B53" w:rsidP="00991F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"/>
              </w:rPr>
              <w:t>13.97 %</w:t>
            </w:r>
          </w:p>
        </w:tc>
        <w:tc>
          <w:tcPr>
            <w:tcW w:w="1560" w:type="dxa"/>
          </w:tcPr>
          <w:p w14:paraId="5207777D" w14:textId="77777777" w:rsidR="00B82B53" w:rsidRPr="00761445" w:rsidRDefault="00B82B53" w:rsidP="00991FCB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"/>
              </w:rPr>
              <w:t>10.38 %</w:t>
            </w:r>
          </w:p>
        </w:tc>
      </w:tr>
    </w:tbl>
    <w:p w14:paraId="09930857" w14:textId="2970FACD" w:rsidR="00536371" w:rsidRDefault="00536371" w:rsidP="00FF1DCE">
      <w:pPr>
        <w:spacing w:before="120" w:after="120" w:line="240" w:lineRule="auto"/>
      </w:pPr>
      <w:r>
        <w:rPr>
          <w:rFonts w:cstheme="minorHAnsi"/>
          <w:b/>
          <w:bCs/>
          <w:sz w:val="24"/>
          <w:szCs w:val="24"/>
          <w:lang w:val="es"/>
        </w:rPr>
        <w:t>Medida del Indicador 2</w:t>
      </w:r>
    </w:p>
    <w:p w14:paraId="3E8B1300" w14:textId="53556216" w:rsidR="00536371" w:rsidRPr="00070F17" w:rsidRDefault="00FE2CA3" w:rsidP="00FF1DCE">
      <w:pPr>
        <w:spacing w:before="120" w:after="12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"/>
        </w:rPr>
        <w:t>Los porcentajes que se muestran en la tabla representan la cantidad de estudiantes de entre 14 y 21 años con un IEP que abandonaron un programa de educación especial dividida por la cantidad de todos los estudiantes de entre 14 y 21 años con un IEP que dejaron de asistir a la escuela secundaria.</w:t>
      </w:r>
    </w:p>
    <w:p w14:paraId="70F315DF" w14:textId="18E39286" w:rsidR="00920523" w:rsidRPr="00070F17" w:rsidRDefault="00920523" w:rsidP="00FF1DCE">
      <w:pPr>
        <w:spacing w:before="120" w:after="120" w:line="240" w:lineRule="auto"/>
        <w:rPr>
          <w:rFonts w:eastAsiaTheme="minorEastAsia"/>
          <w:sz w:val="24"/>
          <w:szCs w:val="24"/>
          <w:lang w:val="es-ES"/>
        </w:rPr>
      </w:pPr>
      <w:r>
        <w:rPr>
          <w:rFonts w:eastAsiaTheme="minorEastAsia"/>
          <w:sz w:val="24"/>
          <w:szCs w:val="24"/>
          <w:lang w:val="es"/>
        </w:rPr>
        <w:t xml:space="preserve">“Dejó de asistir a la escuela secundaria” significa que el estudiante: </w:t>
      </w:r>
    </w:p>
    <w:p w14:paraId="0822AD4E" w14:textId="4FDCC16E" w:rsidR="00536371" w:rsidRPr="00070F17" w:rsidRDefault="00536371" w:rsidP="00FF1DCE">
      <w:pPr>
        <w:spacing w:before="120" w:after="12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"/>
        </w:rPr>
        <w:t>(a) Se graduó con un diploma tradicional de la escuela secundaria.</w:t>
      </w:r>
    </w:p>
    <w:p w14:paraId="1F42C50B" w14:textId="5D7784E8" w:rsidR="00536371" w:rsidRPr="00070F17" w:rsidRDefault="00536371" w:rsidP="00FF1DCE">
      <w:pPr>
        <w:spacing w:before="120" w:after="12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"/>
        </w:rPr>
        <w:t>(b) Recibió un certificado.</w:t>
      </w:r>
    </w:p>
    <w:p w14:paraId="5F8DEDB1" w14:textId="29643231" w:rsidR="00536371" w:rsidRPr="00070F17" w:rsidRDefault="00536371" w:rsidP="00FF1DCE">
      <w:pPr>
        <w:spacing w:before="120" w:after="12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"/>
        </w:rPr>
        <w:t>(c) Alcanzó la edad máxima.</w:t>
      </w:r>
    </w:p>
    <w:p w14:paraId="62E49011" w14:textId="3CAE925D" w:rsidR="00536371" w:rsidRDefault="00536371" w:rsidP="00FF1DCE">
      <w:pPr>
        <w:spacing w:before="120" w:after="120" w:line="240" w:lineRule="auto"/>
        <w:rPr>
          <w:sz w:val="24"/>
          <w:szCs w:val="24"/>
          <w:lang w:val="es"/>
        </w:rPr>
      </w:pPr>
      <w:r>
        <w:rPr>
          <w:sz w:val="24"/>
          <w:szCs w:val="24"/>
          <w:lang w:val="es"/>
        </w:rPr>
        <w:lastRenderedPageBreak/>
        <w:t>(d) Abandonó sus estudios.</w:t>
      </w:r>
    </w:p>
    <w:p w14:paraId="1031D1D4" w14:textId="624B75E6" w:rsidR="000B1FCD" w:rsidRDefault="000B1FCD" w:rsidP="00FF1DCE">
      <w:pPr>
        <w:spacing w:before="120" w:after="120" w:line="240" w:lineRule="auto"/>
        <w:rPr>
          <w:sz w:val="24"/>
          <w:szCs w:val="24"/>
          <w:lang w:val="es"/>
        </w:rPr>
      </w:pPr>
    </w:p>
    <w:p w14:paraId="0951A27E" w14:textId="77777777" w:rsidR="00B63280" w:rsidRPr="00B63280" w:rsidRDefault="00B63280" w:rsidP="00B63280">
      <w:pPr>
        <w:spacing w:before="120" w:after="120" w:line="240" w:lineRule="auto"/>
        <w:rPr>
          <w:sz w:val="24"/>
          <w:szCs w:val="24"/>
        </w:rPr>
      </w:pPr>
      <w:r w:rsidRPr="00B63280">
        <w:rPr>
          <w:b/>
          <w:bCs/>
          <w:sz w:val="24"/>
          <w:szCs w:val="24"/>
          <w:lang w:val="es-ES"/>
        </w:rPr>
        <w:t>Recomendaciones:</w:t>
      </w:r>
    </w:p>
    <w:p w14:paraId="1BD36583" w14:textId="77777777" w:rsidR="00B63280" w:rsidRPr="00B63280" w:rsidRDefault="00B63280" w:rsidP="00B63280">
      <w:pPr>
        <w:spacing w:before="120" w:after="120" w:line="240" w:lineRule="auto"/>
        <w:rPr>
          <w:sz w:val="24"/>
          <w:szCs w:val="24"/>
        </w:rPr>
      </w:pPr>
      <w:r w:rsidRPr="00B63280">
        <w:rPr>
          <w:b/>
          <w:bCs/>
          <w:sz w:val="24"/>
          <w:szCs w:val="24"/>
          <w:lang w:val="es-ES"/>
        </w:rPr>
        <w:t>Referencia: 13.97</w:t>
      </w:r>
      <w:r w:rsidRPr="00B63280">
        <w:rPr>
          <w:sz w:val="24"/>
          <w:szCs w:val="24"/>
          <w:lang w:val="es-ES"/>
        </w:rPr>
        <w:t> </w:t>
      </w:r>
      <w:r w:rsidRPr="00B63280">
        <w:rPr>
          <w:b/>
          <w:bCs/>
          <w:sz w:val="24"/>
          <w:szCs w:val="24"/>
          <w:lang w:val="es-ES"/>
        </w:rPr>
        <w:t>% (igual que la tasa de 2019)</w:t>
      </w:r>
    </w:p>
    <w:p w14:paraId="17EA0CBD" w14:textId="77777777" w:rsidR="00B63280" w:rsidRPr="00B63280" w:rsidRDefault="00B63280" w:rsidP="00B63280">
      <w:pPr>
        <w:spacing w:before="120" w:after="120" w:line="240" w:lineRule="auto"/>
        <w:rPr>
          <w:sz w:val="24"/>
          <w:szCs w:val="24"/>
        </w:rPr>
      </w:pPr>
      <w:r w:rsidRPr="00B63280">
        <w:rPr>
          <w:b/>
          <w:bCs/>
          <w:sz w:val="24"/>
          <w:szCs w:val="24"/>
          <w:lang w:val="es-ES"/>
        </w:rPr>
        <w:t>Objetivo: caída del 0.5</w:t>
      </w:r>
      <w:r w:rsidRPr="00B63280">
        <w:rPr>
          <w:sz w:val="24"/>
          <w:szCs w:val="24"/>
          <w:lang w:val="es-ES"/>
        </w:rPr>
        <w:t> </w:t>
      </w:r>
      <w:r w:rsidRPr="00B63280">
        <w:rPr>
          <w:b/>
          <w:bCs/>
          <w:sz w:val="24"/>
          <w:szCs w:val="24"/>
          <w:lang w:val="es-ES"/>
        </w:rPr>
        <w:t>% hasta el año fiscal federal (Federal Fiscal Year, FFY) 2025 </w:t>
      </w:r>
    </w:p>
    <w:p w14:paraId="478EDDF5" w14:textId="29B90141" w:rsidR="00EC2946" w:rsidRDefault="0036132C" w:rsidP="00FF1DCE">
      <w:pPr>
        <w:spacing w:before="120" w:after="120" w:line="240" w:lineRule="auto"/>
        <w:rPr>
          <w:rFonts w:cstheme="minorHAnsi"/>
          <w:sz w:val="24"/>
          <w:szCs w:val="24"/>
          <w:lang w:val="es-ES"/>
        </w:rPr>
      </w:pPr>
      <w:r w:rsidRPr="0036132C">
        <w:rPr>
          <w:rFonts w:cstheme="minorHAnsi"/>
          <w:sz w:val="24"/>
          <w:szCs w:val="24"/>
          <w:lang w:val="es-ES"/>
        </w:rPr>
        <w:t>Utilizamos líneas de base como punto de partida y comparamos los datos de otros años con los datos del año de referencia. Debido a la pandemia, OSEP permitió a los estados utilizar la tasa de deserción escolar de 2019 (13.97%) como línea de base.</w:t>
      </w:r>
    </w:p>
    <w:p w14:paraId="3971E5C4" w14:textId="77777777" w:rsidR="0036132C" w:rsidRPr="00070F17" w:rsidRDefault="0036132C" w:rsidP="00FF1DCE">
      <w:pPr>
        <w:spacing w:before="120" w:after="120" w:line="240" w:lineRule="auto"/>
        <w:rPr>
          <w:rFonts w:cstheme="minorHAnsi"/>
          <w:sz w:val="24"/>
          <w:szCs w:val="24"/>
          <w:lang w:val="es-ES"/>
        </w:rPr>
      </w:pPr>
    </w:p>
    <w:p w14:paraId="64E3649E" w14:textId="0CCB85C2" w:rsidR="00EC2946" w:rsidRDefault="00EC2946" w:rsidP="00EC2946">
      <w:pPr>
        <w:rPr>
          <w:rFonts w:cstheme="minorHAnsi"/>
          <w:b/>
          <w:bCs/>
          <w:szCs w:val="24"/>
          <w:lang w:val="es"/>
        </w:rPr>
      </w:pPr>
      <w:r w:rsidRPr="002A7A74">
        <w:rPr>
          <w:rFonts w:cstheme="minorHAnsi"/>
          <w:b/>
          <w:bCs/>
          <w:szCs w:val="24"/>
          <w:lang w:val="es"/>
        </w:rPr>
        <w:t>Obtenga más información sobre el Indicador 2:</w:t>
      </w:r>
    </w:p>
    <w:p w14:paraId="030EB1AD" w14:textId="4438D74F" w:rsidR="00BF4977" w:rsidRDefault="0035713C" w:rsidP="00BF4977">
      <w:pPr>
        <w:pStyle w:val="NormalWeb"/>
        <w:numPr>
          <w:ilvl w:val="0"/>
          <w:numId w:val="8"/>
        </w:numPr>
        <w:shd w:val="clear" w:color="auto" w:fill="FFFFFF"/>
        <w:spacing w:before="0" w:beforeAutospacing="0" w:afterAutospacing="0"/>
        <w:rPr>
          <w:rFonts w:ascii="Segoe UI" w:hAnsi="Segoe UI" w:cs="Segoe UI"/>
          <w:color w:val="0070C0"/>
          <w:u w:val="single"/>
        </w:rPr>
      </w:pPr>
      <w:hyperlink r:id="rId11" w:history="1">
        <w:r w:rsidR="00BF4977" w:rsidRPr="00070F17">
          <w:rPr>
            <w:rStyle w:val="Hyperlink"/>
            <w:rFonts w:ascii="Segoe UI" w:hAnsi="Segoe UI" w:cs="Segoe UI"/>
          </w:rPr>
          <w:t xml:space="preserve">Indicador </w:t>
        </w:r>
        <w:r w:rsidR="00B50712" w:rsidRPr="00070F17">
          <w:rPr>
            <w:rStyle w:val="Hyperlink"/>
            <w:rFonts w:ascii="Segoe UI" w:hAnsi="Segoe UI" w:cs="Segoe UI"/>
          </w:rPr>
          <w:t>2</w:t>
        </w:r>
        <w:r w:rsidR="00BF4977" w:rsidRPr="00070F17">
          <w:rPr>
            <w:rStyle w:val="Hyperlink"/>
            <w:rFonts w:ascii="Segoe UI" w:hAnsi="Segoe UI" w:cs="Segoe UI"/>
          </w:rPr>
          <w:t xml:space="preserve"> PowerPoint</w:t>
        </w:r>
      </w:hyperlink>
    </w:p>
    <w:p w14:paraId="0297DDCB" w14:textId="4F2ABCAF" w:rsidR="00EC2946" w:rsidRDefault="000A59BC" w:rsidP="00EC2946">
      <w:pPr>
        <w:spacing w:after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  <w:lang w:val="es"/>
        </w:rPr>
        <w:t xml:space="preserve">   </w:t>
      </w:r>
      <w:r w:rsidR="00EC2946">
        <w:rPr>
          <w:rFonts w:cstheme="minorHAnsi"/>
          <w:b/>
          <w:bCs/>
          <w:szCs w:val="24"/>
          <w:lang w:val="es"/>
        </w:rPr>
        <w:t xml:space="preserve"> </w:t>
      </w:r>
      <w:r>
        <w:rPr>
          <w:rFonts w:cstheme="minorHAnsi"/>
          <w:b/>
          <w:bCs/>
          <w:szCs w:val="24"/>
          <w:lang w:val="es"/>
        </w:rPr>
        <w:t xml:space="preserve"> </w:t>
      </w:r>
      <w:r w:rsidR="00EC2946">
        <w:rPr>
          <w:rFonts w:cstheme="minorHAnsi"/>
          <w:b/>
          <w:bCs/>
          <w:szCs w:val="24"/>
          <w:lang w:val="es"/>
        </w:rPr>
        <w:t xml:space="preserve"> </w:t>
      </w:r>
    </w:p>
    <w:p w14:paraId="17245771" w14:textId="77777777" w:rsidR="00EC2946" w:rsidRDefault="00EC2946" w:rsidP="00EC2946">
      <w:pPr>
        <w:spacing w:after="0"/>
        <w:rPr>
          <w:b/>
          <w:bCs/>
        </w:rPr>
      </w:pPr>
    </w:p>
    <w:p w14:paraId="3B0E1284" w14:textId="77777777" w:rsidR="00EC2946" w:rsidRPr="006C233D" w:rsidRDefault="00EC2946" w:rsidP="00EC2946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p w14:paraId="64027835" w14:textId="77777777" w:rsidR="00EC2946" w:rsidRPr="006C233D" w:rsidRDefault="00EC2946" w:rsidP="00FF1DCE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sectPr w:rsidR="00EC2946" w:rsidRPr="006C2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CB812" w14:textId="77777777" w:rsidR="00687E6F" w:rsidRDefault="00687E6F">
      <w:pPr>
        <w:spacing w:after="0" w:line="240" w:lineRule="auto"/>
      </w:pPr>
      <w:r>
        <w:separator/>
      </w:r>
    </w:p>
  </w:endnote>
  <w:endnote w:type="continuationSeparator" w:id="0">
    <w:p w14:paraId="71F4FEBE" w14:textId="77777777" w:rsidR="00687E6F" w:rsidRDefault="00687E6F">
      <w:pPr>
        <w:spacing w:after="0" w:line="240" w:lineRule="auto"/>
      </w:pPr>
      <w:r>
        <w:continuationSeparator/>
      </w:r>
    </w:p>
  </w:endnote>
  <w:endnote w:type="continuationNotice" w:id="1">
    <w:p w14:paraId="797722FD" w14:textId="77777777" w:rsidR="00687E6F" w:rsidRDefault="00687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ADFF2" w14:textId="77777777" w:rsidR="00687E6F" w:rsidRDefault="00687E6F">
      <w:pPr>
        <w:spacing w:after="0" w:line="240" w:lineRule="auto"/>
      </w:pPr>
      <w:r>
        <w:separator/>
      </w:r>
    </w:p>
  </w:footnote>
  <w:footnote w:type="continuationSeparator" w:id="0">
    <w:p w14:paraId="501F1B75" w14:textId="77777777" w:rsidR="00687E6F" w:rsidRDefault="00687E6F">
      <w:pPr>
        <w:spacing w:after="0" w:line="240" w:lineRule="auto"/>
      </w:pPr>
      <w:r>
        <w:continuationSeparator/>
      </w:r>
    </w:p>
  </w:footnote>
  <w:footnote w:type="continuationNotice" w:id="1">
    <w:p w14:paraId="7C5B4B04" w14:textId="77777777" w:rsidR="00687E6F" w:rsidRDefault="00687E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7339E"/>
    <w:multiLevelType w:val="hybridMultilevel"/>
    <w:tmpl w:val="CE460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0673"/>
    <w:multiLevelType w:val="hybridMultilevel"/>
    <w:tmpl w:val="9050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634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  <w:b w:val="0"/>
        <w:color w:val="0070C0"/>
        <w:sz w:val="24"/>
        <w:u w:val="singl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15F61"/>
    <w:multiLevelType w:val="hybridMultilevel"/>
    <w:tmpl w:val="9DDEB6F0"/>
    <w:lvl w:ilvl="0" w:tplc="9E828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27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8A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A3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E2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C3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96C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4E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6C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5F364A"/>
    <w:multiLevelType w:val="hybridMultilevel"/>
    <w:tmpl w:val="D4E2899E"/>
    <w:lvl w:ilvl="0" w:tplc="051EB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A81A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2E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0D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8C3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8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52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4E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42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FF6066"/>
    <w:multiLevelType w:val="hybridMultilevel"/>
    <w:tmpl w:val="C606846E"/>
    <w:lvl w:ilvl="0" w:tplc="129EB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A6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00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3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4F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CE5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65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C9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C40AE8"/>
    <w:multiLevelType w:val="hybridMultilevel"/>
    <w:tmpl w:val="405ED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E72B07"/>
    <w:multiLevelType w:val="hybridMultilevel"/>
    <w:tmpl w:val="DA6CDBA8"/>
    <w:lvl w:ilvl="0" w:tplc="3FB675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C8DD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AA9F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2C276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C2F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5A53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3E645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2A7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386F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6BA3179A"/>
    <w:multiLevelType w:val="hybridMultilevel"/>
    <w:tmpl w:val="3FC241A8"/>
    <w:lvl w:ilvl="0" w:tplc="53C88A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3B2E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48B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50853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7CCD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84E1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49454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AAE2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A63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8"/>
    <w:rsid w:val="000067DD"/>
    <w:rsid w:val="00016343"/>
    <w:rsid w:val="000244FE"/>
    <w:rsid w:val="00046F66"/>
    <w:rsid w:val="00055696"/>
    <w:rsid w:val="00062E69"/>
    <w:rsid w:val="00070F17"/>
    <w:rsid w:val="00073CF6"/>
    <w:rsid w:val="000742F2"/>
    <w:rsid w:val="000A59BC"/>
    <w:rsid w:val="000B1FCD"/>
    <w:rsid w:val="000D1CD0"/>
    <w:rsid w:val="000E31DE"/>
    <w:rsid w:val="000F1B3C"/>
    <w:rsid w:val="00157CEC"/>
    <w:rsid w:val="001621DA"/>
    <w:rsid w:val="001952AB"/>
    <w:rsid w:val="001B43A8"/>
    <w:rsid w:val="001C2912"/>
    <w:rsid w:val="001E3400"/>
    <w:rsid w:val="0023419D"/>
    <w:rsid w:val="002A3B1F"/>
    <w:rsid w:val="002A7A74"/>
    <w:rsid w:val="002E7DA2"/>
    <w:rsid w:val="00305C06"/>
    <w:rsid w:val="003115B4"/>
    <w:rsid w:val="00347234"/>
    <w:rsid w:val="0035713C"/>
    <w:rsid w:val="0036098A"/>
    <w:rsid w:val="0036132C"/>
    <w:rsid w:val="003863F3"/>
    <w:rsid w:val="00391B13"/>
    <w:rsid w:val="0039585F"/>
    <w:rsid w:val="003C3D4D"/>
    <w:rsid w:val="003D235F"/>
    <w:rsid w:val="003E24C0"/>
    <w:rsid w:val="003F6EE1"/>
    <w:rsid w:val="0040285D"/>
    <w:rsid w:val="004610F0"/>
    <w:rsid w:val="004825AA"/>
    <w:rsid w:val="00491A21"/>
    <w:rsid w:val="004B7130"/>
    <w:rsid w:val="004D5369"/>
    <w:rsid w:val="004D5CE7"/>
    <w:rsid w:val="004E02D3"/>
    <w:rsid w:val="005018A9"/>
    <w:rsid w:val="005127CF"/>
    <w:rsid w:val="00516DDA"/>
    <w:rsid w:val="005249B8"/>
    <w:rsid w:val="0052707A"/>
    <w:rsid w:val="0053393A"/>
    <w:rsid w:val="00536371"/>
    <w:rsid w:val="00543E5C"/>
    <w:rsid w:val="0056223C"/>
    <w:rsid w:val="00571996"/>
    <w:rsid w:val="005B307D"/>
    <w:rsid w:val="005B64E1"/>
    <w:rsid w:val="005E0F9B"/>
    <w:rsid w:val="005E403A"/>
    <w:rsid w:val="005F097C"/>
    <w:rsid w:val="0062629D"/>
    <w:rsid w:val="00633142"/>
    <w:rsid w:val="00633E86"/>
    <w:rsid w:val="006468BF"/>
    <w:rsid w:val="006876A6"/>
    <w:rsid w:val="00687E6F"/>
    <w:rsid w:val="006C233D"/>
    <w:rsid w:val="00703F2B"/>
    <w:rsid w:val="00721430"/>
    <w:rsid w:val="00744196"/>
    <w:rsid w:val="00752562"/>
    <w:rsid w:val="00760C45"/>
    <w:rsid w:val="00761445"/>
    <w:rsid w:val="00770280"/>
    <w:rsid w:val="007A109B"/>
    <w:rsid w:val="007B5C6F"/>
    <w:rsid w:val="007C4D0D"/>
    <w:rsid w:val="007C5DE2"/>
    <w:rsid w:val="00841727"/>
    <w:rsid w:val="00844E1A"/>
    <w:rsid w:val="00851777"/>
    <w:rsid w:val="00881218"/>
    <w:rsid w:val="00892D13"/>
    <w:rsid w:val="008A151D"/>
    <w:rsid w:val="008A1CB6"/>
    <w:rsid w:val="008C4D20"/>
    <w:rsid w:val="008C6E18"/>
    <w:rsid w:val="009134EE"/>
    <w:rsid w:val="00920523"/>
    <w:rsid w:val="00925B1D"/>
    <w:rsid w:val="00936F9F"/>
    <w:rsid w:val="009532FA"/>
    <w:rsid w:val="00980716"/>
    <w:rsid w:val="0098591C"/>
    <w:rsid w:val="00991BA3"/>
    <w:rsid w:val="009E2DD8"/>
    <w:rsid w:val="00A33713"/>
    <w:rsid w:val="00A3472F"/>
    <w:rsid w:val="00A6427B"/>
    <w:rsid w:val="00A752E2"/>
    <w:rsid w:val="00A80ED2"/>
    <w:rsid w:val="00AA32B8"/>
    <w:rsid w:val="00AB5C37"/>
    <w:rsid w:val="00B50712"/>
    <w:rsid w:val="00B551C7"/>
    <w:rsid w:val="00B63280"/>
    <w:rsid w:val="00B66AD7"/>
    <w:rsid w:val="00B82B53"/>
    <w:rsid w:val="00BA68D7"/>
    <w:rsid w:val="00BA7BB4"/>
    <w:rsid w:val="00BD6068"/>
    <w:rsid w:val="00BF15C9"/>
    <w:rsid w:val="00BF4977"/>
    <w:rsid w:val="00C03536"/>
    <w:rsid w:val="00C17FD1"/>
    <w:rsid w:val="00C366F7"/>
    <w:rsid w:val="00C45504"/>
    <w:rsid w:val="00C74FD6"/>
    <w:rsid w:val="00CD6CD9"/>
    <w:rsid w:val="00CE30DA"/>
    <w:rsid w:val="00CE6A4E"/>
    <w:rsid w:val="00CF2040"/>
    <w:rsid w:val="00D00268"/>
    <w:rsid w:val="00D1117A"/>
    <w:rsid w:val="00D4007B"/>
    <w:rsid w:val="00D4120B"/>
    <w:rsid w:val="00D55A56"/>
    <w:rsid w:val="00D63E8C"/>
    <w:rsid w:val="00D72E5A"/>
    <w:rsid w:val="00D8223B"/>
    <w:rsid w:val="00D8587B"/>
    <w:rsid w:val="00DB4B59"/>
    <w:rsid w:val="00DB5CBC"/>
    <w:rsid w:val="00DE4019"/>
    <w:rsid w:val="00DF3220"/>
    <w:rsid w:val="00E23A75"/>
    <w:rsid w:val="00E42B8E"/>
    <w:rsid w:val="00E82DDA"/>
    <w:rsid w:val="00EC2702"/>
    <w:rsid w:val="00EC2946"/>
    <w:rsid w:val="00F0741F"/>
    <w:rsid w:val="00F10BEA"/>
    <w:rsid w:val="00F12844"/>
    <w:rsid w:val="00F465E7"/>
    <w:rsid w:val="00F4760B"/>
    <w:rsid w:val="00F70293"/>
    <w:rsid w:val="00FC0C79"/>
    <w:rsid w:val="00FE226B"/>
    <w:rsid w:val="00FE2CA3"/>
    <w:rsid w:val="00FE529A"/>
    <w:rsid w:val="00FF1DCE"/>
    <w:rsid w:val="00FF2298"/>
    <w:rsid w:val="01C4A486"/>
    <w:rsid w:val="02C491A2"/>
    <w:rsid w:val="05F0D53F"/>
    <w:rsid w:val="07ED1D0F"/>
    <w:rsid w:val="089C3257"/>
    <w:rsid w:val="08CAB8A1"/>
    <w:rsid w:val="095F7BC3"/>
    <w:rsid w:val="0B1575CC"/>
    <w:rsid w:val="0B2F622F"/>
    <w:rsid w:val="0B525E6F"/>
    <w:rsid w:val="0E8EE123"/>
    <w:rsid w:val="0EC0AF39"/>
    <w:rsid w:val="1050627D"/>
    <w:rsid w:val="1074D277"/>
    <w:rsid w:val="10F7DA0E"/>
    <w:rsid w:val="126F06FC"/>
    <w:rsid w:val="15A095D4"/>
    <w:rsid w:val="16539E8B"/>
    <w:rsid w:val="1B706FBF"/>
    <w:rsid w:val="1CF2B4C9"/>
    <w:rsid w:val="1D38030E"/>
    <w:rsid w:val="1DB6CDBC"/>
    <w:rsid w:val="1DC506D6"/>
    <w:rsid w:val="1DE5412A"/>
    <w:rsid w:val="1E4038D3"/>
    <w:rsid w:val="202AB885"/>
    <w:rsid w:val="20B0AEF7"/>
    <w:rsid w:val="2105E62E"/>
    <w:rsid w:val="220B7431"/>
    <w:rsid w:val="222EB428"/>
    <w:rsid w:val="23C11BD7"/>
    <w:rsid w:val="244657F3"/>
    <w:rsid w:val="24A2793B"/>
    <w:rsid w:val="269FD81A"/>
    <w:rsid w:val="26C5BCF7"/>
    <w:rsid w:val="26DEBA74"/>
    <w:rsid w:val="27B9DE2C"/>
    <w:rsid w:val="2A83FA84"/>
    <w:rsid w:val="2B992E1A"/>
    <w:rsid w:val="2BC653D5"/>
    <w:rsid w:val="2BF0F23C"/>
    <w:rsid w:val="2C7A567C"/>
    <w:rsid w:val="2E0C73EA"/>
    <w:rsid w:val="2EC6F6E5"/>
    <w:rsid w:val="30F1ACCC"/>
    <w:rsid w:val="311A3276"/>
    <w:rsid w:val="3195E3B5"/>
    <w:rsid w:val="326F7794"/>
    <w:rsid w:val="3349AD83"/>
    <w:rsid w:val="33806A97"/>
    <w:rsid w:val="33E0C939"/>
    <w:rsid w:val="3438D93C"/>
    <w:rsid w:val="3492F1A1"/>
    <w:rsid w:val="36C7D20E"/>
    <w:rsid w:val="36F3E5D2"/>
    <w:rsid w:val="3887105E"/>
    <w:rsid w:val="392FD37F"/>
    <w:rsid w:val="39AD07FF"/>
    <w:rsid w:val="3A475F9D"/>
    <w:rsid w:val="3A7A8979"/>
    <w:rsid w:val="3CC20B2A"/>
    <w:rsid w:val="3CC654CE"/>
    <w:rsid w:val="3CEF5C20"/>
    <w:rsid w:val="3D5052F3"/>
    <w:rsid w:val="3E6F7BDA"/>
    <w:rsid w:val="3EE53306"/>
    <w:rsid w:val="3F3464EB"/>
    <w:rsid w:val="407E08E1"/>
    <w:rsid w:val="419EC2E2"/>
    <w:rsid w:val="41FBE1E3"/>
    <w:rsid w:val="4451E01C"/>
    <w:rsid w:val="462056D2"/>
    <w:rsid w:val="465DF47B"/>
    <w:rsid w:val="47B14B55"/>
    <w:rsid w:val="47F7202C"/>
    <w:rsid w:val="48455BFA"/>
    <w:rsid w:val="496401EC"/>
    <w:rsid w:val="4BCC3FE8"/>
    <w:rsid w:val="4C6435CB"/>
    <w:rsid w:val="4DD03B8B"/>
    <w:rsid w:val="4EE14540"/>
    <w:rsid w:val="4FEBA552"/>
    <w:rsid w:val="50F2EE74"/>
    <w:rsid w:val="51158A54"/>
    <w:rsid w:val="51CFD5C2"/>
    <w:rsid w:val="51F3AB6C"/>
    <w:rsid w:val="5225DA3B"/>
    <w:rsid w:val="54C3A982"/>
    <w:rsid w:val="565892BD"/>
    <w:rsid w:val="56D86026"/>
    <w:rsid w:val="57EAB071"/>
    <w:rsid w:val="58366C26"/>
    <w:rsid w:val="592F8448"/>
    <w:rsid w:val="59CF46AE"/>
    <w:rsid w:val="5A0F4387"/>
    <w:rsid w:val="5A80A85D"/>
    <w:rsid w:val="5C3B3F05"/>
    <w:rsid w:val="5DB8491F"/>
    <w:rsid w:val="623E172F"/>
    <w:rsid w:val="63416076"/>
    <w:rsid w:val="63F5631D"/>
    <w:rsid w:val="65834B03"/>
    <w:rsid w:val="672E5DFD"/>
    <w:rsid w:val="68103377"/>
    <w:rsid w:val="68392BFB"/>
    <w:rsid w:val="69A1D54A"/>
    <w:rsid w:val="69AC03D8"/>
    <w:rsid w:val="6A4B7C44"/>
    <w:rsid w:val="6A64A4A1"/>
    <w:rsid w:val="6C3E1F9E"/>
    <w:rsid w:val="6CD9760C"/>
    <w:rsid w:val="6CE7C55F"/>
    <w:rsid w:val="6E73D648"/>
    <w:rsid w:val="704127F4"/>
    <w:rsid w:val="7193BED2"/>
    <w:rsid w:val="734E4058"/>
    <w:rsid w:val="74459BF3"/>
    <w:rsid w:val="758DAEAA"/>
    <w:rsid w:val="76E33651"/>
    <w:rsid w:val="78CDBD33"/>
    <w:rsid w:val="79F16566"/>
    <w:rsid w:val="7BAFCBBA"/>
    <w:rsid w:val="7BCEA0E1"/>
    <w:rsid w:val="7EE1E9A1"/>
    <w:rsid w:val="7FEF9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2B59"/>
  <w15:chartTrackingRefBased/>
  <w15:docId w15:val="{F77FDD04-A78A-4246-B535-371A3914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4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9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49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4">
    <w:name w:val="Grid Table 4"/>
    <w:basedOn w:val="TableNormal"/>
    <w:uiPriority w:val="49"/>
    <w:rsid w:val="00CE6A4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rmaltextrun">
    <w:name w:val="normaltextrun"/>
    <w:basedOn w:val="DefaultParagraphFont"/>
    <w:rsid w:val="007A109B"/>
  </w:style>
  <w:style w:type="character" w:customStyle="1" w:styleId="eop">
    <w:name w:val="eop"/>
    <w:basedOn w:val="DefaultParagraphFont"/>
    <w:rsid w:val="007A10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E1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1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F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0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0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7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ped/spp/indicators/indicator2/indicator2-slides-spanish.ppt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e.mass.edu/infoservices/data/si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1" ma:contentTypeDescription="Create a new document." ma:contentTypeScope="" ma:versionID="04841e15069e1320190aeb32384c1f6c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6feab1529cbb954d8841a6b199929956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86ABE1-C03C-4386-82CB-D6B285555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1D51D-482F-4B53-B4BA-FD6556A0D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4BC81-E520-410A-980C-63E0F20BA3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470</Words>
  <Characters>2318</Characters>
  <Application>Microsoft Office Word</Application>
  <DocSecurity>0</DocSecurity>
  <Lines>61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Indicator 2: Dropout Rate for Students with IEPs — Spanish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2: Dropout Rate for Students with IEPs — Spanish</dc:title>
  <dc:subject/>
  <dc:creator>DESE</dc:creator>
  <cp:keywords/>
  <dc:description/>
  <cp:lastModifiedBy>Zou, Dong (EOE)</cp:lastModifiedBy>
  <cp:revision>29</cp:revision>
  <cp:lastPrinted>2021-10-06T16:21:00Z</cp:lastPrinted>
  <dcterms:created xsi:type="dcterms:W3CDTF">2021-10-06T15:23:00Z</dcterms:created>
  <dcterms:modified xsi:type="dcterms:W3CDTF">2023-01-09T15:28:00Z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9 2023 12:00AM</vt:lpwstr>
  </property>
</Properties>
</file>