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07A5" w14:textId="5948FF20" w:rsidR="00F52AA9" w:rsidRPr="006670A1" w:rsidRDefault="003E23AA" w:rsidP="00F52AA9">
      <w:pPr>
        <w:shd w:val="clear" w:color="auto" w:fill="FFFFFF"/>
        <w:spacing w:before="100" w:beforeAutospacing="1" w:after="100" w:afterAutospacing="1" w:line="240" w:lineRule="auto"/>
        <w:outlineLvl w:val="1"/>
        <w:rPr>
          <w:rFonts w:eastAsia="Times New Roman"/>
          <w:b/>
          <w:bCs/>
          <w:shd w:val="clear" w:color="auto" w:fill="FFFFFF"/>
        </w:rPr>
      </w:pPr>
      <w:hyperlink r:id="rId9" w:history="1">
        <w:r w:rsidR="00F52AA9" w:rsidRPr="008B3694">
          <w:rPr>
            <w:rStyle w:val="Hyperlink"/>
            <w:rFonts w:ascii="SimSun" w:eastAsia="SimSun" w:hAnsi="SimSun" w:cs="SimSun"/>
            <w:b/>
            <w:bCs/>
            <w:shd w:val="clear" w:color="auto" w:fill="FFFFFF"/>
          </w:rPr>
          <w:t>English</w:t>
        </w:r>
      </w:hyperlink>
      <w:r w:rsidR="00F52AA9" w:rsidRPr="006670A1">
        <w:rPr>
          <w:rFonts w:ascii="SimSun" w:eastAsia="SimSun" w:hAnsi="SimSun" w:cs="SimSun"/>
          <w:b/>
          <w:bCs/>
          <w:shd w:val="clear" w:color="auto" w:fill="FFFFFF"/>
        </w:rPr>
        <w:t> | </w:t>
      </w:r>
      <w:hyperlink r:id="rId10" w:history="1">
        <w:r w:rsidR="00F52AA9" w:rsidRPr="008B3694">
          <w:rPr>
            <w:rStyle w:val="Hyperlink"/>
            <w:rFonts w:ascii="SimSun" w:eastAsia="SimSun" w:hAnsi="SimSun" w:cs="SimSun" w:hint="eastAsia"/>
            <w:b/>
            <w:bCs/>
          </w:rPr>
          <w:t>繁體中文</w:t>
        </w:r>
      </w:hyperlink>
      <w:r w:rsidR="00F52AA9" w:rsidRPr="006670A1">
        <w:rPr>
          <w:rFonts w:ascii="SimSun" w:eastAsia="SimSun" w:hAnsi="SimSun" w:cs="SimSun"/>
          <w:b/>
          <w:bCs/>
          <w:shd w:val="clear" w:color="auto" w:fill="FFFFFF"/>
        </w:rPr>
        <w:t> | </w:t>
      </w:r>
      <w:hyperlink r:id="rId11" w:history="1">
        <w:r w:rsidR="00F52AA9" w:rsidRPr="008B3694">
          <w:rPr>
            <w:rStyle w:val="Hyperlink"/>
            <w:rFonts w:ascii="SimSun" w:eastAsia="SimSun" w:hAnsi="SimSun" w:cs="SimSun"/>
            <w:b/>
            <w:bCs/>
            <w:shd w:val="clear" w:color="auto" w:fill="FFFFFF"/>
          </w:rPr>
          <w:t>Kreyòl Ayisyen</w:t>
        </w:r>
      </w:hyperlink>
      <w:r w:rsidR="00F52AA9" w:rsidRPr="006670A1">
        <w:rPr>
          <w:rFonts w:ascii="SimSun" w:eastAsia="SimSun" w:hAnsi="SimSun" w:cs="SimSun"/>
          <w:b/>
          <w:bCs/>
          <w:shd w:val="clear" w:color="auto" w:fill="FFFFFF"/>
        </w:rPr>
        <w:t> | </w:t>
      </w:r>
      <w:hyperlink r:id="rId12" w:history="1">
        <w:r w:rsidR="00F52AA9" w:rsidRPr="008B3694">
          <w:rPr>
            <w:rStyle w:val="Hyperlink"/>
            <w:rFonts w:ascii="SimSun" w:eastAsia="SimSun" w:hAnsi="SimSun" w:cs="SimSun"/>
            <w:b/>
            <w:bCs/>
            <w:shd w:val="clear" w:color="auto" w:fill="FFFFFF"/>
          </w:rPr>
          <w:t>português</w:t>
        </w:r>
      </w:hyperlink>
      <w:r w:rsidR="00F52AA9" w:rsidRPr="006670A1">
        <w:rPr>
          <w:rFonts w:ascii="SimSun" w:eastAsia="SimSun" w:hAnsi="SimSun" w:cs="SimSun"/>
          <w:b/>
          <w:bCs/>
          <w:shd w:val="clear" w:color="auto" w:fill="FFFFFF"/>
        </w:rPr>
        <w:t>​ | </w:t>
      </w:r>
      <w:r w:rsidR="00F52AA9" w:rsidRPr="00F52AA9">
        <w:rPr>
          <w:rFonts w:ascii="SimSun" w:eastAsia="SimSun" w:hAnsi="SimSun" w:cs="SimSun"/>
          <w:b/>
          <w:bCs/>
          <w:shd w:val="clear" w:color="auto" w:fill="FFFFFF"/>
        </w:rPr>
        <w:t>español</w:t>
      </w:r>
      <w:r w:rsidR="00F52AA9" w:rsidRPr="006670A1">
        <w:rPr>
          <w:rFonts w:ascii="SimSun" w:eastAsia="SimSun" w:hAnsi="SimSun" w:cs="SimSun"/>
          <w:b/>
          <w:bCs/>
          <w:shd w:val="clear" w:color="auto" w:fill="FFFFFF"/>
        </w:rPr>
        <w:t> | </w:t>
      </w:r>
      <w:hyperlink r:id="rId13" w:history="1">
        <w:r w:rsidR="00F52AA9" w:rsidRPr="008B3694">
          <w:rPr>
            <w:rStyle w:val="Hyperlink"/>
            <w:rFonts w:ascii="SimSun" w:eastAsia="SimSun" w:hAnsi="SimSun" w:cs="SimSun"/>
            <w:b/>
            <w:bCs/>
            <w:shd w:val="clear" w:color="auto" w:fill="FFFFFF"/>
          </w:rPr>
          <w:t>Vi</w:t>
        </w:r>
        <w:r w:rsidR="00F52AA9" w:rsidRPr="008B3694">
          <w:rPr>
            <w:rStyle w:val="Hyperlink"/>
            <w:rFonts w:ascii="Cambria" w:eastAsia="SimSun" w:hAnsi="Cambria" w:cs="Cambria"/>
            <w:b/>
            <w:bCs/>
            <w:shd w:val="clear" w:color="auto" w:fill="FFFFFF"/>
          </w:rPr>
          <w:t>ệ</w:t>
        </w:r>
        <w:r w:rsidR="00F52AA9" w:rsidRPr="008B3694">
          <w:rPr>
            <w:rStyle w:val="Hyperlink"/>
            <w:rFonts w:ascii="SimSun" w:eastAsia="SimSun" w:hAnsi="SimSun" w:cs="SimSun"/>
            <w:b/>
            <w:bCs/>
            <w:shd w:val="clear" w:color="auto" w:fill="FFFFFF"/>
          </w:rPr>
          <w:t>t</w:t>
        </w:r>
      </w:hyperlink>
    </w:p>
    <w:p w14:paraId="4310ADA8" w14:textId="21ECA210" w:rsidR="004D7235" w:rsidRDefault="00BB2899" w:rsidP="025790DD">
      <w:pPr>
        <w:pStyle w:val="Heading1"/>
        <w:spacing w:line="240" w:lineRule="auto"/>
      </w:pPr>
      <w:r>
        <w:t>Indicador 4A: Suspensión/Expulsión</w:t>
      </w:r>
    </w:p>
    <w:p w14:paraId="5B37F5E7" w14:textId="06FC73E0" w:rsidR="00D14FCC" w:rsidRPr="00D14FCC" w:rsidRDefault="00D14FCC" w:rsidP="025790DD">
      <w:pPr>
        <w:pStyle w:val="Heading1"/>
        <w:spacing w:line="240" w:lineRule="auto"/>
        <w:rPr>
          <w:rFonts w:asciiTheme="minorHAnsi" w:hAnsiTheme="minorHAnsi" w:cstheme="minorBidi"/>
          <w:b/>
          <w:bCs/>
          <w:color w:val="000000" w:themeColor="text1"/>
          <w:sz w:val="24"/>
          <w:szCs w:val="24"/>
        </w:rPr>
      </w:pPr>
      <w:r>
        <w:rPr>
          <w:rFonts w:asciiTheme="minorHAnsi" w:hAnsiTheme="minorHAnsi"/>
          <w:b/>
          <w:color w:val="000000" w:themeColor="text1"/>
          <w:sz w:val="24"/>
        </w:rPr>
        <w:t>¿Qué es el Indicador 4A?</w:t>
      </w:r>
    </w:p>
    <w:p w14:paraId="357AE349" w14:textId="6648AC5A" w:rsidR="025790DD" w:rsidRDefault="744A8808" w:rsidP="744A8808">
      <w:pPr>
        <w:spacing w:after="0" w:line="240" w:lineRule="auto"/>
        <w:rPr>
          <w:rFonts w:ascii="Calibri" w:eastAsia="Calibri" w:hAnsi="Calibri" w:cs="Calibri"/>
        </w:rPr>
      </w:pPr>
      <w:r>
        <w:rPr>
          <w:rFonts w:ascii="Calibri" w:hAnsi="Calibri"/>
        </w:rPr>
        <w:t xml:space="preserve">La definición estatal de discrepancia significativa es el número de distritos con cinco veces la tasa estatal de suspensión y expulsión durante más de 10 días, para estudiantes con IEP divididos por el número de distritos que cumplieron con </w:t>
      </w:r>
      <w:r w:rsidR="00BD6E53">
        <w:rPr>
          <w:rFonts w:ascii="Calibri" w:hAnsi="Calibri"/>
        </w:rPr>
        <w:t>el tamaño</w:t>
      </w:r>
      <w:r>
        <w:rPr>
          <w:rFonts w:ascii="Calibri" w:hAnsi="Calibri"/>
        </w:rPr>
        <w:t xml:space="preserve"> "n" de 30 multiplicado por 100.  </w:t>
      </w:r>
      <w:r>
        <w:rPr>
          <w:rFonts w:ascii="Calibri" w:hAnsi="Calibri"/>
          <w:i/>
        </w:rPr>
        <w:t xml:space="preserve">Los distritos que cumplen con los requisitos de </w:t>
      </w:r>
      <w:r w:rsidR="00BD6E53">
        <w:rPr>
          <w:rFonts w:ascii="Calibri" w:hAnsi="Calibri"/>
          <w:i/>
        </w:rPr>
        <w:t>tamaño</w:t>
      </w:r>
      <w:r>
        <w:rPr>
          <w:rFonts w:ascii="Calibri" w:hAnsi="Calibri"/>
          <w:i/>
        </w:rPr>
        <w:t xml:space="preserve"> "n" y "población", y tienen una tasa de discrepancia de cinco veces el promedio estatal durante dos años consecutivos, se encuentran en una discrepancia significativa.</w:t>
      </w:r>
      <w:r>
        <w:rPr>
          <w:rFonts w:ascii="Calibri" w:hAnsi="Calibri"/>
        </w:rPr>
        <w:t xml:space="preserve"> </w:t>
      </w:r>
    </w:p>
    <w:p w14:paraId="160DB3DB" w14:textId="06E59F2F" w:rsidR="025790DD" w:rsidRDefault="025790DD" w:rsidP="744A8808">
      <w:pPr>
        <w:spacing w:after="0" w:line="240" w:lineRule="auto"/>
        <w:rPr>
          <w:rFonts w:ascii="Calibri" w:eastAsia="Calibri" w:hAnsi="Calibri" w:cs="Calibri"/>
        </w:rPr>
      </w:pPr>
    </w:p>
    <w:p w14:paraId="47CC442A" w14:textId="68672A36" w:rsidR="025790DD" w:rsidRDefault="6E54C27D" w:rsidP="025790DD">
      <w:pPr>
        <w:spacing w:after="0" w:line="240" w:lineRule="auto"/>
        <w:rPr>
          <w:rFonts w:ascii="Calibri" w:eastAsia="Calibri" w:hAnsi="Calibri" w:cs="Calibri"/>
        </w:rPr>
      </w:pPr>
      <w:r>
        <w:rPr>
          <w:rFonts w:ascii="Calibri" w:hAnsi="Calibri"/>
        </w:rPr>
        <w:t>Debido al retraso de los datos requeridos para el informe del indicador 4, los datos informados aquí se revisan para los años escolares 2019-2020 y 2020-2021. El promedio del año escolar 2019-2020 de suspensiones o expulsiones por más de 10 días, para todos los estudiantes, se encuentra en 0.0034 %. Se encontró que, en ese año, los distritos que suspendieron a los estudiantes con discapacidades en cinco veces esta tasa, 0.017 %, tenían una discrepancia. Para el año escolar 2020-2021, el promedio estatal general de suspensión o expulsión por más de 10 días para todos los estudiantes fue 0.00055 %. Se encontró que, en ese año, los distritos que suspendieron a los estudiantes con discapacidades cinco veces esta tasa, 0.00275 %, tenían una discrepancia.</w:t>
      </w:r>
      <w:r>
        <w:rPr>
          <w:rFonts w:ascii="Calibri" w:hAnsi="Calibri"/>
          <w:i/>
        </w:rPr>
        <w:t xml:space="preserve"> Se identificó que los distritos que cumplieron con estos criterios para el año escolar 2019-2020 y 2020-2021 (dos años consecutivos), tenían una discrepancia significativa.</w:t>
      </w:r>
    </w:p>
    <w:p w14:paraId="78CD2508" w14:textId="17FA3846" w:rsidR="744A8808" w:rsidRDefault="744A8808" w:rsidP="744A8808">
      <w:pPr>
        <w:spacing w:after="0" w:line="240" w:lineRule="auto"/>
        <w:rPr>
          <w:rFonts w:ascii="Calibri" w:eastAsia="Calibri" w:hAnsi="Calibri" w:cs="Calibri"/>
          <w:i/>
          <w:iCs/>
        </w:rPr>
      </w:pPr>
    </w:p>
    <w:p w14:paraId="4FCFA623" w14:textId="5C6731BE" w:rsidR="744A8808" w:rsidRDefault="744A8808" w:rsidP="744A8808">
      <w:pPr>
        <w:spacing w:after="0" w:line="240" w:lineRule="auto"/>
        <w:rPr>
          <w:rFonts w:ascii="Calibri" w:eastAsia="Calibri" w:hAnsi="Calibri" w:cs="Calibri"/>
          <w:i/>
          <w:iCs/>
        </w:rPr>
      </w:pPr>
    </w:p>
    <w:p w14:paraId="09F85CB6" w14:textId="4A97D2F0" w:rsidR="00D14FCC" w:rsidRDefault="00D14FCC" w:rsidP="025790DD">
      <w:pPr>
        <w:spacing w:after="0" w:line="240" w:lineRule="auto"/>
        <w:rPr>
          <w:b/>
          <w:bCs/>
          <w:color w:val="000000" w:themeColor="text1"/>
          <w:sz w:val="24"/>
          <w:szCs w:val="24"/>
        </w:rPr>
      </w:pPr>
      <w:r>
        <w:rPr>
          <w:b/>
          <w:color w:val="000000" w:themeColor="text1"/>
          <w:sz w:val="24"/>
        </w:rPr>
        <w:t>Datos del Indicador 4A</w:t>
      </w:r>
    </w:p>
    <w:p w14:paraId="340D403C" w14:textId="58CB3CBF" w:rsidR="025790DD" w:rsidRDefault="025790DD" w:rsidP="744A8808">
      <w:pPr>
        <w:spacing w:after="0" w:line="240" w:lineRule="auto"/>
        <w:rPr>
          <w:i/>
          <w:iCs/>
          <w:color w:val="000000" w:themeColor="text1"/>
        </w:rPr>
      </w:pPr>
      <w:r>
        <w:rPr>
          <w:i/>
          <w:color w:val="000000" w:themeColor="text1"/>
        </w:rPr>
        <w:t>Línea de base</w:t>
      </w:r>
    </w:p>
    <w:tbl>
      <w:tblPr>
        <w:tblStyle w:val="TableGrid"/>
        <w:tblW w:w="0" w:type="auto"/>
        <w:tblLayout w:type="fixed"/>
        <w:tblLook w:val="04A0" w:firstRow="1" w:lastRow="0" w:firstColumn="1" w:lastColumn="0" w:noHBand="0" w:noVBand="1"/>
      </w:tblPr>
      <w:tblGrid>
        <w:gridCol w:w="2550"/>
        <w:gridCol w:w="2550"/>
      </w:tblGrid>
      <w:tr w:rsidR="744A8808" w14:paraId="45FE8093" w14:textId="77777777" w:rsidTr="744A8808">
        <w:trPr>
          <w:trHeight w:val="300"/>
        </w:trPr>
        <w:tc>
          <w:tcPr>
            <w:tcW w:w="2550" w:type="dxa"/>
          </w:tcPr>
          <w:p w14:paraId="6F596AFF" w14:textId="07E65125" w:rsidR="744A8808" w:rsidRDefault="744A8808" w:rsidP="744A8808">
            <w:pPr>
              <w:spacing w:before="60" w:after="60"/>
              <w:jc w:val="center"/>
              <w:rPr>
                <w:rFonts w:ascii="Arial" w:eastAsia="Arial" w:hAnsi="Arial" w:cs="Arial"/>
                <w:color w:val="000000" w:themeColor="text1"/>
                <w:sz w:val="16"/>
                <w:szCs w:val="16"/>
              </w:rPr>
            </w:pPr>
            <w:r>
              <w:rPr>
                <w:rFonts w:ascii="Arial" w:hAnsi="Arial"/>
                <w:b/>
                <w:color w:val="000000" w:themeColor="text1"/>
                <w:sz w:val="16"/>
              </w:rPr>
              <w:t>Año de línea de base</w:t>
            </w:r>
          </w:p>
        </w:tc>
        <w:tc>
          <w:tcPr>
            <w:tcW w:w="2550" w:type="dxa"/>
          </w:tcPr>
          <w:p w14:paraId="7CA734DD" w14:textId="29C39F2E" w:rsidR="744A8808" w:rsidRDefault="744A8808" w:rsidP="744A8808">
            <w:pPr>
              <w:spacing w:before="60" w:after="60"/>
              <w:jc w:val="center"/>
              <w:rPr>
                <w:rFonts w:ascii="Arial" w:eastAsia="Arial" w:hAnsi="Arial" w:cs="Arial"/>
                <w:color w:val="000000" w:themeColor="text1"/>
                <w:sz w:val="16"/>
                <w:szCs w:val="16"/>
              </w:rPr>
            </w:pPr>
            <w:r>
              <w:rPr>
                <w:rFonts w:ascii="Arial" w:hAnsi="Arial"/>
                <w:b/>
                <w:color w:val="000000" w:themeColor="text1"/>
                <w:sz w:val="16"/>
              </w:rPr>
              <w:t>Datos de línea de base</w:t>
            </w:r>
          </w:p>
        </w:tc>
      </w:tr>
      <w:tr w:rsidR="744A8808" w14:paraId="5F2BC7F3" w14:textId="77777777" w:rsidTr="744A8808">
        <w:trPr>
          <w:trHeight w:val="300"/>
        </w:trPr>
        <w:tc>
          <w:tcPr>
            <w:tcW w:w="2550" w:type="dxa"/>
            <w:vAlign w:val="center"/>
          </w:tcPr>
          <w:p w14:paraId="75703E2A" w14:textId="4C86E648" w:rsidR="744A8808" w:rsidRDefault="744A8808" w:rsidP="744A8808">
            <w:pPr>
              <w:spacing w:before="60" w:after="60"/>
              <w:jc w:val="center"/>
              <w:rPr>
                <w:rFonts w:ascii="Arial" w:eastAsia="Arial" w:hAnsi="Arial" w:cs="Arial"/>
                <w:color w:val="000000" w:themeColor="text1"/>
                <w:sz w:val="16"/>
                <w:szCs w:val="16"/>
              </w:rPr>
            </w:pPr>
            <w:r>
              <w:rPr>
                <w:rFonts w:ascii="Arial" w:hAnsi="Arial"/>
                <w:color w:val="000000" w:themeColor="text1"/>
                <w:sz w:val="16"/>
              </w:rPr>
              <w:t>2016</w:t>
            </w:r>
          </w:p>
        </w:tc>
        <w:tc>
          <w:tcPr>
            <w:tcW w:w="2550" w:type="dxa"/>
            <w:vAlign w:val="center"/>
          </w:tcPr>
          <w:p w14:paraId="408907CD" w14:textId="65CA07E0" w:rsidR="744A8808" w:rsidRDefault="744A8808" w:rsidP="744A8808">
            <w:pPr>
              <w:spacing w:before="60" w:after="60"/>
              <w:jc w:val="center"/>
              <w:rPr>
                <w:rFonts w:ascii="Arial" w:eastAsia="Arial" w:hAnsi="Arial" w:cs="Arial"/>
                <w:color w:val="000000" w:themeColor="text1"/>
                <w:sz w:val="16"/>
                <w:szCs w:val="16"/>
              </w:rPr>
            </w:pPr>
            <w:r>
              <w:rPr>
                <w:rFonts w:ascii="Arial" w:hAnsi="Arial"/>
                <w:color w:val="000000" w:themeColor="text1"/>
                <w:sz w:val="16"/>
              </w:rPr>
              <w:t>1.92 %</w:t>
            </w:r>
          </w:p>
        </w:tc>
      </w:tr>
    </w:tbl>
    <w:p w14:paraId="3C68D586" w14:textId="127AB569" w:rsidR="025790DD" w:rsidRDefault="025790DD" w:rsidP="744A8808">
      <w:pPr>
        <w:spacing w:before="60" w:after="60" w:line="240" w:lineRule="auto"/>
        <w:rPr>
          <w:rFonts w:ascii="Arial" w:eastAsia="Arial" w:hAnsi="Arial" w:cs="Arial"/>
          <w:color w:val="000000" w:themeColor="text1"/>
          <w:sz w:val="16"/>
          <w:szCs w:val="16"/>
        </w:rPr>
      </w:pPr>
    </w:p>
    <w:p w14:paraId="2E7BBAE4" w14:textId="50BE7E07" w:rsidR="025790DD" w:rsidRDefault="025790DD" w:rsidP="744A8808">
      <w:pPr>
        <w:spacing w:before="60" w:after="60" w:line="240" w:lineRule="auto"/>
        <w:rPr>
          <w:rFonts w:ascii="Calibri" w:eastAsia="Calibri" w:hAnsi="Calibri" w:cs="Calibri"/>
          <w:color w:val="000000" w:themeColor="text1"/>
        </w:rPr>
      </w:pPr>
      <w:r>
        <w:rPr>
          <w:rFonts w:ascii="Calibri" w:hAnsi="Calibri"/>
          <w:color w:val="000000" w:themeColor="text1"/>
        </w:rPr>
        <w:t>Datos históricos</w:t>
      </w:r>
    </w:p>
    <w:tbl>
      <w:tblPr>
        <w:tblW w:w="9360" w:type="dxa"/>
        <w:tblLayout w:type="fixed"/>
        <w:tblLook w:val="0000" w:firstRow="0" w:lastRow="0" w:firstColumn="0" w:lastColumn="0" w:noHBand="0" w:noVBand="0"/>
      </w:tblPr>
      <w:tblGrid>
        <w:gridCol w:w="1554"/>
        <w:gridCol w:w="1554"/>
        <w:gridCol w:w="1554"/>
        <w:gridCol w:w="1566"/>
        <w:gridCol w:w="1566"/>
        <w:gridCol w:w="1566"/>
      </w:tblGrid>
      <w:tr w:rsidR="744A8808" w14:paraId="7EFA0B49" w14:textId="77777777" w:rsidTr="15753CFC">
        <w:trPr>
          <w:trHeight w:val="345"/>
        </w:trPr>
        <w:tc>
          <w:tcPr>
            <w:tcW w:w="1554" w:type="dxa"/>
            <w:tcBorders>
              <w:top w:val="single" w:sz="6" w:space="0" w:color="auto"/>
              <w:left w:val="single" w:sz="6" w:space="0" w:color="auto"/>
              <w:bottom w:val="single" w:sz="6" w:space="0" w:color="auto"/>
              <w:right w:val="single" w:sz="6" w:space="0" w:color="auto"/>
            </w:tcBorders>
          </w:tcPr>
          <w:p w14:paraId="5FACD0F2" w14:textId="344A4710"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Año fiscal federal</w:t>
            </w:r>
          </w:p>
        </w:tc>
        <w:tc>
          <w:tcPr>
            <w:tcW w:w="1554" w:type="dxa"/>
            <w:tcBorders>
              <w:top w:val="single" w:sz="6" w:space="0" w:color="auto"/>
              <w:left w:val="single" w:sz="6" w:space="0" w:color="auto"/>
              <w:bottom w:val="single" w:sz="6" w:space="0" w:color="auto"/>
              <w:right w:val="single" w:sz="6" w:space="0" w:color="auto"/>
            </w:tcBorders>
          </w:tcPr>
          <w:p w14:paraId="00E91442" w14:textId="624C9D4E"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2016</w:t>
            </w:r>
          </w:p>
        </w:tc>
        <w:tc>
          <w:tcPr>
            <w:tcW w:w="1554" w:type="dxa"/>
            <w:tcBorders>
              <w:top w:val="single" w:sz="6" w:space="0" w:color="auto"/>
              <w:left w:val="single" w:sz="6" w:space="0" w:color="auto"/>
              <w:bottom w:val="single" w:sz="6" w:space="0" w:color="auto"/>
              <w:right w:val="single" w:sz="6" w:space="0" w:color="auto"/>
            </w:tcBorders>
          </w:tcPr>
          <w:p w14:paraId="5B4745E3" w14:textId="630A18D0"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2017</w:t>
            </w:r>
          </w:p>
        </w:tc>
        <w:tc>
          <w:tcPr>
            <w:tcW w:w="1566" w:type="dxa"/>
            <w:tcBorders>
              <w:top w:val="single" w:sz="6" w:space="0" w:color="auto"/>
              <w:left w:val="single" w:sz="6" w:space="0" w:color="auto"/>
              <w:bottom w:val="single" w:sz="6" w:space="0" w:color="auto"/>
              <w:right w:val="single" w:sz="6" w:space="0" w:color="auto"/>
            </w:tcBorders>
          </w:tcPr>
          <w:p w14:paraId="5B05F57E" w14:textId="61AB30B7"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2018</w:t>
            </w:r>
          </w:p>
        </w:tc>
        <w:tc>
          <w:tcPr>
            <w:tcW w:w="1566" w:type="dxa"/>
            <w:tcBorders>
              <w:top w:val="single" w:sz="6" w:space="0" w:color="auto"/>
              <w:left w:val="single" w:sz="6" w:space="0" w:color="auto"/>
              <w:bottom w:val="single" w:sz="6" w:space="0" w:color="auto"/>
              <w:right w:val="single" w:sz="6" w:space="0" w:color="auto"/>
            </w:tcBorders>
          </w:tcPr>
          <w:p w14:paraId="020EABC4" w14:textId="545B7378" w:rsidR="1D3CA079" w:rsidRDefault="1D3CA079" w:rsidP="15753CFC">
            <w:pPr>
              <w:spacing w:line="240" w:lineRule="auto"/>
              <w:jc w:val="center"/>
              <w:rPr>
                <w:rFonts w:ascii="Arial" w:eastAsia="Arial" w:hAnsi="Arial" w:cs="Arial"/>
                <w:b/>
                <w:bCs/>
                <w:color w:val="000000" w:themeColor="text1"/>
                <w:sz w:val="16"/>
                <w:szCs w:val="16"/>
              </w:rPr>
            </w:pPr>
            <w:r>
              <w:rPr>
                <w:rFonts w:ascii="Arial" w:hAnsi="Arial"/>
                <w:b/>
                <w:color w:val="000000" w:themeColor="text1"/>
                <w:sz w:val="16"/>
              </w:rPr>
              <w:t>2019</w:t>
            </w:r>
          </w:p>
        </w:tc>
        <w:tc>
          <w:tcPr>
            <w:tcW w:w="1566" w:type="dxa"/>
            <w:tcBorders>
              <w:top w:val="single" w:sz="6" w:space="0" w:color="auto"/>
              <w:left w:val="single" w:sz="6" w:space="0" w:color="auto"/>
              <w:bottom w:val="single" w:sz="6" w:space="0" w:color="auto"/>
              <w:right w:val="single" w:sz="6" w:space="0" w:color="auto"/>
            </w:tcBorders>
          </w:tcPr>
          <w:p w14:paraId="0543C1CA" w14:textId="4E7140EC" w:rsidR="402361B9" w:rsidRDefault="402361B9" w:rsidP="15753CFC">
            <w:pPr>
              <w:spacing w:line="240" w:lineRule="auto"/>
              <w:jc w:val="center"/>
              <w:rPr>
                <w:rFonts w:ascii="Arial" w:eastAsia="Arial" w:hAnsi="Arial" w:cs="Arial"/>
                <w:b/>
                <w:bCs/>
                <w:color w:val="000000" w:themeColor="text1"/>
                <w:sz w:val="16"/>
                <w:szCs w:val="16"/>
              </w:rPr>
            </w:pPr>
            <w:r>
              <w:rPr>
                <w:rFonts w:ascii="Arial" w:hAnsi="Arial"/>
                <w:b/>
                <w:color w:val="000000" w:themeColor="text1"/>
                <w:sz w:val="16"/>
              </w:rPr>
              <w:t>2020</w:t>
            </w:r>
          </w:p>
        </w:tc>
      </w:tr>
      <w:tr w:rsidR="744A8808" w14:paraId="340E349E" w14:textId="77777777" w:rsidTr="15753CFC">
        <w:trPr>
          <w:trHeight w:val="345"/>
        </w:trPr>
        <w:tc>
          <w:tcPr>
            <w:tcW w:w="1554" w:type="dxa"/>
            <w:tcBorders>
              <w:top w:val="single" w:sz="6" w:space="0" w:color="auto"/>
              <w:left w:val="single" w:sz="6" w:space="0" w:color="auto"/>
              <w:bottom w:val="single" w:sz="6" w:space="0" w:color="auto"/>
              <w:right w:val="single" w:sz="6" w:space="0" w:color="auto"/>
            </w:tcBorders>
            <w:vAlign w:val="center"/>
          </w:tcPr>
          <w:p w14:paraId="7813B653" w14:textId="4AFC4575" w:rsidR="744A8808" w:rsidRDefault="744A8808" w:rsidP="744A8808">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Objetivo &lt;=</w:t>
            </w:r>
          </w:p>
        </w:tc>
        <w:tc>
          <w:tcPr>
            <w:tcW w:w="1554" w:type="dxa"/>
            <w:tcBorders>
              <w:top w:val="single" w:sz="6" w:space="0" w:color="auto"/>
              <w:left w:val="single" w:sz="6" w:space="0" w:color="auto"/>
              <w:bottom w:val="single" w:sz="6" w:space="0" w:color="auto"/>
              <w:right w:val="single" w:sz="6" w:space="0" w:color="auto"/>
            </w:tcBorders>
            <w:vAlign w:val="center"/>
          </w:tcPr>
          <w:p w14:paraId="3E7E639A" w14:textId="174C252B"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c>
          <w:tcPr>
            <w:tcW w:w="1554" w:type="dxa"/>
            <w:tcBorders>
              <w:top w:val="single" w:sz="6" w:space="0" w:color="auto"/>
              <w:left w:val="single" w:sz="6" w:space="0" w:color="auto"/>
              <w:bottom w:val="single" w:sz="6" w:space="0" w:color="auto"/>
              <w:right w:val="single" w:sz="6" w:space="0" w:color="auto"/>
            </w:tcBorders>
            <w:vAlign w:val="center"/>
          </w:tcPr>
          <w:p w14:paraId="58DF908F" w14:textId="2F3ECC3D"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c>
          <w:tcPr>
            <w:tcW w:w="1566" w:type="dxa"/>
            <w:tcBorders>
              <w:top w:val="single" w:sz="6" w:space="0" w:color="auto"/>
              <w:left w:val="single" w:sz="6" w:space="0" w:color="auto"/>
              <w:bottom w:val="single" w:sz="6" w:space="0" w:color="auto"/>
              <w:right w:val="single" w:sz="6" w:space="0" w:color="auto"/>
            </w:tcBorders>
            <w:vAlign w:val="center"/>
          </w:tcPr>
          <w:p w14:paraId="37CA2FAC" w14:textId="6BFCA371"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c>
          <w:tcPr>
            <w:tcW w:w="1566" w:type="dxa"/>
            <w:tcBorders>
              <w:top w:val="single" w:sz="6" w:space="0" w:color="auto"/>
              <w:left w:val="single" w:sz="6" w:space="0" w:color="auto"/>
              <w:bottom w:val="single" w:sz="6" w:space="0" w:color="auto"/>
              <w:right w:val="single" w:sz="6" w:space="0" w:color="auto"/>
            </w:tcBorders>
            <w:vAlign w:val="center"/>
          </w:tcPr>
          <w:p w14:paraId="504920A7" w14:textId="51D3784C" w:rsidR="06C59231" w:rsidRDefault="06C59231" w:rsidP="15753CFC">
            <w:pPr>
              <w:spacing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c>
          <w:tcPr>
            <w:tcW w:w="1566" w:type="dxa"/>
            <w:tcBorders>
              <w:top w:val="single" w:sz="6" w:space="0" w:color="auto"/>
              <w:left w:val="single" w:sz="6" w:space="0" w:color="auto"/>
              <w:bottom w:val="single" w:sz="6" w:space="0" w:color="auto"/>
              <w:right w:val="single" w:sz="6" w:space="0" w:color="auto"/>
            </w:tcBorders>
            <w:vAlign w:val="center"/>
          </w:tcPr>
          <w:p w14:paraId="76FA5246" w14:textId="51D3784C" w:rsidR="15753CFC" w:rsidRDefault="15753CFC" w:rsidP="15753CFC">
            <w:pPr>
              <w:spacing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r>
      <w:tr w:rsidR="744A8808" w14:paraId="32C243F1" w14:textId="77777777" w:rsidTr="15753CFC">
        <w:trPr>
          <w:trHeight w:val="75"/>
        </w:trPr>
        <w:tc>
          <w:tcPr>
            <w:tcW w:w="1554" w:type="dxa"/>
            <w:tcBorders>
              <w:top w:val="single" w:sz="6" w:space="0" w:color="auto"/>
              <w:left w:val="single" w:sz="6" w:space="0" w:color="auto"/>
              <w:bottom w:val="single" w:sz="6" w:space="0" w:color="auto"/>
              <w:right w:val="single" w:sz="6" w:space="0" w:color="auto"/>
            </w:tcBorders>
            <w:vAlign w:val="center"/>
          </w:tcPr>
          <w:p w14:paraId="5162B5CF" w14:textId="62EFA94E" w:rsidR="744A8808" w:rsidRDefault="744A8808" w:rsidP="744A8808">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Datos</w:t>
            </w:r>
          </w:p>
        </w:tc>
        <w:tc>
          <w:tcPr>
            <w:tcW w:w="1554" w:type="dxa"/>
            <w:tcBorders>
              <w:top w:val="single" w:sz="6" w:space="0" w:color="auto"/>
              <w:left w:val="single" w:sz="6" w:space="0" w:color="auto"/>
              <w:bottom w:val="single" w:sz="6" w:space="0" w:color="auto"/>
              <w:right w:val="single" w:sz="6" w:space="0" w:color="auto"/>
            </w:tcBorders>
            <w:vAlign w:val="center"/>
          </w:tcPr>
          <w:p w14:paraId="6CFFAE09" w14:textId="44D0D6E9"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1.92 %</w:t>
            </w:r>
          </w:p>
        </w:tc>
        <w:tc>
          <w:tcPr>
            <w:tcW w:w="1554" w:type="dxa"/>
            <w:tcBorders>
              <w:top w:val="single" w:sz="6" w:space="0" w:color="auto"/>
              <w:left w:val="single" w:sz="6" w:space="0" w:color="auto"/>
              <w:bottom w:val="single" w:sz="6" w:space="0" w:color="auto"/>
              <w:right w:val="single" w:sz="6" w:space="0" w:color="auto"/>
            </w:tcBorders>
            <w:vAlign w:val="center"/>
          </w:tcPr>
          <w:p w14:paraId="31D92979" w14:textId="59E26297"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1.36 %</w:t>
            </w:r>
          </w:p>
        </w:tc>
        <w:tc>
          <w:tcPr>
            <w:tcW w:w="1566" w:type="dxa"/>
            <w:tcBorders>
              <w:top w:val="single" w:sz="6" w:space="0" w:color="auto"/>
              <w:left w:val="single" w:sz="6" w:space="0" w:color="auto"/>
              <w:bottom w:val="single" w:sz="6" w:space="0" w:color="auto"/>
              <w:right w:val="single" w:sz="6" w:space="0" w:color="auto"/>
            </w:tcBorders>
            <w:vAlign w:val="center"/>
          </w:tcPr>
          <w:p w14:paraId="283E7F94" w14:textId="7192F2B2"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1.08 %</w:t>
            </w:r>
          </w:p>
        </w:tc>
        <w:tc>
          <w:tcPr>
            <w:tcW w:w="1566" w:type="dxa"/>
            <w:tcBorders>
              <w:top w:val="single" w:sz="6" w:space="0" w:color="auto"/>
              <w:left w:val="single" w:sz="6" w:space="0" w:color="auto"/>
              <w:bottom w:val="single" w:sz="6" w:space="0" w:color="auto"/>
              <w:right w:val="single" w:sz="6" w:space="0" w:color="auto"/>
            </w:tcBorders>
            <w:vAlign w:val="center"/>
          </w:tcPr>
          <w:p w14:paraId="1F5D679E" w14:textId="01BA33E0" w:rsidR="2BFAE614" w:rsidRDefault="2BFAE614" w:rsidP="15753CFC">
            <w:pPr>
              <w:spacing w:line="240" w:lineRule="auto"/>
              <w:jc w:val="center"/>
              <w:rPr>
                <w:rFonts w:ascii="Arial" w:eastAsia="Arial" w:hAnsi="Arial" w:cs="Arial"/>
                <w:color w:val="000000" w:themeColor="text1"/>
                <w:sz w:val="16"/>
                <w:szCs w:val="16"/>
              </w:rPr>
            </w:pPr>
            <w:r>
              <w:rPr>
                <w:rFonts w:ascii="Arial" w:hAnsi="Arial"/>
                <w:color w:val="000000" w:themeColor="text1"/>
                <w:sz w:val="16"/>
              </w:rPr>
              <w:t>1.06 %</w:t>
            </w:r>
          </w:p>
        </w:tc>
        <w:tc>
          <w:tcPr>
            <w:tcW w:w="1566" w:type="dxa"/>
            <w:tcBorders>
              <w:top w:val="single" w:sz="6" w:space="0" w:color="auto"/>
              <w:left w:val="single" w:sz="6" w:space="0" w:color="auto"/>
              <w:bottom w:val="single" w:sz="6" w:space="0" w:color="auto"/>
              <w:right w:val="single" w:sz="6" w:space="0" w:color="auto"/>
            </w:tcBorders>
            <w:vAlign w:val="center"/>
          </w:tcPr>
          <w:p w14:paraId="7D01E809" w14:textId="01BA33E0" w:rsidR="15753CFC" w:rsidRDefault="15753CFC" w:rsidP="15753CFC">
            <w:pPr>
              <w:spacing w:line="240" w:lineRule="auto"/>
              <w:jc w:val="center"/>
              <w:rPr>
                <w:rFonts w:ascii="Arial" w:eastAsia="Arial" w:hAnsi="Arial" w:cs="Arial"/>
                <w:color w:val="000000" w:themeColor="text1"/>
                <w:sz w:val="16"/>
                <w:szCs w:val="16"/>
              </w:rPr>
            </w:pPr>
            <w:r>
              <w:rPr>
                <w:rFonts w:ascii="Arial" w:hAnsi="Arial"/>
                <w:color w:val="000000" w:themeColor="text1"/>
                <w:sz w:val="16"/>
              </w:rPr>
              <w:t>1.06 %</w:t>
            </w:r>
          </w:p>
        </w:tc>
      </w:tr>
    </w:tbl>
    <w:p w14:paraId="14C3AB0C" w14:textId="2C304D98" w:rsidR="025790DD" w:rsidRDefault="025790DD" w:rsidP="744A8808">
      <w:pPr>
        <w:spacing w:before="60" w:after="60" w:line="240" w:lineRule="auto"/>
        <w:rPr>
          <w:rFonts w:ascii="Arial" w:eastAsia="Arial" w:hAnsi="Arial" w:cs="Arial"/>
          <w:color w:val="000000" w:themeColor="text1"/>
          <w:sz w:val="16"/>
          <w:szCs w:val="16"/>
        </w:rPr>
      </w:pPr>
    </w:p>
    <w:p w14:paraId="2A894C4B" w14:textId="4C60281A" w:rsidR="00B700DA" w:rsidRDefault="00B700DA" w:rsidP="15753CFC">
      <w:pPr>
        <w:spacing w:after="0" w:line="240" w:lineRule="auto"/>
        <w:rPr>
          <w:rFonts w:ascii="Calibri" w:eastAsia="Calibri" w:hAnsi="Calibri" w:cs="Calibri"/>
          <w:i/>
          <w:iCs/>
        </w:rPr>
      </w:pPr>
      <w:r>
        <w:rPr>
          <w:rFonts w:ascii="Calibri" w:hAnsi="Calibri"/>
          <w:i/>
        </w:rPr>
        <w:t>Objetivos</w:t>
      </w:r>
    </w:p>
    <w:tbl>
      <w:tblPr>
        <w:tblW w:w="0" w:type="auto"/>
        <w:tblLook w:val="0000" w:firstRow="0" w:lastRow="0" w:firstColumn="0" w:lastColumn="0" w:noHBand="0" w:noVBand="0"/>
      </w:tblPr>
      <w:tblGrid>
        <w:gridCol w:w="1552"/>
        <w:gridCol w:w="1112"/>
        <w:gridCol w:w="1332"/>
        <w:gridCol w:w="1343"/>
        <w:gridCol w:w="1343"/>
        <w:gridCol w:w="1343"/>
      </w:tblGrid>
      <w:tr w:rsidR="15753CFC" w14:paraId="79359D05" w14:textId="77777777" w:rsidTr="006C504D">
        <w:trPr>
          <w:trHeight w:val="345"/>
        </w:trPr>
        <w:tc>
          <w:tcPr>
            <w:tcW w:w="1552" w:type="dxa"/>
            <w:tcBorders>
              <w:top w:val="single" w:sz="6" w:space="0" w:color="auto"/>
              <w:left w:val="single" w:sz="6" w:space="0" w:color="auto"/>
              <w:bottom w:val="single" w:sz="6" w:space="0" w:color="auto"/>
              <w:right w:val="single" w:sz="6" w:space="0" w:color="auto"/>
            </w:tcBorders>
          </w:tcPr>
          <w:p w14:paraId="25110215" w14:textId="0F329B9C"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Año fiscal federal</w:t>
            </w:r>
          </w:p>
        </w:tc>
        <w:tc>
          <w:tcPr>
            <w:tcW w:w="1112" w:type="dxa"/>
            <w:tcBorders>
              <w:top w:val="single" w:sz="6" w:space="0" w:color="auto"/>
              <w:left w:val="single" w:sz="6" w:space="0" w:color="auto"/>
              <w:bottom w:val="single" w:sz="6" w:space="0" w:color="auto"/>
              <w:right w:val="single" w:sz="6" w:space="0" w:color="auto"/>
            </w:tcBorders>
          </w:tcPr>
          <w:p w14:paraId="73CC8CA8" w14:textId="7CB68559" w:rsidR="15753CFC" w:rsidRDefault="15753CFC" w:rsidP="15753CFC">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2021</w:t>
            </w:r>
          </w:p>
        </w:tc>
        <w:tc>
          <w:tcPr>
            <w:tcW w:w="1332" w:type="dxa"/>
            <w:tcBorders>
              <w:top w:val="single" w:sz="6" w:space="0" w:color="auto"/>
              <w:left w:val="single" w:sz="6" w:space="0" w:color="auto"/>
              <w:bottom w:val="single" w:sz="6" w:space="0" w:color="auto"/>
              <w:right w:val="single" w:sz="6" w:space="0" w:color="auto"/>
            </w:tcBorders>
          </w:tcPr>
          <w:p w14:paraId="750EFF99" w14:textId="22E57544" w:rsidR="15753CFC" w:rsidRDefault="15753CFC" w:rsidP="15753CFC">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2022</w:t>
            </w:r>
          </w:p>
        </w:tc>
        <w:tc>
          <w:tcPr>
            <w:tcW w:w="1343" w:type="dxa"/>
            <w:tcBorders>
              <w:top w:val="single" w:sz="6" w:space="0" w:color="auto"/>
              <w:left w:val="single" w:sz="6" w:space="0" w:color="auto"/>
              <w:bottom w:val="single" w:sz="6" w:space="0" w:color="auto"/>
              <w:right w:val="single" w:sz="6" w:space="0" w:color="auto"/>
            </w:tcBorders>
          </w:tcPr>
          <w:p w14:paraId="7625026D" w14:textId="6E9116D7" w:rsidR="15753CFC" w:rsidRDefault="15753CFC" w:rsidP="15753CFC">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2023</w:t>
            </w:r>
          </w:p>
        </w:tc>
        <w:tc>
          <w:tcPr>
            <w:tcW w:w="1343" w:type="dxa"/>
            <w:tcBorders>
              <w:top w:val="single" w:sz="6" w:space="0" w:color="auto"/>
              <w:left w:val="single" w:sz="6" w:space="0" w:color="auto"/>
              <w:bottom w:val="single" w:sz="6" w:space="0" w:color="auto"/>
              <w:right w:val="single" w:sz="6" w:space="0" w:color="auto"/>
            </w:tcBorders>
          </w:tcPr>
          <w:p w14:paraId="3373444D" w14:textId="4DF42345" w:rsidR="15753CFC" w:rsidRDefault="15753CFC" w:rsidP="15753CFC">
            <w:pPr>
              <w:spacing w:after="0" w:line="240" w:lineRule="auto"/>
              <w:jc w:val="center"/>
              <w:rPr>
                <w:rFonts w:ascii="Arial" w:eastAsia="Arial" w:hAnsi="Arial" w:cs="Arial"/>
                <w:b/>
                <w:bCs/>
                <w:color w:val="000000" w:themeColor="text1"/>
                <w:sz w:val="16"/>
                <w:szCs w:val="16"/>
              </w:rPr>
            </w:pPr>
            <w:r>
              <w:rPr>
                <w:rFonts w:ascii="Arial" w:hAnsi="Arial"/>
                <w:b/>
                <w:color w:val="000000" w:themeColor="text1"/>
                <w:sz w:val="16"/>
              </w:rPr>
              <w:t>2024</w:t>
            </w:r>
          </w:p>
        </w:tc>
        <w:tc>
          <w:tcPr>
            <w:tcW w:w="1343" w:type="dxa"/>
            <w:tcBorders>
              <w:top w:val="single" w:sz="6" w:space="0" w:color="auto"/>
              <w:left w:val="single" w:sz="6" w:space="0" w:color="auto"/>
              <w:bottom w:val="single" w:sz="6" w:space="0" w:color="auto"/>
              <w:right w:val="single" w:sz="6" w:space="0" w:color="auto"/>
            </w:tcBorders>
          </w:tcPr>
          <w:p w14:paraId="12996607" w14:textId="2B528825" w:rsidR="15753CFC" w:rsidRDefault="15753CFC" w:rsidP="15753CFC">
            <w:pPr>
              <w:spacing w:after="0" w:line="240" w:lineRule="auto"/>
              <w:jc w:val="center"/>
              <w:rPr>
                <w:rFonts w:ascii="Arial" w:eastAsia="Arial" w:hAnsi="Arial" w:cs="Arial"/>
                <w:b/>
                <w:bCs/>
                <w:color w:val="000000" w:themeColor="text1"/>
                <w:sz w:val="16"/>
                <w:szCs w:val="16"/>
              </w:rPr>
            </w:pPr>
            <w:r>
              <w:rPr>
                <w:rFonts w:ascii="Arial" w:hAnsi="Arial"/>
                <w:b/>
                <w:color w:val="000000" w:themeColor="text1"/>
                <w:sz w:val="16"/>
              </w:rPr>
              <w:t>2025</w:t>
            </w:r>
          </w:p>
        </w:tc>
      </w:tr>
      <w:tr w:rsidR="15753CFC" w14:paraId="0E983E1A" w14:textId="77777777" w:rsidTr="006C504D">
        <w:trPr>
          <w:trHeight w:val="345"/>
        </w:trPr>
        <w:tc>
          <w:tcPr>
            <w:tcW w:w="1552" w:type="dxa"/>
            <w:tcBorders>
              <w:top w:val="single" w:sz="6" w:space="0" w:color="auto"/>
              <w:left w:val="single" w:sz="6" w:space="0" w:color="auto"/>
              <w:bottom w:val="single" w:sz="6" w:space="0" w:color="auto"/>
              <w:right w:val="single" w:sz="6" w:space="0" w:color="auto"/>
            </w:tcBorders>
            <w:vAlign w:val="center"/>
          </w:tcPr>
          <w:p w14:paraId="768616B3" w14:textId="6EDF45CD" w:rsidR="15753CFC" w:rsidRDefault="15753CFC" w:rsidP="15753CFC">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Objetivo</w:t>
            </w:r>
          </w:p>
        </w:tc>
        <w:tc>
          <w:tcPr>
            <w:tcW w:w="1112" w:type="dxa"/>
            <w:tcBorders>
              <w:top w:val="single" w:sz="6" w:space="0" w:color="auto"/>
              <w:left w:val="single" w:sz="6" w:space="0" w:color="auto"/>
              <w:bottom w:val="single" w:sz="6" w:space="0" w:color="auto"/>
              <w:right w:val="single" w:sz="6" w:space="0" w:color="auto"/>
            </w:tcBorders>
            <w:vAlign w:val="center"/>
          </w:tcPr>
          <w:p w14:paraId="5F1E32B1" w14:textId="098D1212"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32" w:type="dxa"/>
            <w:tcBorders>
              <w:top w:val="single" w:sz="6" w:space="0" w:color="auto"/>
              <w:left w:val="single" w:sz="6" w:space="0" w:color="auto"/>
              <w:bottom w:val="single" w:sz="6" w:space="0" w:color="auto"/>
              <w:right w:val="single" w:sz="6" w:space="0" w:color="auto"/>
            </w:tcBorders>
            <w:vAlign w:val="center"/>
          </w:tcPr>
          <w:p w14:paraId="0E7ED12C" w14:textId="460C5D5D"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43" w:type="dxa"/>
            <w:tcBorders>
              <w:top w:val="single" w:sz="6" w:space="0" w:color="auto"/>
              <w:left w:val="single" w:sz="6" w:space="0" w:color="auto"/>
              <w:bottom w:val="single" w:sz="6" w:space="0" w:color="auto"/>
              <w:right w:val="single" w:sz="6" w:space="0" w:color="auto"/>
            </w:tcBorders>
            <w:vAlign w:val="center"/>
          </w:tcPr>
          <w:p w14:paraId="2ABFA776" w14:textId="5FDA0640"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43" w:type="dxa"/>
            <w:tcBorders>
              <w:top w:val="single" w:sz="6" w:space="0" w:color="auto"/>
              <w:left w:val="single" w:sz="6" w:space="0" w:color="auto"/>
              <w:bottom w:val="single" w:sz="6" w:space="0" w:color="auto"/>
              <w:right w:val="single" w:sz="6" w:space="0" w:color="auto"/>
            </w:tcBorders>
            <w:vAlign w:val="center"/>
          </w:tcPr>
          <w:p w14:paraId="48BFEA6B" w14:textId="5FDA0640"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43" w:type="dxa"/>
            <w:tcBorders>
              <w:top w:val="single" w:sz="6" w:space="0" w:color="auto"/>
              <w:left w:val="single" w:sz="6" w:space="0" w:color="auto"/>
              <w:bottom w:val="single" w:sz="6" w:space="0" w:color="auto"/>
              <w:right w:val="single" w:sz="6" w:space="0" w:color="auto"/>
            </w:tcBorders>
            <w:vAlign w:val="center"/>
          </w:tcPr>
          <w:p w14:paraId="25899D14" w14:textId="5FDA0640"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r>
    </w:tbl>
    <w:p w14:paraId="4EB3FBB0" w14:textId="415E3A28" w:rsidR="15753CFC" w:rsidRDefault="15753CFC" w:rsidP="15753CFC">
      <w:pPr>
        <w:spacing w:before="60" w:after="60" w:line="240" w:lineRule="auto"/>
        <w:rPr>
          <w:rFonts w:ascii="Arial" w:eastAsia="Arial" w:hAnsi="Arial" w:cs="Arial"/>
          <w:color w:val="000000" w:themeColor="text1"/>
          <w:sz w:val="16"/>
          <w:szCs w:val="16"/>
        </w:rPr>
      </w:pPr>
    </w:p>
    <w:p w14:paraId="0168CE25" w14:textId="294BF866" w:rsidR="15753CFC" w:rsidRDefault="15753CFC" w:rsidP="15753CFC">
      <w:pPr>
        <w:spacing w:before="60" w:after="60" w:line="240" w:lineRule="auto"/>
        <w:rPr>
          <w:rFonts w:ascii="Arial" w:eastAsia="Arial" w:hAnsi="Arial" w:cs="Arial"/>
          <w:color w:val="000000" w:themeColor="text1"/>
          <w:sz w:val="16"/>
          <w:szCs w:val="16"/>
        </w:rPr>
      </w:pPr>
    </w:p>
    <w:p w14:paraId="78B6E185" w14:textId="2A34931E" w:rsidR="025790DD" w:rsidRDefault="744A8808" w:rsidP="15753CFC">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Año fiscal federal 2021</w:t>
      </w:r>
    </w:p>
    <w:tbl>
      <w:tblPr>
        <w:tblW w:w="0" w:type="auto"/>
        <w:tblLayout w:type="fixed"/>
        <w:tblLook w:val="0000" w:firstRow="0" w:lastRow="0" w:firstColumn="0" w:lastColumn="0" w:noHBand="0" w:noVBand="0"/>
      </w:tblPr>
      <w:tblGrid>
        <w:gridCol w:w="1216"/>
        <w:gridCol w:w="1647"/>
        <w:gridCol w:w="1190"/>
        <w:gridCol w:w="1647"/>
        <w:gridCol w:w="1098"/>
      </w:tblGrid>
      <w:tr w:rsidR="744A8808" w14:paraId="5CE05D38" w14:textId="77777777" w:rsidTr="68A7E002">
        <w:trPr>
          <w:trHeight w:val="990"/>
        </w:trPr>
        <w:tc>
          <w:tcPr>
            <w:tcW w:w="1216" w:type="dxa"/>
            <w:tcBorders>
              <w:top w:val="single" w:sz="6" w:space="0" w:color="auto"/>
              <w:left w:val="single" w:sz="6" w:space="0" w:color="auto"/>
              <w:bottom w:val="single" w:sz="6" w:space="0" w:color="auto"/>
              <w:right w:val="single" w:sz="6" w:space="0" w:color="auto"/>
            </w:tcBorders>
            <w:vAlign w:val="bottom"/>
          </w:tcPr>
          <w:p w14:paraId="1A406420" w14:textId="65568C21"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Número de distritos que tienen una discrepancia significativa</w:t>
            </w:r>
          </w:p>
        </w:tc>
        <w:tc>
          <w:tcPr>
            <w:tcW w:w="1647" w:type="dxa"/>
            <w:tcBorders>
              <w:top w:val="single" w:sz="6" w:space="0" w:color="auto"/>
              <w:left w:val="single" w:sz="6" w:space="0" w:color="auto"/>
              <w:bottom w:val="single" w:sz="6" w:space="0" w:color="auto"/>
              <w:right w:val="single" w:sz="6" w:space="0" w:color="auto"/>
            </w:tcBorders>
            <w:vAlign w:val="bottom"/>
          </w:tcPr>
          <w:p w14:paraId="16B535CA" w14:textId="1C245DD3"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 xml:space="preserve">Número de distritos que cumplieron con </w:t>
            </w:r>
            <w:r w:rsidR="00BD6E53">
              <w:rPr>
                <w:rFonts w:ascii="Arial" w:hAnsi="Arial"/>
                <w:b/>
                <w:color w:val="000000" w:themeColor="text1"/>
                <w:sz w:val="16"/>
              </w:rPr>
              <w:t>el tamaño</w:t>
            </w:r>
            <w:r>
              <w:rPr>
                <w:rFonts w:ascii="Arial" w:hAnsi="Arial"/>
                <w:b/>
                <w:color w:val="000000" w:themeColor="text1"/>
                <w:sz w:val="16"/>
              </w:rPr>
              <w:t xml:space="preserve"> “n” mínim</w:t>
            </w:r>
            <w:r w:rsidR="00BD6E53">
              <w:rPr>
                <w:rFonts w:ascii="Arial" w:hAnsi="Arial"/>
                <w:b/>
                <w:color w:val="000000" w:themeColor="text1"/>
                <w:sz w:val="16"/>
              </w:rPr>
              <w:t>o</w:t>
            </w:r>
            <w:r>
              <w:rPr>
                <w:rFonts w:ascii="Arial" w:hAnsi="Arial"/>
                <w:b/>
                <w:color w:val="000000" w:themeColor="text1"/>
                <w:sz w:val="16"/>
              </w:rPr>
              <w:t xml:space="preserve"> estatal</w:t>
            </w:r>
          </w:p>
        </w:tc>
        <w:tc>
          <w:tcPr>
            <w:tcW w:w="1190" w:type="dxa"/>
            <w:tcBorders>
              <w:top w:val="single" w:sz="6" w:space="0" w:color="auto"/>
              <w:left w:val="single" w:sz="6" w:space="0" w:color="auto"/>
              <w:bottom w:val="single" w:sz="6" w:space="0" w:color="auto"/>
              <w:right w:val="single" w:sz="6" w:space="0" w:color="auto"/>
            </w:tcBorders>
            <w:vAlign w:val="bottom"/>
          </w:tcPr>
          <w:p w14:paraId="7FBD6B2D" w14:textId="24541B1A"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Datos del año fiscal federal 2020</w:t>
            </w:r>
          </w:p>
        </w:tc>
        <w:tc>
          <w:tcPr>
            <w:tcW w:w="1647" w:type="dxa"/>
            <w:tcBorders>
              <w:top w:val="single" w:sz="6" w:space="0" w:color="auto"/>
              <w:left w:val="single" w:sz="6" w:space="0" w:color="auto"/>
              <w:bottom w:val="single" w:sz="6" w:space="0" w:color="auto"/>
              <w:right w:val="single" w:sz="6" w:space="0" w:color="auto"/>
            </w:tcBorders>
            <w:vAlign w:val="bottom"/>
          </w:tcPr>
          <w:p w14:paraId="0B4B4656" w14:textId="33F6B32D" w:rsidR="744A8808" w:rsidRDefault="744A8808" w:rsidP="15753CFC">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Objetivo para el año fiscal federal 2021</w:t>
            </w:r>
          </w:p>
        </w:tc>
        <w:tc>
          <w:tcPr>
            <w:tcW w:w="1098" w:type="dxa"/>
            <w:tcBorders>
              <w:top w:val="single" w:sz="6" w:space="0" w:color="auto"/>
              <w:left w:val="single" w:sz="6" w:space="0" w:color="auto"/>
              <w:bottom w:val="single" w:sz="6" w:space="0" w:color="auto"/>
              <w:right w:val="single" w:sz="6" w:space="0" w:color="auto"/>
            </w:tcBorders>
            <w:vAlign w:val="bottom"/>
          </w:tcPr>
          <w:p w14:paraId="751C6534" w14:textId="79ACA5B9"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Año fiscal federal 2021</w:t>
            </w:r>
          </w:p>
        </w:tc>
      </w:tr>
      <w:tr w:rsidR="744A8808" w14:paraId="275F272D" w14:textId="77777777" w:rsidTr="68A7E002">
        <w:trPr>
          <w:trHeight w:val="225"/>
        </w:trPr>
        <w:tc>
          <w:tcPr>
            <w:tcW w:w="1216" w:type="dxa"/>
            <w:tcBorders>
              <w:top w:val="single" w:sz="6" w:space="0" w:color="auto"/>
              <w:left w:val="single" w:sz="6" w:space="0" w:color="auto"/>
              <w:bottom w:val="single" w:sz="6" w:space="0" w:color="auto"/>
              <w:right w:val="single" w:sz="6" w:space="0" w:color="auto"/>
            </w:tcBorders>
            <w:vAlign w:val="center"/>
          </w:tcPr>
          <w:p w14:paraId="4C0ECFB5" w14:textId="56A1894D" w:rsidR="744A8808" w:rsidRDefault="06463656"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3</w:t>
            </w:r>
          </w:p>
        </w:tc>
        <w:tc>
          <w:tcPr>
            <w:tcW w:w="1647" w:type="dxa"/>
            <w:tcBorders>
              <w:top w:val="single" w:sz="6" w:space="0" w:color="auto"/>
              <w:left w:val="single" w:sz="6" w:space="0" w:color="auto"/>
              <w:bottom w:val="single" w:sz="6" w:space="0" w:color="auto"/>
              <w:right w:val="single" w:sz="6" w:space="0" w:color="auto"/>
            </w:tcBorders>
          </w:tcPr>
          <w:p w14:paraId="59A50EFB" w14:textId="1EFB4BB7" w:rsidR="744A8808" w:rsidRDefault="06463656"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375</w:t>
            </w:r>
          </w:p>
        </w:tc>
        <w:tc>
          <w:tcPr>
            <w:tcW w:w="1190" w:type="dxa"/>
            <w:tcBorders>
              <w:top w:val="single" w:sz="6" w:space="0" w:color="auto"/>
              <w:left w:val="single" w:sz="6" w:space="0" w:color="auto"/>
              <w:bottom w:val="single" w:sz="6" w:space="0" w:color="auto"/>
              <w:right w:val="single" w:sz="6" w:space="0" w:color="auto"/>
            </w:tcBorders>
          </w:tcPr>
          <w:p w14:paraId="7A478E8D" w14:textId="00067EFF"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1.08 %</w:t>
            </w:r>
          </w:p>
        </w:tc>
        <w:tc>
          <w:tcPr>
            <w:tcW w:w="1647" w:type="dxa"/>
            <w:tcBorders>
              <w:top w:val="single" w:sz="6" w:space="0" w:color="auto"/>
              <w:left w:val="single" w:sz="6" w:space="0" w:color="auto"/>
              <w:bottom w:val="single" w:sz="6" w:space="0" w:color="auto"/>
              <w:right w:val="single" w:sz="6" w:space="0" w:color="auto"/>
            </w:tcBorders>
          </w:tcPr>
          <w:p w14:paraId="7BBE9B24" w14:textId="03C4F4CC"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c>
          <w:tcPr>
            <w:tcW w:w="1098" w:type="dxa"/>
            <w:tcBorders>
              <w:top w:val="single" w:sz="6" w:space="0" w:color="auto"/>
              <w:left w:val="single" w:sz="6" w:space="0" w:color="auto"/>
              <w:bottom w:val="single" w:sz="6" w:space="0" w:color="auto"/>
              <w:right w:val="single" w:sz="6" w:space="0" w:color="auto"/>
            </w:tcBorders>
          </w:tcPr>
          <w:p w14:paraId="2F671B3E" w14:textId="2278810A" w:rsidR="744A8808" w:rsidRDefault="4A8EA692"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0.8 %</w:t>
            </w:r>
          </w:p>
        </w:tc>
      </w:tr>
    </w:tbl>
    <w:p w14:paraId="335B2131" w14:textId="4EA651AC" w:rsidR="025790DD" w:rsidRDefault="025790DD" w:rsidP="744A8808">
      <w:pPr>
        <w:spacing w:after="0" w:line="240" w:lineRule="auto"/>
        <w:rPr>
          <w:color w:val="000000" w:themeColor="text1"/>
          <w:sz w:val="24"/>
          <w:szCs w:val="24"/>
        </w:rPr>
      </w:pPr>
    </w:p>
    <w:p w14:paraId="37B92235" w14:textId="04796901" w:rsidR="025790DD" w:rsidRDefault="744A8808" w:rsidP="744A8808">
      <w:pPr>
        <w:spacing w:after="0" w:line="240" w:lineRule="auto"/>
        <w:rPr>
          <w:rFonts w:ascii="Calibri" w:eastAsia="Calibri" w:hAnsi="Calibri" w:cs="Calibri"/>
        </w:rPr>
      </w:pPr>
      <w:r>
        <w:rPr>
          <w:rFonts w:ascii="Calibri" w:hAnsi="Calibri"/>
          <w:b/>
        </w:rPr>
        <w:t>¿Cuáles son los requisitos y expectativas de los distritos identificados con una discrepancia significativa conforme al Indicador 4A?</w:t>
      </w:r>
    </w:p>
    <w:p w14:paraId="69A47CFD" w14:textId="67569CB4" w:rsidR="025790DD" w:rsidRDefault="025790DD" w:rsidP="744A8808">
      <w:pPr>
        <w:spacing w:after="0" w:line="240" w:lineRule="auto"/>
        <w:rPr>
          <w:rFonts w:ascii="Calibri" w:eastAsia="Calibri" w:hAnsi="Calibri" w:cs="Calibri"/>
          <w:b/>
          <w:bCs/>
        </w:rPr>
      </w:pPr>
    </w:p>
    <w:p w14:paraId="74570BA0" w14:textId="36F5B5F9" w:rsidR="025790DD" w:rsidRDefault="744A8808" w:rsidP="744A8808">
      <w:pPr>
        <w:spacing w:after="0" w:line="240" w:lineRule="auto"/>
        <w:rPr>
          <w:rFonts w:ascii="Calibri" w:eastAsia="Calibri" w:hAnsi="Calibri" w:cs="Calibri"/>
        </w:rPr>
      </w:pPr>
      <w:r>
        <w:rPr>
          <w:rFonts w:ascii="Calibri" w:hAnsi="Calibri"/>
        </w:rPr>
        <w:t xml:space="preserve">Los distritos identificados con discrepancias significativas deben presentar políticas, prácticas y procedimientos (PPP) para su revisión al Departamento de Educación Primaria y Secundaria (DESE) de Massachusetts (el Departamento). El Departamento verifica el cumplimiento de los PPP del distrito a través de su proceso de revisión del monitoreo, incluidos los criterios de monitoreo de educación especial que abordan áreas de interés específicas relacionadas con la disciplina estudiantil. En su revisión de los PPP, el Departamento generalmente no ha concluido, en ningún distrito, que los PPP estén fuera de cumplimiento.  Si se encuentran deficiencias en los PPP, el distrito debe corregirlas dentro de un año a partir de la fecha de la notificación y la LEA debe presentar evidencia de las correcciones al Departamento para su verificación.  </w:t>
      </w:r>
      <w:r>
        <w:br/>
      </w:r>
    </w:p>
    <w:p w14:paraId="0791E6D7" w14:textId="5409ED61" w:rsidR="025790DD" w:rsidRDefault="744A8808" w:rsidP="744A8808">
      <w:pPr>
        <w:spacing w:after="0" w:line="240" w:lineRule="auto"/>
        <w:rPr>
          <w:rFonts w:ascii="Calibri" w:eastAsia="Calibri" w:hAnsi="Calibri" w:cs="Calibri"/>
          <w:i/>
          <w:iCs/>
        </w:rPr>
      </w:pPr>
      <w:r>
        <w:rPr>
          <w:rFonts w:ascii="Calibri" w:hAnsi="Calibri"/>
        </w:rPr>
        <w:t>El Departamento apoya la participación de estos distritos a través de una Red de Aprendizaje Profesional (conversaciones de asistencia específica con el personal de las Oficinas de Apoyo Estudiantil y Familiar del Departamento, planificación y políticas de educación especial,  escuelas semiautónomas y rediseño escolar). Este compromiso incluye el debate sobre datos específicos del distrito y los desafíos que enfrentan en relación con la práctica de disciplina estudiantil, así como información acerca de estrategias exitosas que otros distritos han implementado en relación con la disciplina estudiantil.</w:t>
      </w:r>
    </w:p>
    <w:p w14:paraId="6242D397" w14:textId="7B63F46E" w:rsidR="025790DD" w:rsidRDefault="025790DD" w:rsidP="025790DD">
      <w:pPr>
        <w:spacing w:after="0" w:line="240" w:lineRule="auto"/>
      </w:pPr>
    </w:p>
    <w:p w14:paraId="127FDD24" w14:textId="32367D00" w:rsidR="025790DD" w:rsidRPr="0073305E" w:rsidRDefault="00D91B42" w:rsidP="744A8808">
      <w:pPr>
        <w:spacing w:after="0" w:line="240" w:lineRule="auto"/>
        <w:rPr>
          <w:i/>
          <w:iCs/>
        </w:rPr>
      </w:pPr>
      <w:hyperlink r:id="rId14" w:history="1">
        <w:r w:rsidR="0073305E" w:rsidRPr="003E23AA">
          <w:rPr>
            <w:rStyle w:val="Hyperlink"/>
            <w:i/>
          </w:rPr>
          <w:t>PowerPoint de Indicador 4</w:t>
        </w:r>
      </w:hyperlink>
      <w:r w:rsidR="0073305E">
        <w:rPr>
          <w:i/>
        </w:rPr>
        <w:br w:type="page"/>
      </w:r>
    </w:p>
    <w:p w14:paraId="48A884C9" w14:textId="10A5EA4C" w:rsidR="025790DD" w:rsidRDefault="00BB2899" w:rsidP="744A8808">
      <w:pPr>
        <w:pStyle w:val="Heading1"/>
        <w:spacing w:line="240" w:lineRule="auto"/>
      </w:pPr>
      <w:r>
        <w:lastRenderedPageBreak/>
        <w:t>Indicador 4B: Suspensión/Expulsión</w:t>
      </w:r>
    </w:p>
    <w:p w14:paraId="3FC44EF8" w14:textId="0422EA05" w:rsidR="025790DD" w:rsidRDefault="4315A5CF" w:rsidP="670FE716">
      <w:pPr>
        <w:pStyle w:val="Heading1"/>
        <w:spacing w:line="240" w:lineRule="auto"/>
        <w:rPr>
          <w:rFonts w:asciiTheme="minorHAnsi" w:hAnsiTheme="minorHAnsi" w:cstheme="minorBidi"/>
          <w:b/>
          <w:bCs/>
          <w:color w:val="000000" w:themeColor="text1"/>
          <w:sz w:val="24"/>
          <w:szCs w:val="24"/>
        </w:rPr>
      </w:pPr>
      <w:r>
        <w:rPr>
          <w:rFonts w:asciiTheme="minorHAnsi" w:hAnsiTheme="minorHAnsi"/>
          <w:b/>
          <w:color w:val="000000" w:themeColor="text1"/>
          <w:sz w:val="24"/>
        </w:rPr>
        <w:t>¿Qué es el Indicador 4B?</w:t>
      </w:r>
    </w:p>
    <w:p w14:paraId="1F632469" w14:textId="41A07DAF" w:rsidR="025790DD" w:rsidRDefault="744A8808" w:rsidP="744A8808">
      <w:pPr>
        <w:spacing w:after="0" w:line="240" w:lineRule="auto"/>
        <w:rPr>
          <w:rFonts w:ascii="Calibri" w:eastAsia="Calibri" w:hAnsi="Calibri" w:cs="Calibri"/>
        </w:rPr>
      </w:pPr>
      <w:r>
        <w:rPr>
          <w:rFonts w:ascii="Calibri" w:hAnsi="Calibri"/>
        </w:rPr>
        <w:t>La definición estatal de discrepancia significativa en la tasa de suspensiones y expulsiones (por más de 10 días en un año escolar) de estudiantes con IEP que son miembros de un grupo racial/étnico específico, es una tasa de suspensión/expulsión de cinco veces la tasa estatal para todos los estudiantes durante tres años consecutivos.</w:t>
      </w:r>
    </w:p>
    <w:p w14:paraId="7AA348E5" w14:textId="374D8369" w:rsidR="025790DD" w:rsidRDefault="744A8808" w:rsidP="744A8808">
      <w:pPr>
        <w:spacing w:after="0" w:line="240" w:lineRule="auto"/>
        <w:rPr>
          <w:rFonts w:ascii="Calibri" w:eastAsia="Calibri" w:hAnsi="Calibri" w:cs="Calibri"/>
        </w:rPr>
      </w:pPr>
      <w:r>
        <w:rPr>
          <w:rFonts w:ascii="Calibri" w:hAnsi="Calibri"/>
          <w:i/>
        </w:rPr>
        <w:t xml:space="preserve">Se determina que los distritos que cumplen con los requisitos de </w:t>
      </w:r>
      <w:r w:rsidR="00BD6E53">
        <w:rPr>
          <w:rFonts w:ascii="Calibri" w:hAnsi="Calibri"/>
          <w:i/>
        </w:rPr>
        <w:t>tamaño</w:t>
      </w:r>
      <w:r>
        <w:rPr>
          <w:rFonts w:ascii="Calibri" w:hAnsi="Calibri"/>
          <w:i/>
        </w:rPr>
        <w:t xml:space="preserve"> "n" y "población", y tienen una tasa de discrepancia de cinco veces el promedio estatal durante dos años consecutivos, se encuentran en una discrepancia significativa.</w:t>
      </w:r>
    </w:p>
    <w:p w14:paraId="1DA035F5" w14:textId="38CE506C" w:rsidR="025790DD" w:rsidRDefault="025790DD" w:rsidP="744A8808">
      <w:pPr>
        <w:spacing w:after="0" w:line="240" w:lineRule="auto"/>
        <w:rPr>
          <w:rFonts w:ascii="Calibri" w:eastAsia="Calibri" w:hAnsi="Calibri" w:cs="Calibri"/>
        </w:rPr>
      </w:pPr>
    </w:p>
    <w:p w14:paraId="391A9B98" w14:textId="01273A1F" w:rsidR="025790DD" w:rsidRDefault="6E54C27D" w:rsidP="744A8808">
      <w:pPr>
        <w:spacing w:after="0" w:line="240" w:lineRule="auto"/>
        <w:rPr>
          <w:rFonts w:ascii="Calibri" w:eastAsia="Calibri" w:hAnsi="Calibri" w:cs="Calibri"/>
        </w:rPr>
      </w:pPr>
      <w:r>
        <w:rPr>
          <w:rFonts w:ascii="Calibri" w:hAnsi="Calibri"/>
        </w:rPr>
        <w:t xml:space="preserve">Durante el año fiscal 2020, la tasa estatal de todos los estudiantes en todo el estado que fueron suspendidos o expulsados por más de 10 días es 0.00055; cinco veces la tasa estatal es 0.00275. Por lo tanto, las LEA satisfacen la definición estatal de discrepancia significativa si: </w:t>
      </w:r>
    </w:p>
    <w:p w14:paraId="19143AB1" w14:textId="56E20AD2" w:rsidR="025790DD" w:rsidRDefault="744A8808" w:rsidP="15753CFC">
      <w:pPr>
        <w:pStyle w:val="ListParagraph"/>
        <w:numPr>
          <w:ilvl w:val="0"/>
          <w:numId w:val="2"/>
        </w:numPr>
        <w:spacing w:after="0" w:line="240" w:lineRule="auto"/>
      </w:pPr>
      <w:r>
        <w:rPr>
          <w:rFonts w:ascii="Calibri" w:hAnsi="Calibri"/>
        </w:rPr>
        <w:t xml:space="preserve">cumplió con el tamaño mínimo "n" de 10 estudiantes con IEP en un grupo racial/étnico en particular; </w:t>
      </w:r>
    </w:p>
    <w:p w14:paraId="774666A4" w14:textId="28EE8C20" w:rsidR="29958FD4" w:rsidRDefault="29958FD4" w:rsidP="15753CFC">
      <w:pPr>
        <w:pStyle w:val="ListParagraph"/>
        <w:numPr>
          <w:ilvl w:val="0"/>
          <w:numId w:val="2"/>
        </w:numPr>
        <w:spacing w:after="0" w:line="240" w:lineRule="auto"/>
        <w:rPr>
          <w:rFonts w:eastAsiaTheme="minorEastAsia"/>
        </w:rPr>
      </w:pPr>
      <w:r>
        <w:rPr>
          <w:rFonts w:ascii="Calibri" w:hAnsi="Calibri"/>
        </w:rPr>
        <w:t>cumplió con el tamaño mínimo de "población" de 3 estudiantes con discapacidades suspendidos/expulsados por más de 10 días;</w:t>
      </w:r>
    </w:p>
    <w:p w14:paraId="7FAF06E6" w14:textId="36D400B3" w:rsidR="2E08C41E" w:rsidRDefault="2E08C41E" w:rsidP="15753CFC">
      <w:pPr>
        <w:pStyle w:val="ListParagraph"/>
        <w:numPr>
          <w:ilvl w:val="0"/>
          <w:numId w:val="2"/>
        </w:numPr>
        <w:spacing w:after="0" w:line="240" w:lineRule="auto"/>
        <w:rPr>
          <w:rFonts w:eastAsiaTheme="minorEastAsia"/>
        </w:rPr>
      </w:pPr>
      <w:r>
        <w:rPr>
          <w:rFonts w:ascii="Calibri" w:hAnsi="Calibri"/>
        </w:rPr>
        <w:t>se suspendió o expulsó más de cinco veces la tasa estatal de estudiantes con un IEP que son miembros de un grupo racial/étnico en particular por más de 10 días, en el transcurso del año escolar 2020-2021; y</w:t>
      </w:r>
    </w:p>
    <w:p w14:paraId="2DC462B5" w14:textId="0B55FAA7" w:rsidR="025790DD" w:rsidRDefault="744A8808" w:rsidP="744A8808">
      <w:pPr>
        <w:pStyle w:val="ListParagraph"/>
        <w:numPr>
          <w:ilvl w:val="0"/>
          <w:numId w:val="2"/>
        </w:numPr>
        <w:spacing w:after="0" w:line="240" w:lineRule="auto"/>
      </w:pPr>
      <w:r>
        <w:rPr>
          <w:rFonts w:ascii="Calibri" w:hAnsi="Calibri"/>
        </w:rPr>
        <w:t xml:space="preserve">la LEA identificada tenía datos similares (cinco veces la tasa estatal para todos los estudiantes) en los dos años escolares anteriores. </w:t>
      </w:r>
      <w:r>
        <w:br/>
      </w:r>
    </w:p>
    <w:p w14:paraId="56215785" w14:textId="2A371B0C" w:rsidR="025790DD" w:rsidRDefault="00D14FCC" w:rsidP="744A8808">
      <w:pPr>
        <w:spacing w:after="0" w:line="240" w:lineRule="auto"/>
        <w:rPr>
          <w:b/>
          <w:bCs/>
          <w:color w:val="000000" w:themeColor="text1"/>
          <w:sz w:val="24"/>
          <w:szCs w:val="24"/>
        </w:rPr>
      </w:pPr>
      <w:r>
        <w:rPr>
          <w:b/>
          <w:color w:val="000000" w:themeColor="text1"/>
          <w:sz w:val="24"/>
        </w:rPr>
        <w:t>Datos del Indicador 4B</w:t>
      </w:r>
    </w:p>
    <w:p w14:paraId="1738878E" w14:textId="6282825D" w:rsidR="025790DD" w:rsidRDefault="025790DD" w:rsidP="744A8808">
      <w:pPr>
        <w:spacing w:after="0" w:line="240" w:lineRule="auto"/>
        <w:rPr>
          <w:i/>
          <w:iCs/>
          <w:color w:val="000000" w:themeColor="text1"/>
        </w:rPr>
      </w:pPr>
      <w:r>
        <w:rPr>
          <w:i/>
          <w:color w:val="000000" w:themeColor="text1"/>
        </w:rPr>
        <w:t>Línea de base</w:t>
      </w:r>
    </w:p>
    <w:tbl>
      <w:tblPr>
        <w:tblStyle w:val="TableGrid"/>
        <w:tblW w:w="0" w:type="auto"/>
        <w:tblLayout w:type="fixed"/>
        <w:tblLook w:val="04A0" w:firstRow="1" w:lastRow="0" w:firstColumn="1" w:lastColumn="0" w:noHBand="0" w:noVBand="1"/>
      </w:tblPr>
      <w:tblGrid>
        <w:gridCol w:w="2550"/>
        <w:gridCol w:w="2550"/>
      </w:tblGrid>
      <w:tr w:rsidR="744A8808" w14:paraId="6B661E18" w14:textId="77777777" w:rsidTr="744A8808">
        <w:trPr>
          <w:trHeight w:val="300"/>
        </w:trPr>
        <w:tc>
          <w:tcPr>
            <w:tcW w:w="2550" w:type="dxa"/>
          </w:tcPr>
          <w:p w14:paraId="4FB53F90" w14:textId="43D0025A" w:rsidR="744A8808" w:rsidRDefault="744A8808" w:rsidP="744A8808">
            <w:pPr>
              <w:spacing w:before="60" w:after="60"/>
              <w:jc w:val="center"/>
              <w:rPr>
                <w:rFonts w:ascii="Arial" w:eastAsia="Arial" w:hAnsi="Arial" w:cs="Arial"/>
                <w:color w:val="000000" w:themeColor="text1"/>
                <w:sz w:val="16"/>
                <w:szCs w:val="16"/>
              </w:rPr>
            </w:pPr>
            <w:r>
              <w:rPr>
                <w:rFonts w:ascii="Arial" w:hAnsi="Arial"/>
                <w:b/>
                <w:color w:val="000000" w:themeColor="text1"/>
                <w:sz w:val="16"/>
              </w:rPr>
              <w:t>Año de línea de base</w:t>
            </w:r>
          </w:p>
        </w:tc>
        <w:tc>
          <w:tcPr>
            <w:tcW w:w="2550" w:type="dxa"/>
          </w:tcPr>
          <w:p w14:paraId="09B3BDF7" w14:textId="1DF704FF" w:rsidR="744A8808" w:rsidRDefault="744A8808" w:rsidP="744A8808">
            <w:pPr>
              <w:spacing w:before="60" w:after="60"/>
              <w:jc w:val="center"/>
              <w:rPr>
                <w:rFonts w:ascii="Arial" w:eastAsia="Arial" w:hAnsi="Arial" w:cs="Arial"/>
                <w:color w:val="000000" w:themeColor="text1"/>
                <w:sz w:val="16"/>
                <w:szCs w:val="16"/>
              </w:rPr>
            </w:pPr>
            <w:r>
              <w:rPr>
                <w:rFonts w:ascii="Arial" w:hAnsi="Arial"/>
                <w:b/>
                <w:color w:val="000000" w:themeColor="text1"/>
                <w:sz w:val="16"/>
              </w:rPr>
              <w:t>Datos de línea de base</w:t>
            </w:r>
          </w:p>
        </w:tc>
      </w:tr>
      <w:tr w:rsidR="744A8808" w14:paraId="7FFB2AD3" w14:textId="77777777" w:rsidTr="744A8808">
        <w:trPr>
          <w:trHeight w:val="300"/>
        </w:trPr>
        <w:tc>
          <w:tcPr>
            <w:tcW w:w="2550" w:type="dxa"/>
            <w:vAlign w:val="center"/>
          </w:tcPr>
          <w:p w14:paraId="6E1681CD" w14:textId="35D70BBA" w:rsidR="744A8808" w:rsidRDefault="744A8808" w:rsidP="744A8808">
            <w:pPr>
              <w:spacing w:before="60" w:after="60"/>
              <w:jc w:val="center"/>
              <w:rPr>
                <w:rFonts w:ascii="Arial" w:eastAsia="Arial" w:hAnsi="Arial" w:cs="Arial"/>
                <w:color w:val="000000" w:themeColor="text1"/>
                <w:sz w:val="16"/>
                <w:szCs w:val="16"/>
              </w:rPr>
            </w:pPr>
            <w:r>
              <w:rPr>
                <w:rFonts w:ascii="Arial" w:hAnsi="Arial"/>
                <w:color w:val="000000" w:themeColor="text1"/>
                <w:sz w:val="16"/>
              </w:rPr>
              <w:t>2017</w:t>
            </w:r>
          </w:p>
        </w:tc>
        <w:tc>
          <w:tcPr>
            <w:tcW w:w="2550" w:type="dxa"/>
            <w:vAlign w:val="center"/>
          </w:tcPr>
          <w:p w14:paraId="7F6D68F4" w14:textId="3EF95972" w:rsidR="744A8808" w:rsidRDefault="744A8808" w:rsidP="744A8808">
            <w:pPr>
              <w:spacing w:before="60" w:after="60"/>
              <w:jc w:val="center"/>
              <w:rPr>
                <w:rFonts w:ascii="Arial" w:eastAsia="Arial" w:hAnsi="Arial" w:cs="Arial"/>
                <w:color w:val="000000" w:themeColor="text1"/>
                <w:sz w:val="16"/>
                <w:szCs w:val="16"/>
              </w:rPr>
            </w:pPr>
            <w:r>
              <w:rPr>
                <w:rFonts w:ascii="Arial" w:hAnsi="Arial"/>
                <w:color w:val="000000" w:themeColor="text1"/>
                <w:sz w:val="16"/>
              </w:rPr>
              <w:t>0.51 %</w:t>
            </w:r>
          </w:p>
        </w:tc>
      </w:tr>
    </w:tbl>
    <w:p w14:paraId="5476022A" w14:textId="2B0BEACE" w:rsidR="025790DD" w:rsidRDefault="025790DD" w:rsidP="744A8808">
      <w:pPr>
        <w:spacing w:before="60" w:after="60" w:line="240" w:lineRule="auto"/>
        <w:rPr>
          <w:rFonts w:ascii="Arial" w:eastAsia="Arial" w:hAnsi="Arial" w:cs="Arial"/>
          <w:color w:val="000000" w:themeColor="text1"/>
          <w:sz w:val="16"/>
          <w:szCs w:val="16"/>
        </w:rPr>
      </w:pPr>
    </w:p>
    <w:p w14:paraId="048210BC" w14:textId="6B4AD8B1" w:rsidR="025790DD" w:rsidRDefault="025790DD" w:rsidP="744A8808">
      <w:pPr>
        <w:spacing w:before="60" w:after="60" w:line="240" w:lineRule="auto"/>
        <w:rPr>
          <w:rFonts w:ascii="Arial" w:eastAsia="Arial" w:hAnsi="Arial" w:cs="Arial"/>
          <w:color w:val="000000" w:themeColor="text1"/>
          <w:sz w:val="16"/>
          <w:szCs w:val="16"/>
        </w:rPr>
      </w:pPr>
    </w:p>
    <w:p w14:paraId="71175BC9" w14:textId="28877D5C" w:rsidR="025790DD" w:rsidRDefault="025790DD" w:rsidP="15753CFC">
      <w:pPr>
        <w:spacing w:before="60" w:after="60" w:line="240" w:lineRule="auto"/>
        <w:rPr>
          <w:rFonts w:ascii="Calibri" w:eastAsia="Calibri" w:hAnsi="Calibri" w:cs="Calibri"/>
          <w:i/>
          <w:iCs/>
          <w:color w:val="000000" w:themeColor="text1"/>
        </w:rPr>
      </w:pPr>
      <w:r>
        <w:rPr>
          <w:rFonts w:ascii="Calibri" w:hAnsi="Calibri"/>
          <w:i/>
          <w:color w:val="000000" w:themeColor="text1"/>
        </w:rPr>
        <w:t>Datos históricos</w:t>
      </w:r>
    </w:p>
    <w:tbl>
      <w:tblPr>
        <w:tblW w:w="8025" w:type="dxa"/>
        <w:tblLayout w:type="fixed"/>
        <w:tblLook w:val="0000" w:firstRow="0" w:lastRow="0" w:firstColumn="0" w:lastColumn="0" w:noHBand="0" w:noVBand="0"/>
      </w:tblPr>
      <w:tblGrid>
        <w:gridCol w:w="1332"/>
        <w:gridCol w:w="1332"/>
        <w:gridCol w:w="1332"/>
        <w:gridCol w:w="1343"/>
        <w:gridCol w:w="1343"/>
        <w:gridCol w:w="1343"/>
      </w:tblGrid>
      <w:tr w:rsidR="744A8808" w14:paraId="7BA1AA83"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tcPr>
          <w:p w14:paraId="7BCC024B" w14:textId="0F329B9C"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Año fiscal federal</w:t>
            </w:r>
          </w:p>
        </w:tc>
        <w:tc>
          <w:tcPr>
            <w:tcW w:w="1332" w:type="dxa"/>
            <w:tcBorders>
              <w:top w:val="single" w:sz="6" w:space="0" w:color="auto"/>
              <w:left w:val="single" w:sz="6" w:space="0" w:color="auto"/>
              <w:bottom w:val="single" w:sz="6" w:space="0" w:color="auto"/>
              <w:right w:val="single" w:sz="6" w:space="0" w:color="auto"/>
            </w:tcBorders>
          </w:tcPr>
          <w:p w14:paraId="425E65F9" w14:textId="418F1B85"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2016</w:t>
            </w:r>
          </w:p>
        </w:tc>
        <w:tc>
          <w:tcPr>
            <w:tcW w:w="1332" w:type="dxa"/>
            <w:tcBorders>
              <w:top w:val="single" w:sz="6" w:space="0" w:color="auto"/>
              <w:left w:val="single" w:sz="6" w:space="0" w:color="auto"/>
              <w:bottom w:val="single" w:sz="6" w:space="0" w:color="auto"/>
              <w:right w:val="single" w:sz="6" w:space="0" w:color="auto"/>
            </w:tcBorders>
          </w:tcPr>
          <w:p w14:paraId="58F7E127" w14:textId="4C138ABC"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2017</w:t>
            </w:r>
          </w:p>
        </w:tc>
        <w:tc>
          <w:tcPr>
            <w:tcW w:w="1343" w:type="dxa"/>
            <w:tcBorders>
              <w:top w:val="single" w:sz="6" w:space="0" w:color="auto"/>
              <w:left w:val="single" w:sz="6" w:space="0" w:color="auto"/>
              <w:bottom w:val="single" w:sz="6" w:space="0" w:color="auto"/>
              <w:right w:val="single" w:sz="6" w:space="0" w:color="auto"/>
            </w:tcBorders>
          </w:tcPr>
          <w:p w14:paraId="1DF4087A" w14:textId="671EE2B4"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2018</w:t>
            </w:r>
          </w:p>
        </w:tc>
        <w:tc>
          <w:tcPr>
            <w:tcW w:w="1343" w:type="dxa"/>
            <w:tcBorders>
              <w:top w:val="single" w:sz="6" w:space="0" w:color="auto"/>
              <w:left w:val="single" w:sz="6" w:space="0" w:color="auto"/>
              <w:bottom w:val="single" w:sz="6" w:space="0" w:color="auto"/>
              <w:right w:val="single" w:sz="6" w:space="0" w:color="auto"/>
            </w:tcBorders>
          </w:tcPr>
          <w:p w14:paraId="504EE539" w14:textId="3CAA7F55" w:rsidR="7C4B102F" w:rsidRDefault="7C4B102F" w:rsidP="15753CFC">
            <w:pPr>
              <w:spacing w:line="240" w:lineRule="auto"/>
              <w:jc w:val="center"/>
              <w:rPr>
                <w:rFonts w:ascii="Arial" w:eastAsia="Arial" w:hAnsi="Arial" w:cs="Arial"/>
                <w:b/>
                <w:bCs/>
                <w:color w:val="000000" w:themeColor="text1"/>
                <w:sz w:val="16"/>
                <w:szCs w:val="16"/>
              </w:rPr>
            </w:pPr>
            <w:r>
              <w:rPr>
                <w:rFonts w:ascii="Arial" w:hAnsi="Arial"/>
                <w:b/>
                <w:color w:val="000000" w:themeColor="text1"/>
                <w:sz w:val="16"/>
              </w:rPr>
              <w:t>2019</w:t>
            </w:r>
          </w:p>
        </w:tc>
        <w:tc>
          <w:tcPr>
            <w:tcW w:w="1343" w:type="dxa"/>
            <w:tcBorders>
              <w:top w:val="single" w:sz="6" w:space="0" w:color="auto"/>
              <w:left w:val="single" w:sz="6" w:space="0" w:color="auto"/>
              <w:bottom w:val="single" w:sz="6" w:space="0" w:color="auto"/>
              <w:right w:val="single" w:sz="6" w:space="0" w:color="auto"/>
            </w:tcBorders>
          </w:tcPr>
          <w:p w14:paraId="2B198D28" w14:textId="3368524B" w:rsidR="7C4B102F" w:rsidRDefault="7C4B102F" w:rsidP="15753CFC">
            <w:pPr>
              <w:spacing w:line="240" w:lineRule="auto"/>
              <w:jc w:val="center"/>
              <w:rPr>
                <w:rFonts w:ascii="Arial" w:eastAsia="Arial" w:hAnsi="Arial" w:cs="Arial"/>
                <w:b/>
                <w:bCs/>
                <w:color w:val="000000" w:themeColor="text1"/>
                <w:sz w:val="16"/>
                <w:szCs w:val="16"/>
              </w:rPr>
            </w:pPr>
            <w:r>
              <w:rPr>
                <w:rFonts w:ascii="Arial" w:hAnsi="Arial"/>
                <w:b/>
                <w:color w:val="000000" w:themeColor="text1"/>
                <w:sz w:val="16"/>
              </w:rPr>
              <w:t>2020</w:t>
            </w:r>
          </w:p>
        </w:tc>
      </w:tr>
      <w:tr w:rsidR="744A8808" w14:paraId="41F6CB9B"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vAlign w:val="center"/>
          </w:tcPr>
          <w:p w14:paraId="4ECE5AE8" w14:textId="6EDF45CD" w:rsidR="744A8808" w:rsidRDefault="744A8808" w:rsidP="744A8808">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Objetivo</w:t>
            </w:r>
          </w:p>
        </w:tc>
        <w:tc>
          <w:tcPr>
            <w:tcW w:w="1332" w:type="dxa"/>
            <w:tcBorders>
              <w:top w:val="single" w:sz="6" w:space="0" w:color="auto"/>
              <w:left w:val="single" w:sz="6" w:space="0" w:color="auto"/>
              <w:bottom w:val="single" w:sz="6" w:space="0" w:color="auto"/>
              <w:right w:val="single" w:sz="6" w:space="0" w:color="auto"/>
            </w:tcBorders>
            <w:vAlign w:val="center"/>
          </w:tcPr>
          <w:p w14:paraId="0AE9CEC6" w14:textId="098D1212"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32" w:type="dxa"/>
            <w:tcBorders>
              <w:top w:val="single" w:sz="6" w:space="0" w:color="auto"/>
              <w:left w:val="single" w:sz="6" w:space="0" w:color="auto"/>
              <w:bottom w:val="single" w:sz="6" w:space="0" w:color="auto"/>
              <w:right w:val="single" w:sz="6" w:space="0" w:color="auto"/>
            </w:tcBorders>
            <w:vAlign w:val="center"/>
          </w:tcPr>
          <w:p w14:paraId="44F2998F" w14:textId="460C5D5D"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43" w:type="dxa"/>
            <w:tcBorders>
              <w:top w:val="single" w:sz="6" w:space="0" w:color="auto"/>
              <w:left w:val="single" w:sz="6" w:space="0" w:color="auto"/>
              <w:bottom w:val="single" w:sz="6" w:space="0" w:color="auto"/>
              <w:right w:val="single" w:sz="6" w:space="0" w:color="auto"/>
            </w:tcBorders>
            <w:vAlign w:val="center"/>
          </w:tcPr>
          <w:p w14:paraId="77F2CE9A" w14:textId="5FDA0640"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43" w:type="dxa"/>
            <w:tcBorders>
              <w:top w:val="single" w:sz="6" w:space="0" w:color="auto"/>
              <w:left w:val="single" w:sz="6" w:space="0" w:color="auto"/>
              <w:bottom w:val="single" w:sz="6" w:space="0" w:color="auto"/>
              <w:right w:val="single" w:sz="6" w:space="0" w:color="auto"/>
            </w:tcBorders>
            <w:vAlign w:val="center"/>
          </w:tcPr>
          <w:p w14:paraId="7FA204DA" w14:textId="5FDA0640"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43" w:type="dxa"/>
            <w:tcBorders>
              <w:top w:val="single" w:sz="6" w:space="0" w:color="auto"/>
              <w:left w:val="single" w:sz="6" w:space="0" w:color="auto"/>
              <w:bottom w:val="single" w:sz="6" w:space="0" w:color="auto"/>
              <w:right w:val="single" w:sz="6" w:space="0" w:color="auto"/>
            </w:tcBorders>
            <w:vAlign w:val="center"/>
          </w:tcPr>
          <w:p w14:paraId="7F9AC1CD" w14:textId="5FDA0640"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r>
      <w:tr w:rsidR="744A8808" w14:paraId="544BE98A" w14:textId="77777777" w:rsidTr="15753CFC">
        <w:trPr>
          <w:trHeight w:val="75"/>
        </w:trPr>
        <w:tc>
          <w:tcPr>
            <w:tcW w:w="1332" w:type="dxa"/>
            <w:tcBorders>
              <w:top w:val="single" w:sz="6" w:space="0" w:color="auto"/>
              <w:left w:val="single" w:sz="6" w:space="0" w:color="auto"/>
              <w:bottom w:val="single" w:sz="6" w:space="0" w:color="auto"/>
              <w:right w:val="single" w:sz="6" w:space="0" w:color="auto"/>
            </w:tcBorders>
            <w:vAlign w:val="center"/>
          </w:tcPr>
          <w:p w14:paraId="122B13A1" w14:textId="394674FB" w:rsidR="744A8808" w:rsidRDefault="744A8808" w:rsidP="744A8808">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Datos</w:t>
            </w:r>
          </w:p>
        </w:tc>
        <w:tc>
          <w:tcPr>
            <w:tcW w:w="1332" w:type="dxa"/>
            <w:tcBorders>
              <w:top w:val="single" w:sz="6" w:space="0" w:color="auto"/>
              <w:left w:val="single" w:sz="6" w:space="0" w:color="auto"/>
              <w:bottom w:val="single" w:sz="6" w:space="0" w:color="auto"/>
              <w:right w:val="single" w:sz="6" w:space="0" w:color="auto"/>
            </w:tcBorders>
            <w:vAlign w:val="center"/>
          </w:tcPr>
          <w:p w14:paraId="109023C6" w14:textId="0457FE04"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0.50 %</w:t>
            </w:r>
          </w:p>
        </w:tc>
        <w:tc>
          <w:tcPr>
            <w:tcW w:w="1332" w:type="dxa"/>
            <w:tcBorders>
              <w:top w:val="single" w:sz="6" w:space="0" w:color="auto"/>
              <w:left w:val="single" w:sz="6" w:space="0" w:color="auto"/>
              <w:bottom w:val="single" w:sz="6" w:space="0" w:color="auto"/>
              <w:right w:val="single" w:sz="6" w:space="0" w:color="auto"/>
            </w:tcBorders>
            <w:vAlign w:val="center"/>
          </w:tcPr>
          <w:p w14:paraId="22B9B845" w14:textId="69C1AF94"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0.51 %</w:t>
            </w:r>
          </w:p>
        </w:tc>
        <w:tc>
          <w:tcPr>
            <w:tcW w:w="1343" w:type="dxa"/>
            <w:tcBorders>
              <w:top w:val="single" w:sz="6" w:space="0" w:color="auto"/>
              <w:left w:val="single" w:sz="6" w:space="0" w:color="auto"/>
              <w:bottom w:val="single" w:sz="6" w:space="0" w:color="auto"/>
              <w:right w:val="single" w:sz="6" w:space="0" w:color="auto"/>
            </w:tcBorders>
            <w:vAlign w:val="center"/>
          </w:tcPr>
          <w:p w14:paraId="1E6A011F" w14:textId="25A3EA34"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c>
          <w:tcPr>
            <w:tcW w:w="1343" w:type="dxa"/>
            <w:tcBorders>
              <w:top w:val="single" w:sz="6" w:space="0" w:color="auto"/>
              <w:left w:val="single" w:sz="6" w:space="0" w:color="auto"/>
              <w:bottom w:val="single" w:sz="6" w:space="0" w:color="auto"/>
              <w:right w:val="single" w:sz="6" w:space="0" w:color="auto"/>
            </w:tcBorders>
            <w:vAlign w:val="center"/>
          </w:tcPr>
          <w:p w14:paraId="331DA59F" w14:textId="25A3EA34"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c>
          <w:tcPr>
            <w:tcW w:w="1343" w:type="dxa"/>
            <w:tcBorders>
              <w:top w:val="single" w:sz="6" w:space="0" w:color="auto"/>
              <w:left w:val="single" w:sz="6" w:space="0" w:color="auto"/>
              <w:bottom w:val="single" w:sz="6" w:space="0" w:color="auto"/>
              <w:right w:val="single" w:sz="6" w:space="0" w:color="auto"/>
            </w:tcBorders>
            <w:vAlign w:val="center"/>
          </w:tcPr>
          <w:p w14:paraId="2D817CBA" w14:textId="25A3EA34"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r>
    </w:tbl>
    <w:p w14:paraId="50AC108D" w14:textId="64022F25" w:rsidR="744A8808" w:rsidRDefault="744A8808" w:rsidP="744A8808">
      <w:pPr>
        <w:spacing w:before="60" w:after="60" w:line="240" w:lineRule="auto"/>
        <w:rPr>
          <w:rFonts w:ascii="Calibri" w:eastAsia="Calibri" w:hAnsi="Calibri" w:cs="Calibri"/>
          <w:i/>
          <w:iCs/>
          <w:color w:val="000000" w:themeColor="text1"/>
        </w:rPr>
      </w:pPr>
    </w:p>
    <w:p w14:paraId="09E6C39B" w14:textId="2FFE55E0" w:rsidR="744A8808" w:rsidRDefault="5B9D82C8" w:rsidP="15753CFC">
      <w:pPr>
        <w:spacing w:after="0" w:line="240" w:lineRule="auto"/>
        <w:rPr>
          <w:rFonts w:ascii="Calibri" w:eastAsia="Calibri" w:hAnsi="Calibri" w:cs="Calibri"/>
          <w:i/>
          <w:iCs/>
        </w:rPr>
      </w:pPr>
      <w:r>
        <w:rPr>
          <w:rFonts w:ascii="Calibri" w:hAnsi="Calibri"/>
          <w:i/>
        </w:rPr>
        <w:t>Objetivos</w:t>
      </w:r>
    </w:p>
    <w:tbl>
      <w:tblPr>
        <w:tblW w:w="0" w:type="auto"/>
        <w:tblLook w:val="0000" w:firstRow="0" w:lastRow="0" w:firstColumn="0" w:lastColumn="0" w:noHBand="0" w:noVBand="0"/>
      </w:tblPr>
      <w:tblGrid>
        <w:gridCol w:w="1332"/>
        <w:gridCol w:w="1332"/>
        <w:gridCol w:w="1332"/>
        <w:gridCol w:w="1343"/>
        <w:gridCol w:w="1343"/>
        <w:gridCol w:w="1343"/>
      </w:tblGrid>
      <w:tr w:rsidR="15753CFC" w14:paraId="456E0E86"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tcPr>
          <w:p w14:paraId="6A306679" w14:textId="0F329B9C"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Año fiscal federal</w:t>
            </w:r>
          </w:p>
        </w:tc>
        <w:tc>
          <w:tcPr>
            <w:tcW w:w="1332" w:type="dxa"/>
            <w:tcBorders>
              <w:top w:val="single" w:sz="6" w:space="0" w:color="auto"/>
              <w:left w:val="single" w:sz="6" w:space="0" w:color="auto"/>
              <w:bottom w:val="single" w:sz="6" w:space="0" w:color="auto"/>
              <w:right w:val="single" w:sz="6" w:space="0" w:color="auto"/>
            </w:tcBorders>
          </w:tcPr>
          <w:p w14:paraId="7E5A5103" w14:textId="7CB68559" w:rsidR="15753CFC" w:rsidRDefault="15753CFC" w:rsidP="15753CFC">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2021</w:t>
            </w:r>
          </w:p>
        </w:tc>
        <w:tc>
          <w:tcPr>
            <w:tcW w:w="1332" w:type="dxa"/>
            <w:tcBorders>
              <w:top w:val="single" w:sz="6" w:space="0" w:color="auto"/>
              <w:left w:val="single" w:sz="6" w:space="0" w:color="auto"/>
              <w:bottom w:val="single" w:sz="6" w:space="0" w:color="auto"/>
              <w:right w:val="single" w:sz="6" w:space="0" w:color="auto"/>
            </w:tcBorders>
          </w:tcPr>
          <w:p w14:paraId="742081AA" w14:textId="22E57544" w:rsidR="25603619" w:rsidRDefault="25603619" w:rsidP="15753CFC">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2022</w:t>
            </w:r>
          </w:p>
        </w:tc>
        <w:tc>
          <w:tcPr>
            <w:tcW w:w="1343" w:type="dxa"/>
            <w:tcBorders>
              <w:top w:val="single" w:sz="6" w:space="0" w:color="auto"/>
              <w:left w:val="single" w:sz="6" w:space="0" w:color="auto"/>
              <w:bottom w:val="single" w:sz="6" w:space="0" w:color="auto"/>
              <w:right w:val="single" w:sz="6" w:space="0" w:color="auto"/>
            </w:tcBorders>
          </w:tcPr>
          <w:p w14:paraId="1DD19075" w14:textId="6E9116D7" w:rsidR="25603619" w:rsidRDefault="25603619" w:rsidP="15753CFC">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2023</w:t>
            </w:r>
          </w:p>
        </w:tc>
        <w:tc>
          <w:tcPr>
            <w:tcW w:w="1343" w:type="dxa"/>
            <w:tcBorders>
              <w:top w:val="single" w:sz="6" w:space="0" w:color="auto"/>
              <w:left w:val="single" w:sz="6" w:space="0" w:color="auto"/>
              <w:bottom w:val="single" w:sz="6" w:space="0" w:color="auto"/>
              <w:right w:val="single" w:sz="6" w:space="0" w:color="auto"/>
            </w:tcBorders>
          </w:tcPr>
          <w:p w14:paraId="4CE96C77" w14:textId="4DF42345" w:rsidR="25603619" w:rsidRDefault="25603619" w:rsidP="15753CFC">
            <w:pPr>
              <w:spacing w:after="0" w:line="240" w:lineRule="auto"/>
              <w:jc w:val="center"/>
              <w:rPr>
                <w:rFonts w:ascii="Arial" w:eastAsia="Arial" w:hAnsi="Arial" w:cs="Arial"/>
                <w:b/>
                <w:bCs/>
                <w:color w:val="000000" w:themeColor="text1"/>
                <w:sz w:val="16"/>
                <w:szCs w:val="16"/>
              </w:rPr>
            </w:pPr>
            <w:r>
              <w:rPr>
                <w:rFonts w:ascii="Arial" w:hAnsi="Arial"/>
                <w:b/>
                <w:color w:val="000000" w:themeColor="text1"/>
                <w:sz w:val="16"/>
              </w:rPr>
              <w:t>2024</w:t>
            </w:r>
          </w:p>
        </w:tc>
        <w:tc>
          <w:tcPr>
            <w:tcW w:w="1343" w:type="dxa"/>
            <w:tcBorders>
              <w:top w:val="single" w:sz="6" w:space="0" w:color="auto"/>
              <w:left w:val="single" w:sz="6" w:space="0" w:color="auto"/>
              <w:bottom w:val="single" w:sz="6" w:space="0" w:color="auto"/>
              <w:right w:val="single" w:sz="6" w:space="0" w:color="auto"/>
            </w:tcBorders>
          </w:tcPr>
          <w:p w14:paraId="14BFEA32" w14:textId="2B528825" w:rsidR="25603619" w:rsidRDefault="25603619" w:rsidP="15753CFC">
            <w:pPr>
              <w:spacing w:after="0" w:line="240" w:lineRule="auto"/>
              <w:jc w:val="center"/>
              <w:rPr>
                <w:rFonts w:ascii="Arial" w:eastAsia="Arial" w:hAnsi="Arial" w:cs="Arial"/>
                <w:b/>
                <w:bCs/>
                <w:color w:val="000000" w:themeColor="text1"/>
                <w:sz w:val="16"/>
                <w:szCs w:val="16"/>
              </w:rPr>
            </w:pPr>
            <w:r>
              <w:rPr>
                <w:rFonts w:ascii="Arial" w:hAnsi="Arial"/>
                <w:b/>
                <w:color w:val="000000" w:themeColor="text1"/>
                <w:sz w:val="16"/>
              </w:rPr>
              <w:t>2025</w:t>
            </w:r>
          </w:p>
        </w:tc>
      </w:tr>
      <w:tr w:rsidR="15753CFC" w14:paraId="380ED1C9"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vAlign w:val="center"/>
          </w:tcPr>
          <w:p w14:paraId="58E552C0" w14:textId="6EDF45CD" w:rsidR="15753CFC" w:rsidRDefault="15753CFC" w:rsidP="15753CFC">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Objetivo</w:t>
            </w:r>
          </w:p>
        </w:tc>
        <w:tc>
          <w:tcPr>
            <w:tcW w:w="1332" w:type="dxa"/>
            <w:tcBorders>
              <w:top w:val="single" w:sz="6" w:space="0" w:color="auto"/>
              <w:left w:val="single" w:sz="6" w:space="0" w:color="auto"/>
              <w:bottom w:val="single" w:sz="6" w:space="0" w:color="auto"/>
              <w:right w:val="single" w:sz="6" w:space="0" w:color="auto"/>
            </w:tcBorders>
            <w:vAlign w:val="center"/>
          </w:tcPr>
          <w:p w14:paraId="42740FE1" w14:textId="098D1212"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32" w:type="dxa"/>
            <w:tcBorders>
              <w:top w:val="single" w:sz="6" w:space="0" w:color="auto"/>
              <w:left w:val="single" w:sz="6" w:space="0" w:color="auto"/>
              <w:bottom w:val="single" w:sz="6" w:space="0" w:color="auto"/>
              <w:right w:val="single" w:sz="6" w:space="0" w:color="auto"/>
            </w:tcBorders>
            <w:vAlign w:val="center"/>
          </w:tcPr>
          <w:p w14:paraId="04E1B619" w14:textId="460C5D5D"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43" w:type="dxa"/>
            <w:tcBorders>
              <w:top w:val="single" w:sz="6" w:space="0" w:color="auto"/>
              <w:left w:val="single" w:sz="6" w:space="0" w:color="auto"/>
              <w:bottom w:val="single" w:sz="6" w:space="0" w:color="auto"/>
              <w:right w:val="single" w:sz="6" w:space="0" w:color="auto"/>
            </w:tcBorders>
            <w:vAlign w:val="center"/>
          </w:tcPr>
          <w:p w14:paraId="6CF4983D" w14:textId="5FDA0640"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43" w:type="dxa"/>
            <w:tcBorders>
              <w:top w:val="single" w:sz="6" w:space="0" w:color="auto"/>
              <w:left w:val="single" w:sz="6" w:space="0" w:color="auto"/>
              <w:bottom w:val="single" w:sz="6" w:space="0" w:color="auto"/>
              <w:right w:val="single" w:sz="6" w:space="0" w:color="auto"/>
            </w:tcBorders>
            <w:vAlign w:val="center"/>
          </w:tcPr>
          <w:p w14:paraId="1F89A9EA" w14:textId="5FDA0640"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343" w:type="dxa"/>
            <w:tcBorders>
              <w:top w:val="single" w:sz="6" w:space="0" w:color="auto"/>
              <w:left w:val="single" w:sz="6" w:space="0" w:color="auto"/>
              <w:bottom w:val="single" w:sz="6" w:space="0" w:color="auto"/>
              <w:right w:val="single" w:sz="6" w:space="0" w:color="auto"/>
            </w:tcBorders>
            <w:vAlign w:val="center"/>
          </w:tcPr>
          <w:p w14:paraId="277BBDA7" w14:textId="5FDA0640" w:rsidR="15753CFC" w:rsidRDefault="15753CFC"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r>
    </w:tbl>
    <w:p w14:paraId="1781B6FA" w14:textId="24A6C69A" w:rsidR="15753CFC" w:rsidRDefault="15753CFC" w:rsidP="15753CFC">
      <w:pPr>
        <w:spacing w:after="0" w:line="240" w:lineRule="auto"/>
        <w:rPr>
          <w:rFonts w:ascii="Calibri" w:eastAsia="Calibri" w:hAnsi="Calibri" w:cs="Calibri"/>
          <w:i/>
          <w:iCs/>
        </w:rPr>
      </w:pPr>
    </w:p>
    <w:p w14:paraId="2D1DD63E" w14:textId="6CB0C942" w:rsidR="00F830D2" w:rsidRDefault="00F830D2" w:rsidP="15753CFC">
      <w:pPr>
        <w:spacing w:after="0" w:line="240" w:lineRule="auto"/>
        <w:rPr>
          <w:rFonts w:ascii="Calibri" w:eastAsia="Calibri" w:hAnsi="Calibri" w:cs="Calibri"/>
          <w:i/>
          <w:iCs/>
        </w:rPr>
      </w:pPr>
    </w:p>
    <w:p w14:paraId="5525E6C8" w14:textId="2A135F99" w:rsidR="00F830D2" w:rsidRDefault="00F830D2" w:rsidP="15753CFC">
      <w:pPr>
        <w:spacing w:after="0" w:line="240" w:lineRule="auto"/>
        <w:rPr>
          <w:rFonts w:ascii="Calibri" w:eastAsia="Calibri" w:hAnsi="Calibri" w:cs="Calibri"/>
          <w:i/>
          <w:iCs/>
        </w:rPr>
      </w:pPr>
    </w:p>
    <w:p w14:paraId="44473B5C" w14:textId="77777777" w:rsidR="00F830D2" w:rsidRDefault="00F830D2" w:rsidP="15753CFC">
      <w:pPr>
        <w:spacing w:after="0" w:line="240" w:lineRule="auto"/>
        <w:rPr>
          <w:rFonts w:ascii="Calibri" w:eastAsia="Calibri" w:hAnsi="Calibri" w:cs="Calibri"/>
          <w:i/>
          <w:iCs/>
        </w:rPr>
      </w:pPr>
    </w:p>
    <w:p w14:paraId="212ADF68" w14:textId="362E3FC6" w:rsidR="15753CFC" w:rsidRDefault="15753CFC" w:rsidP="15753CFC">
      <w:pPr>
        <w:spacing w:after="0" w:line="240" w:lineRule="auto"/>
        <w:rPr>
          <w:rFonts w:ascii="Calibri" w:eastAsia="Calibri" w:hAnsi="Calibri" w:cs="Calibri"/>
          <w:i/>
          <w:iCs/>
        </w:rPr>
      </w:pPr>
    </w:p>
    <w:p w14:paraId="43521DCF" w14:textId="04FB80D2" w:rsidR="025790DD" w:rsidRDefault="025790DD" w:rsidP="68A7E002">
      <w:pPr>
        <w:spacing w:after="0" w:line="240" w:lineRule="auto"/>
        <w:rPr>
          <w:i/>
          <w:iCs/>
          <w:color w:val="000000" w:themeColor="text1"/>
        </w:rPr>
      </w:pPr>
      <w:r>
        <w:rPr>
          <w:i/>
          <w:color w:val="000000" w:themeColor="text1"/>
        </w:rPr>
        <w:lastRenderedPageBreak/>
        <w:t>Año fiscal federal 2021</w:t>
      </w:r>
    </w:p>
    <w:tbl>
      <w:tblPr>
        <w:tblW w:w="0" w:type="auto"/>
        <w:tblLayout w:type="fixed"/>
        <w:tblLook w:val="0000" w:firstRow="0" w:lastRow="0" w:firstColumn="0" w:lastColumn="0" w:noHBand="0" w:noVBand="0"/>
      </w:tblPr>
      <w:tblGrid>
        <w:gridCol w:w="1268"/>
        <w:gridCol w:w="1559"/>
        <w:gridCol w:w="2127"/>
        <w:gridCol w:w="1275"/>
        <w:gridCol w:w="1276"/>
        <w:gridCol w:w="1276"/>
      </w:tblGrid>
      <w:tr w:rsidR="744A8808" w14:paraId="2D5E8ABB" w14:textId="77777777" w:rsidTr="00F830D2">
        <w:trPr>
          <w:trHeight w:val="990"/>
        </w:trPr>
        <w:tc>
          <w:tcPr>
            <w:tcW w:w="1268" w:type="dxa"/>
            <w:tcBorders>
              <w:top w:val="single" w:sz="6" w:space="0" w:color="auto"/>
              <w:left w:val="single" w:sz="6" w:space="0" w:color="auto"/>
              <w:bottom w:val="single" w:sz="6" w:space="0" w:color="auto"/>
              <w:right w:val="single" w:sz="6" w:space="0" w:color="auto"/>
            </w:tcBorders>
            <w:vAlign w:val="bottom"/>
          </w:tcPr>
          <w:p w14:paraId="2541991D" w14:textId="08978FCA"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Número de distritos que tienen una discrepancia significativa, por raza o etnia</w:t>
            </w:r>
          </w:p>
        </w:tc>
        <w:tc>
          <w:tcPr>
            <w:tcW w:w="1559" w:type="dxa"/>
            <w:tcBorders>
              <w:top w:val="single" w:sz="6" w:space="0" w:color="auto"/>
              <w:left w:val="single" w:sz="6" w:space="0" w:color="auto"/>
              <w:bottom w:val="single" w:sz="6" w:space="0" w:color="auto"/>
              <w:right w:val="single" w:sz="6" w:space="0" w:color="auto"/>
            </w:tcBorders>
            <w:vAlign w:val="bottom"/>
          </w:tcPr>
          <w:p w14:paraId="2F62993C" w14:textId="70E0FA47"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Número de aquellos distritos que tienen procedimientos, políticas o prácticas, que contribuyen a la discrepancia significativa y no cumplen con los requisitos</w:t>
            </w:r>
          </w:p>
        </w:tc>
        <w:tc>
          <w:tcPr>
            <w:tcW w:w="2127" w:type="dxa"/>
            <w:tcBorders>
              <w:top w:val="single" w:sz="6" w:space="0" w:color="auto"/>
              <w:left w:val="single" w:sz="6" w:space="0" w:color="auto"/>
              <w:bottom w:val="single" w:sz="6" w:space="0" w:color="auto"/>
              <w:right w:val="single" w:sz="6" w:space="0" w:color="auto"/>
            </w:tcBorders>
            <w:vAlign w:val="bottom"/>
          </w:tcPr>
          <w:p w14:paraId="4C6615BA" w14:textId="78357735"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 xml:space="preserve">Número de distritos que cumplieron con </w:t>
            </w:r>
            <w:r w:rsidR="00BD6E53">
              <w:rPr>
                <w:rFonts w:ascii="Arial" w:hAnsi="Arial"/>
                <w:b/>
                <w:color w:val="000000" w:themeColor="text1"/>
                <w:sz w:val="16"/>
              </w:rPr>
              <w:t xml:space="preserve">el tamaño </w:t>
            </w:r>
            <w:r>
              <w:rPr>
                <w:rFonts w:ascii="Arial" w:hAnsi="Arial"/>
                <w:b/>
                <w:color w:val="000000" w:themeColor="text1"/>
                <w:sz w:val="16"/>
              </w:rPr>
              <w:t>“n” mínim</w:t>
            </w:r>
            <w:r w:rsidR="00BD6E53">
              <w:rPr>
                <w:rFonts w:ascii="Arial" w:hAnsi="Arial"/>
                <w:b/>
                <w:color w:val="000000" w:themeColor="text1"/>
                <w:sz w:val="16"/>
              </w:rPr>
              <w:t>o</w:t>
            </w:r>
            <w:r>
              <w:rPr>
                <w:rFonts w:ascii="Arial" w:hAnsi="Arial"/>
                <w:b/>
                <w:color w:val="000000" w:themeColor="text1"/>
                <w:sz w:val="16"/>
              </w:rPr>
              <w:t xml:space="preserve"> estatal</w:t>
            </w:r>
          </w:p>
        </w:tc>
        <w:tc>
          <w:tcPr>
            <w:tcW w:w="1275" w:type="dxa"/>
            <w:tcBorders>
              <w:top w:val="single" w:sz="6" w:space="0" w:color="auto"/>
              <w:left w:val="single" w:sz="6" w:space="0" w:color="auto"/>
              <w:bottom w:val="single" w:sz="6" w:space="0" w:color="auto"/>
              <w:right w:val="single" w:sz="6" w:space="0" w:color="auto"/>
            </w:tcBorders>
            <w:vAlign w:val="bottom"/>
          </w:tcPr>
          <w:p w14:paraId="7386D33B" w14:textId="609EC968" w:rsidR="744A8808" w:rsidRDefault="744A8808" w:rsidP="68A7E002">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Datos del año fiscal federal 2020</w:t>
            </w:r>
          </w:p>
        </w:tc>
        <w:tc>
          <w:tcPr>
            <w:tcW w:w="1276" w:type="dxa"/>
            <w:tcBorders>
              <w:top w:val="single" w:sz="6" w:space="0" w:color="auto"/>
              <w:left w:val="single" w:sz="6" w:space="0" w:color="auto"/>
              <w:bottom w:val="single" w:sz="6" w:space="0" w:color="auto"/>
              <w:right w:val="single" w:sz="6" w:space="0" w:color="auto"/>
            </w:tcBorders>
            <w:vAlign w:val="bottom"/>
          </w:tcPr>
          <w:p w14:paraId="6969AA87" w14:textId="434250F1" w:rsidR="744A8808" w:rsidRDefault="744A8808" w:rsidP="68A7E002">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Objetivo para el año fiscal federal 2021</w:t>
            </w:r>
          </w:p>
        </w:tc>
        <w:tc>
          <w:tcPr>
            <w:tcW w:w="1276" w:type="dxa"/>
            <w:tcBorders>
              <w:top w:val="single" w:sz="6" w:space="0" w:color="auto"/>
              <w:left w:val="single" w:sz="6" w:space="0" w:color="auto"/>
              <w:bottom w:val="single" w:sz="6" w:space="0" w:color="auto"/>
              <w:right w:val="single" w:sz="6" w:space="0" w:color="auto"/>
            </w:tcBorders>
            <w:vAlign w:val="bottom"/>
          </w:tcPr>
          <w:p w14:paraId="3AE5FA9D" w14:textId="0DBB384D" w:rsidR="744A8808" w:rsidRDefault="744A8808" w:rsidP="68A7E002">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Datos del año fiscal federal 2021</w:t>
            </w:r>
          </w:p>
        </w:tc>
      </w:tr>
      <w:tr w:rsidR="744A8808" w14:paraId="230C00D0" w14:textId="77777777" w:rsidTr="00F830D2">
        <w:trPr>
          <w:trHeight w:val="225"/>
        </w:trPr>
        <w:tc>
          <w:tcPr>
            <w:tcW w:w="1268" w:type="dxa"/>
            <w:tcBorders>
              <w:top w:val="single" w:sz="6" w:space="0" w:color="auto"/>
              <w:left w:val="single" w:sz="6" w:space="0" w:color="auto"/>
              <w:bottom w:val="single" w:sz="6" w:space="0" w:color="auto"/>
              <w:right w:val="single" w:sz="6" w:space="0" w:color="auto"/>
            </w:tcBorders>
          </w:tcPr>
          <w:p w14:paraId="1429CFF2" w14:textId="49103AFC" w:rsidR="744A8808" w:rsidRDefault="7CC28AA2"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559" w:type="dxa"/>
            <w:tcBorders>
              <w:top w:val="single" w:sz="6" w:space="0" w:color="auto"/>
              <w:left w:val="single" w:sz="6" w:space="0" w:color="auto"/>
              <w:bottom w:val="single" w:sz="6" w:space="0" w:color="auto"/>
              <w:right w:val="single" w:sz="6" w:space="0" w:color="auto"/>
            </w:tcBorders>
            <w:vAlign w:val="center"/>
          </w:tcPr>
          <w:p w14:paraId="08E2E8A5" w14:textId="5FB34CC3"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2127" w:type="dxa"/>
            <w:tcBorders>
              <w:top w:val="single" w:sz="6" w:space="0" w:color="auto"/>
              <w:left w:val="single" w:sz="6" w:space="0" w:color="auto"/>
              <w:bottom w:val="single" w:sz="6" w:space="0" w:color="auto"/>
              <w:right w:val="single" w:sz="6" w:space="0" w:color="auto"/>
            </w:tcBorders>
          </w:tcPr>
          <w:p w14:paraId="233CE613" w14:textId="4DABB519" w:rsidR="744A8808" w:rsidRDefault="01E95227" w:rsidP="15753CFC">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397</w:t>
            </w:r>
          </w:p>
        </w:tc>
        <w:tc>
          <w:tcPr>
            <w:tcW w:w="1275" w:type="dxa"/>
            <w:tcBorders>
              <w:top w:val="single" w:sz="6" w:space="0" w:color="auto"/>
              <w:left w:val="single" w:sz="6" w:space="0" w:color="auto"/>
              <w:bottom w:val="single" w:sz="6" w:space="0" w:color="auto"/>
              <w:right w:val="single" w:sz="6" w:space="0" w:color="auto"/>
            </w:tcBorders>
          </w:tcPr>
          <w:p w14:paraId="0C737CE4" w14:textId="32668643"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c>
          <w:tcPr>
            <w:tcW w:w="1276" w:type="dxa"/>
            <w:tcBorders>
              <w:top w:val="single" w:sz="6" w:space="0" w:color="auto"/>
              <w:left w:val="single" w:sz="6" w:space="0" w:color="auto"/>
              <w:bottom w:val="single" w:sz="6" w:space="0" w:color="auto"/>
              <w:right w:val="single" w:sz="6" w:space="0" w:color="auto"/>
            </w:tcBorders>
          </w:tcPr>
          <w:p w14:paraId="5242D29D" w14:textId="506A5858"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0 %</w:t>
            </w:r>
          </w:p>
        </w:tc>
        <w:tc>
          <w:tcPr>
            <w:tcW w:w="1276" w:type="dxa"/>
            <w:tcBorders>
              <w:top w:val="single" w:sz="6" w:space="0" w:color="auto"/>
              <w:left w:val="single" w:sz="6" w:space="0" w:color="auto"/>
              <w:bottom w:val="single" w:sz="6" w:space="0" w:color="auto"/>
              <w:right w:val="single" w:sz="6" w:space="0" w:color="auto"/>
            </w:tcBorders>
          </w:tcPr>
          <w:p w14:paraId="6B23704C" w14:textId="29F99902" w:rsidR="744A8808" w:rsidRDefault="744A8808" w:rsidP="744A8808">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0.00 %</w:t>
            </w:r>
          </w:p>
        </w:tc>
      </w:tr>
    </w:tbl>
    <w:p w14:paraId="4BC7D88A" w14:textId="384DD9D0" w:rsidR="744A8808" w:rsidRDefault="744A8808" w:rsidP="744A8808">
      <w:pPr>
        <w:spacing w:after="0" w:line="240" w:lineRule="auto"/>
        <w:rPr>
          <w:rFonts w:ascii="Calibri" w:eastAsia="Calibri" w:hAnsi="Calibri" w:cs="Calibri"/>
        </w:rPr>
      </w:pPr>
    </w:p>
    <w:p w14:paraId="0DCFE7AF" w14:textId="250769D8" w:rsidR="744A8808" w:rsidRDefault="744A8808" w:rsidP="744A8808">
      <w:pPr>
        <w:spacing w:after="0" w:line="240" w:lineRule="auto"/>
        <w:rPr>
          <w:rFonts w:ascii="Calibri" w:eastAsia="Calibri" w:hAnsi="Calibri" w:cs="Calibri"/>
        </w:rPr>
      </w:pPr>
      <w:r>
        <w:rPr>
          <w:rFonts w:ascii="Calibri" w:hAnsi="Calibri"/>
          <w:b/>
        </w:rPr>
        <w:t>¿Cuáles son los requisitos y expectativas de los distritos identificados con una discrepancia significativa conforme al Indicador 4B?</w:t>
      </w:r>
    </w:p>
    <w:p w14:paraId="0CCE1043" w14:textId="2353C1D2" w:rsidR="0A3DFDE8" w:rsidRDefault="0A3DFDE8" w:rsidP="0A3DFDE8">
      <w:pPr>
        <w:spacing w:after="0" w:line="240" w:lineRule="auto"/>
        <w:rPr>
          <w:rFonts w:ascii="Calibri" w:eastAsia="Calibri" w:hAnsi="Calibri" w:cs="Calibri"/>
          <w:b/>
          <w:bCs/>
        </w:rPr>
      </w:pPr>
    </w:p>
    <w:p w14:paraId="7F0E618A" w14:textId="03DA5FFE" w:rsidR="744A8808" w:rsidRDefault="68F353BE" w:rsidP="0A3DFDE8">
      <w:pPr>
        <w:spacing w:after="0" w:line="240" w:lineRule="auto"/>
        <w:rPr>
          <w:rFonts w:ascii="Calibri" w:eastAsia="Calibri" w:hAnsi="Calibri" w:cs="Calibri"/>
        </w:rPr>
      </w:pPr>
      <w:r>
        <w:rPr>
          <w:rFonts w:ascii="Calibri" w:hAnsi="Calibri"/>
        </w:rPr>
        <w:t xml:space="preserve">Los distritos identificados con discrepancias significativas deben presentar los PPP para su revisión al Departamento.  El Departamento revisa los PPP. Si se encuentran deficiencias en los PPP, el distrito debe corregirlas dentro de un año a partir de la fecha de notificación y debe presentar evidencia de las correcciones a DESE para su verificación. </w:t>
      </w:r>
    </w:p>
    <w:p w14:paraId="1C9F6F97" w14:textId="293C2268" w:rsidR="744A8808" w:rsidRDefault="744A8808" w:rsidP="0A3DFDE8">
      <w:pPr>
        <w:spacing w:after="0" w:line="240" w:lineRule="auto"/>
        <w:rPr>
          <w:rFonts w:ascii="Calibri" w:eastAsia="Calibri" w:hAnsi="Calibri" w:cs="Calibri"/>
        </w:rPr>
      </w:pPr>
    </w:p>
    <w:p w14:paraId="758CDA8B" w14:textId="071D9F31" w:rsidR="744A8808" w:rsidRDefault="68F353BE" w:rsidP="0A3DFDE8">
      <w:pPr>
        <w:spacing w:after="0" w:line="240" w:lineRule="auto"/>
        <w:rPr>
          <w:rFonts w:ascii="Calibri" w:eastAsia="Calibri" w:hAnsi="Calibri" w:cs="Calibri"/>
        </w:rPr>
      </w:pPr>
      <w:r>
        <w:rPr>
          <w:rFonts w:ascii="Calibri" w:hAnsi="Calibri"/>
        </w:rPr>
        <w:t>Se alienta a los distritos identificados a participar en la formación profesional. Este compromiso incluye:</w:t>
      </w:r>
    </w:p>
    <w:p w14:paraId="41C7862C" w14:textId="256BE231" w:rsidR="744A8808" w:rsidRDefault="68F353BE" w:rsidP="0A3DFDE8">
      <w:pPr>
        <w:pStyle w:val="ListParagraph"/>
        <w:numPr>
          <w:ilvl w:val="0"/>
          <w:numId w:val="1"/>
        </w:numPr>
        <w:spacing w:after="0" w:line="240" w:lineRule="auto"/>
        <w:rPr>
          <w:rFonts w:eastAsiaTheme="minorEastAsia"/>
        </w:rPr>
      </w:pPr>
      <w:r>
        <w:rPr>
          <w:rFonts w:ascii="Calibri" w:hAnsi="Calibri"/>
        </w:rPr>
        <w:t xml:space="preserve">Debate sobre los datos específicos del distrito. </w:t>
      </w:r>
    </w:p>
    <w:p w14:paraId="24D65F74" w14:textId="7168A307" w:rsidR="744A8808" w:rsidRDefault="68F353BE" w:rsidP="0A3DFDE8">
      <w:pPr>
        <w:pStyle w:val="ListParagraph"/>
        <w:numPr>
          <w:ilvl w:val="0"/>
          <w:numId w:val="1"/>
        </w:numPr>
        <w:spacing w:after="0" w:line="240" w:lineRule="auto"/>
        <w:rPr>
          <w:rFonts w:eastAsiaTheme="minorEastAsia"/>
        </w:rPr>
      </w:pPr>
      <w:r>
        <w:rPr>
          <w:rFonts w:ascii="Calibri" w:hAnsi="Calibri"/>
        </w:rPr>
        <w:t xml:space="preserve">Información sobre estrategias exitosas que las LEA han implementado. </w:t>
      </w:r>
    </w:p>
    <w:p w14:paraId="0E53F825" w14:textId="36D130F7" w:rsidR="744A8808" w:rsidRDefault="68F353BE" w:rsidP="0A3DFDE8">
      <w:pPr>
        <w:pStyle w:val="ListParagraph"/>
        <w:numPr>
          <w:ilvl w:val="0"/>
          <w:numId w:val="1"/>
        </w:numPr>
        <w:spacing w:after="0" w:line="240" w:lineRule="auto"/>
        <w:rPr>
          <w:rFonts w:eastAsiaTheme="minorEastAsia"/>
        </w:rPr>
      </w:pPr>
      <w:r>
        <w:rPr>
          <w:rFonts w:ascii="Calibri" w:hAnsi="Calibri"/>
        </w:rPr>
        <w:t xml:space="preserve">Debates y apoyo para los desafíos que enfrentan los distritos en relación con la práctica de disciplina estudiantil. </w:t>
      </w:r>
    </w:p>
    <w:p w14:paraId="11E1BBE8" w14:textId="1250524B" w:rsidR="744A8808" w:rsidRPr="00885303" w:rsidRDefault="68F353BE" w:rsidP="744A8808">
      <w:pPr>
        <w:pStyle w:val="ListParagraph"/>
        <w:numPr>
          <w:ilvl w:val="0"/>
          <w:numId w:val="1"/>
        </w:numPr>
        <w:spacing w:after="0" w:line="240" w:lineRule="auto"/>
        <w:rPr>
          <w:rFonts w:eastAsiaTheme="minorEastAsia"/>
        </w:rPr>
      </w:pPr>
      <w:r>
        <w:rPr>
          <w:rFonts w:ascii="Calibri" w:hAnsi="Calibri"/>
        </w:rPr>
        <w:t>Brindar la oportunidad de reflexionar sobre políticas, prácticas y procedimientos para apoyar a los estudiantes en IEP y reducir el uso de expulsiones disciplinarias.</w:t>
      </w:r>
    </w:p>
    <w:sectPr w:rsidR="744A8808" w:rsidRPr="0088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891"/>
    <w:multiLevelType w:val="hybridMultilevel"/>
    <w:tmpl w:val="BA40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1E3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D6E07"/>
    <w:multiLevelType w:val="hybridMultilevel"/>
    <w:tmpl w:val="8E306158"/>
    <w:lvl w:ilvl="0" w:tplc="C4822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0746"/>
    <w:multiLevelType w:val="hybridMultilevel"/>
    <w:tmpl w:val="8ADE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54915"/>
    <w:multiLevelType w:val="hybridMultilevel"/>
    <w:tmpl w:val="C8529F38"/>
    <w:lvl w:ilvl="0" w:tplc="523A08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44F96"/>
    <w:multiLevelType w:val="hybridMultilevel"/>
    <w:tmpl w:val="0A522A18"/>
    <w:lvl w:ilvl="0" w:tplc="04090001">
      <w:start w:val="1"/>
      <w:numFmt w:val="bullet"/>
      <w:lvlText w:val=""/>
      <w:lvlJc w:val="left"/>
      <w:pPr>
        <w:tabs>
          <w:tab w:val="num" w:pos="0"/>
        </w:tabs>
        <w:ind w:left="0" w:hanging="360"/>
      </w:pPr>
      <w:rPr>
        <w:rFonts w:ascii="Symbol" w:hAnsi="Symbo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487A2DFB"/>
    <w:multiLevelType w:val="hybridMultilevel"/>
    <w:tmpl w:val="C838A56C"/>
    <w:lvl w:ilvl="0" w:tplc="04090001">
      <w:start w:val="1"/>
      <w:numFmt w:val="bullet"/>
      <w:lvlText w:val=""/>
      <w:lvlJc w:val="left"/>
      <w:pPr>
        <w:tabs>
          <w:tab w:val="num" w:pos="-720"/>
        </w:tabs>
        <w:ind w:left="-720" w:hanging="360"/>
      </w:pPr>
      <w:rPr>
        <w:rFonts w:ascii="Symbol" w:hAnsi="Symbol" w:hint="default"/>
      </w:rPr>
    </w:lvl>
    <w:lvl w:ilvl="1" w:tplc="131A0A2E">
      <w:numFmt w:val="bullet"/>
      <w:lvlText w:val="o"/>
      <w:lvlJc w:val="left"/>
      <w:pPr>
        <w:tabs>
          <w:tab w:val="num" w:pos="0"/>
        </w:tabs>
        <w:ind w:left="0" w:hanging="360"/>
      </w:pPr>
      <w:rPr>
        <w:rFonts w:ascii="Courier New" w:hAnsi="Courier New" w:hint="default"/>
      </w:rPr>
    </w:lvl>
    <w:lvl w:ilvl="2" w:tplc="EA80F952" w:tentative="1">
      <w:start w:val="1"/>
      <w:numFmt w:val="bullet"/>
      <w:lvlText w:val="•"/>
      <w:lvlJc w:val="left"/>
      <w:pPr>
        <w:tabs>
          <w:tab w:val="num" w:pos="720"/>
        </w:tabs>
        <w:ind w:left="720" w:hanging="360"/>
      </w:pPr>
      <w:rPr>
        <w:rFonts w:ascii="Arial" w:hAnsi="Arial" w:hint="default"/>
      </w:rPr>
    </w:lvl>
    <w:lvl w:ilvl="3" w:tplc="637C267C" w:tentative="1">
      <w:start w:val="1"/>
      <w:numFmt w:val="bullet"/>
      <w:lvlText w:val="•"/>
      <w:lvlJc w:val="left"/>
      <w:pPr>
        <w:tabs>
          <w:tab w:val="num" w:pos="1440"/>
        </w:tabs>
        <w:ind w:left="1440" w:hanging="360"/>
      </w:pPr>
      <w:rPr>
        <w:rFonts w:ascii="Arial" w:hAnsi="Arial" w:hint="default"/>
      </w:rPr>
    </w:lvl>
    <w:lvl w:ilvl="4" w:tplc="CC42A98C" w:tentative="1">
      <w:start w:val="1"/>
      <w:numFmt w:val="bullet"/>
      <w:lvlText w:val="•"/>
      <w:lvlJc w:val="left"/>
      <w:pPr>
        <w:tabs>
          <w:tab w:val="num" w:pos="2160"/>
        </w:tabs>
        <w:ind w:left="2160" w:hanging="360"/>
      </w:pPr>
      <w:rPr>
        <w:rFonts w:ascii="Arial" w:hAnsi="Arial" w:hint="default"/>
      </w:rPr>
    </w:lvl>
    <w:lvl w:ilvl="5" w:tplc="F06604E4" w:tentative="1">
      <w:start w:val="1"/>
      <w:numFmt w:val="bullet"/>
      <w:lvlText w:val="•"/>
      <w:lvlJc w:val="left"/>
      <w:pPr>
        <w:tabs>
          <w:tab w:val="num" w:pos="2880"/>
        </w:tabs>
        <w:ind w:left="2880" w:hanging="360"/>
      </w:pPr>
      <w:rPr>
        <w:rFonts w:ascii="Arial" w:hAnsi="Arial" w:hint="default"/>
      </w:rPr>
    </w:lvl>
    <w:lvl w:ilvl="6" w:tplc="1CD8E100" w:tentative="1">
      <w:start w:val="1"/>
      <w:numFmt w:val="bullet"/>
      <w:lvlText w:val="•"/>
      <w:lvlJc w:val="left"/>
      <w:pPr>
        <w:tabs>
          <w:tab w:val="num" w:pos="3600"/>
        </w:tabs>
        <w:ind w:left="3600" w:hanging="360"/>
      </w:pPr>
      <w:rPr>
        <w:rFonts w:ascii="Arial" w:hAnsi="Arial" w:hint="default"/>
      </w:rPr>
    </w:lvl>
    <w:lvl w:ilvl="7" w:tplc="47365852" w:tentative="1">
      <w:start w:val="1"/>
      <w:numFmt w:val="bullet"/>
      <w:lvlText w:val="•"/>
      <w:lvlJc w:val="left"/>
      <w:pPr>
        <w:tabs>
          <w:tab w:val="num" w:pos="4320"/>
        </w:tabs>
        <w:ind w:left="4320" w:hanging="360"/>
      </w:pPr>
      <w:rPr>
        <w:rFonts w:ascii="Arial" w:hAnsi="Arial" w:hint="default"/>
      </w:rPr>
    </w:lvl>
    <w:lvl w:ilvl="8" w:tplc="9D984E30" w:tentative="1">
      <w:start w:val="1"/>
      <w:numFmt w:val="bullet"/>
      <w:lvlText w:val="•"/>
      <w:lvlJc w:val="left"/>
      <w:pPr>
        <w:tabs>
          <w:tab w:val="num" w:pos="5040"/>
        </w:tabs>
        <w:ind w:left="5040" w:hanging="360"/>
      </w:pPr>
      <w:rPr>
        <w:rFonts w:ascii="Arial" w:hAnsi="Arial" w:hint="default"/>
      </w:rPr>
    </w:lvl>
  </w:abstractNum>
  <w:abstractNum w:abstractNumId="7" w15:restartNumberingAfterBreak="0">
    <w:nsid w:val="4A1F5223"/>
    <w:multiLevelType w:val="hybridMultilevel"/>
    <w:tmpl w:val="AC42D826"/>
    <w:lvl w:ilvl="0" w:tplc="C4822070">
      <w:start w:val="1"/>
      <w:numFmt w:val="decimal"/>
      <w:lvlText w:val="%1."/>
      <w:lvlJc w:val="left"/>
      <w:pPr>
        <w:ind w:left="770" w:hanging="360"/>
      </w:pPr>
      <w:rPr>
        <w:rFonts w:hint="default"/>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A776F37"/>
    <w:multiLevelType w:val="hybridMultilevel"/>
    <w:tmpl w:val="A3A45DEA"/>
    <w:lvl w:ilvl="0" w:tplc="3F0AE7AC">
      <w:start w:val="1"/>
      <w:numFmt w:val="bullet"/>
      <w:lvlText w:val="•"/>
      <w:lvlJc w:val="left"/>
      <w:pPr>
        <w:tabs>
          <w:tab w:val="num" w:pos="0"/>
        </w:tabs>
        <w:ind w:left="0" w:hanging="360"/>
      </w:pPr>
      <w:rPr>
        <w:rFonts w:ascii="Arial" w:hAnsi="Aria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9" w15:restartNumberingAfterBreak="0">
    <w:nsid w:val="4DE34F55"/>
    <w:multiLevelType w:val="hybridMultilevel"/>
    <w:tmpl w:val="752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7FD"/>
    <w:multiLevelType w:val="hybridMultilevel"/>
    <w:tmpl w:val="0144DC42"/>
    <w:lvl w:ilvl="0" w:tplc="68BC8C72">
      <w:start w:val="1"/>
      <w:numFmt w:val="bullet"/>
      <w:lvlText w:val=""/>
      <w:lvlJc w:val="left"/>
      <w:pPr>
        <w:ind w:left="720" w:hanging="360"/>
      </w:pPr>
      <w:rPr>
        <w:rFonts w:ascii="Symbol" w:hAnsi="Symbol" w:hint="default"/>
      </w:rPr>
    </w:lvl>
    <w:lvl w:ilvl="1" w:tplc="9766888C">
      <w:start w:val="1"/>
      <w:numFmt w:val="bullet"/>
      <w:lvlText w:val="o"/>
      <w:lvlJc w:val="left"/>
      <w:pPr>
        <w:ind w:left="1440" w:hanging="360"/>
      </w:pPr>
      <w:rPr>
        <w:rFonts w:ascii="Courier New" w:hAnsi="Courier New" w:hint="default"/>
      </w:rPr>
    </w:lvl>
    <w:lvl w:ilvl="2" w:tplc="E3026BE4">
      <w:start w:val="1"/>
      <w:numFmt w:val="bullet"/>
      <w:lvlText w:val=""/>
      <w:lvlJc w:val="left"/>
      <w:pPr>
        <w:ind w:left="2160" w:hanging="360"/>
      </w:pPr>
      <w:rPr>
        <w:rFonts w:ascii="Wingdings" w:hAnsi="Wingdings" w:hint="default"/>
      </w:rPr>
    </w:lvl>
    <w:lvl w:ilvl="3" w:tplc="9B16335C">
      <w:start w:val="1"/>
      <w:numFmt w:val="bullet"/>
      <w:lvlText w:val=""/>
      <w:lvlJc w:val="left"/>
      <w:pPr>
        <w:ind w:left="2880" w:hanging="360"/>
      </w:pPr>
      <w:rPr>
        <w:rFonts w:ascii="Symbol" w:hAnsi="Symbol" w:hint="default"/>
      </w:rPr>
    </w:lvl>
    <w:lvl w:ilvl="4" w:tplc="98DA6680">
      <w:start w:val="1"/>
      <w:numFmt w:val="bullet"/>
      <w:lvlText w:val="o"/>
      <w:lvlJc w:val="left"/>
      <w:pPr>
        <w:ind w:left="3600" w:hanging="360"/>
      </w:pPr>
      <w:rPr>
        <w:rFonts w:ascii="Courier New" w:hAnsi="Courier New" w:hint="default"/>
      </w:rPr>
    </w:lvl>
    <w:lvl w:ilvl="5" w:tplc="CDF84458">
      <w:start w:val="1"/>
      <w:numFmt w:val="bullet"/>
      <w:lvlText w:val=""/>
      <w:lvlJc w:val="left"/>
      <w:pPr>
        <w:ind w:left="4320" w:hanging="360"/>
      </w:pPr>
      <w:rPr>
        <w:rFonts w:ascii="Wingdings" w:hAnsi="Wingdings" w:hint="default"/>
      </w:rPr>
    </w:lvl>
    <w:lvl w:ilvl="6" w:tplc="61F8DDFC">
      <w:start w:val="1"/>
      <w:numFmt w:val="bullet"/>
      <w:lvlText w:val=""/>
      <w:lvlJc w:val="left"/>
      <w:pPr>
        <w:ind w:left="5040" w:hanging="360"/>
      </w:pPr>
      <w:rPr>
        <w:rFonts w:ascii="Symbol" w:hAnsi="Symbol" w:hint="default"/>
      </w:rPr>
    </w:lvl>
    <w:lvl w:ilvl="7" w:tplc="CE4CDC6C">
      <w:start w:val="1"/>
      <w:numFmt w:val="bullet"/>
      <w:lvlText w:val="o"/>
      <w:lvlJc w:val="left"/>
      <w:pPr>
        <w:ind w:left="5760" w:hanging="360"/>
      </w:pPr>
      <w:rPr>
        <w:rFonts w:ascii="Courier New" w:hAnsi="Courier New" w:hint="default"/>
      </w:rPr>
    </w:lvl>
    <w:lvl w:ilvl="8" w:tplc="D7AEE044">
      <w:start w:val="1"/>
      <w:numFmt w:val="bullet"/>
      <w:lvlText w:val=""/>
      <w:lvlJc w:val="left"/>
      <w:pPr>
        <w:ind w:left="6480" w:hanging="360"/>
      </w:pPr>
      <w:rPr>
        <w:rFonts w:ascii="Wingdings" w:hAnsi="Wingdings" w:hint="default"/>
      </w:rPr>
    </w:lvl>
  </w:abstractNum>
  <w:abstractNum w:abstractNumId="11" w15:restartNumberingAfterBreak="0">
    <w:nsid w:val="6EC00854"/>
    <w:multiLevelType w:val="hybridMultilevel"/>
    <w:tmpl w:val="41968884"/>
    <w:lvl w:ilvl="0" w:tplc="9B72ED5E">
      <w:start w:val="1"/>
      <w:numFmt w:val="bullet"/>
      <w:lvlText w:val=""/>
      <w:lvlJc w:val="left"/>
      <w:pPr>
        <w:ind w:left="720" w:hanging="360"/>
      </w:pPr>
      <w:rPr>
        <w:rFonts w:ascii="Symbol" w:hAnsi="Symbol" w:hint="default"/>
      </w:rPr>
    </w:lvl>
    <w:lvl w:ilvl="1" w:tplc="DBECA07C">
      <w:start w:val="1"/>
      <w:numFmt w:val="bullet"/>
      <w:lvlText w:val="o"/>
      <w:lvlJc w:val="left"/>
      <w:pPr>
        <w:ind w:left="1440" w:hanging="360"/>
      </w:pPr>
      <w:rPr>
        <w:rFonts w:ascii="Courier New" w:hAnsi="Courier New" w:hint="default"/>
      </w:rPr>
    </w:lvl>
    <w:lvl w:ilvl="2" w:tplc="318E6546">
      <w:start w:val="1"/>
      <w:numFmt w:val="bullet"/>
      <w:lvlText w:val=""/>
      <w:lvlJc w:val="left"/>
      <w:pPr>
        <w:ind w:left="2160" w:hanging="360"/>
      </w:pPr>
      <w:rPr>
        <w:rFonts w:ascii="Wingdings" w:hAnsi="Wingdings" w:hint="default"/>
      </w:rPr>
    </w:lvl>
    <w:lvl w:ilvl="3" w:tplc="CBB4566E">
      <w:start w:val="1"/>
      <w:numFmt w:val="bullet"/>
      <w:lvlText w:val=""/>
      <w:lvlJc w:val="left"/>
      <w:pPr>
        <w:ind w:left="2880" w:hanging="360"/>
      </w:pPr>
      <w:rPr>
        <w:rFonts w:ascii="Symbol" w:hAnsi="Symbol" w:hint="default"/>
      </w:rPr>
    </w:lvl>
    <w:lvl w:ilvl="4" w:tplc="18C46E54">
      <w:start w:val="1"/>
      <w:numFmt w:val="bullet"/>
      <w:lvlText w:val="o"/>
      <w:lvlJc w:val="left"/>
      <w:pPr>
        <w:ind w:left="3600" w:hanging="360"/>
      </w:pPr>
      <w:rPr>
        <w:rFonts w:ascii="Courier New" w:hAnsi="Courier New" w:hint="default"/>
      </w:rPr>
    </w:lvl>
    <w:lvl w:ilvl="5" w:tplc="0A4C5608">
      <w:start w:val="1"/>
      <w:numFmt w:val="bullet"/>
      <w:lvlText w:val=""/>
      <w:lvlJc w:val="left"/>
      <w:pPr>
        <w:ind w:left="4320" w:hanging="360"/>
      </w:pPr>
      <w:rPr>
        <w:rFonts w:ascii="Wingdings" w:hAnsi="Wingdings" w:hint="default"/>
      </w:rPr>
    </w:lvl>
    <w:lvl w:ilvl="6" w:tplc="07F472A2">
      <w:start w:val="1"/>
      <w:numFmt w:val="bullet"/>
      <w:lvlText w:val=""/>
      <w:lvlJc w:val="left"/>
      <w:pPr>
        <w:ind w:left="5040" w:hanging="360"/>
      </w:pPr>
      <w:rPr>
        <w:rFonts w:ascii="Symbol" w:hAnsi="Symbol" w:hint="default"/>
      </w:rPr>
    </w:lvl>
    <w:lvl w:ilvl="7" w:tplc="3370D868">
      <w:start w:val="1"/>
      <w:numFmt w:val="bullet"/>
      <w:lvlText w:val="o"/>
      <w:lvlJc w:val="left"/>
      <w:pPr>
        <w:ind w:left="5760" w:hanging="360"/>
      </w:pPr>
      <w:rPr>
        <w:rFonts w:ascii="Courier New" w:hAnsi="Courier New" w:hint="default"/>
      </w:rPr>
    </w:lvl>
    <w:lvl w:ilvl="8" w:tplc="916086BA">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7"/>
  </w:num>
  <w:num w:numId="6">
    <w:abstractNumId w:val="8"/>
  </w:num>
  <w:num w:numId="7">
    <w:abstractNumId w:val="5"/>
  </w:num>
  <w:num w:numId="8">
    <w:abstractNumId w:val="0"/>
  </w:num>
  <w:num w:numId="9">
    <w:abstractNumId w:val="3"/>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265B2"/>
    <w:rsid w:val="00032A2E"/>
    <w:rsid w:val="000407C0"/>
    <w:rsid w:val="00063A3E"/>
    <w:rsid w:val="0009018E"/>
    <w:rsid w:val="000A0CA5"/>
    <w:rsid w:val="000A2649"/>
    <w:rsid w:val="000A6254"/>
    <w:rsid w:val="000D25C4"/>
    <w:rsid w:val="000D5F42"/>
    <w:rsid w:val="000F194D"/>
    <w:rsid w:val="00127372"/>
    <w:rsid w:val="00133F0A"/>
    <w:rsid w:val="00144DEB"/>
    <w:rsid w:val="001641E1"/>
    <w:rsid w:val="00175E67"/>
    <w:rsid w:val="001A68E1"/>
    <w:rsid w:val="001B543E"/>
    <w:rsid w:val="001C3548"/>
    <w:rsid w:val="00211BB4"/>
    <w:rsid w:val="00214B39"/>
    <w:rsid w:val="00225985"/>
    <w:rsid w:val="00234DF6"/>
    <w:rsid w:val="00236453"/>
    <w:rsid w:val="00246310"/>
    <w:rsid w:val="00265095"/>
    <w:rsid w:val="00292F66"/>
    <w:rsid w:val="002B2FE0"/>
    <w:rsid w:val="002B4145"/>
    <w:rsid w:val="002C10EA"/>
    <w:rsid w:val="002C3CD9"/>
    <w:rsid w:val="002C6CC8"/>
    <w:rsid w:val="002E6D55"/>
    <w:rsid w:val="002F1258"/>
    <w:rsid w:val="00326A7D"/>
    <w:rsid w:val="003320A5"/>
    <w:rsid w:val="00377479"/>
    <w:rsid w:val="0038658C"/>
    <w:rsid w:val="003A0A76"/>
    <w:rsid w:val="003A1864"/>
    <w:rsid w:val="003B3A39"/>
    <w:rsid w:val="003E23AA"/>
    <w:rsid w:val="00401FDE"/>
    <w:rsid w:val="004203F8"/>
    <w:rsid w:val="00450780"/>
    <w:rsid w:val="00465018"/>
    <w:rsid w:val="00480F4F"/>
    <w:rsid w:val="004951C0"/>
    <w:rsid w:val="004A11D3"/>
    <w:rsid w:val="004D7235"/>
    <w:rsid w:val="004E0037"/>
    <w:rsid w:val="004F68F1"/>
    <w:rsid w:val="0050262D"/>
    <w:rsid w:val="00506AB3"/>
    <w:rsid w:val="0052062C"/>
    <w:rsid w:val="00525EFD"/>
    <w:rsid w:val="00550799"/>
    <w:rsid w:val="00563EE0"/>
    <w:rsid w:val="00581B3C"/>
    <w:rsid w:val="00595B31"/>
    <w:rsid w:val="005A1F50"/>
    <w:rsid w:val="005C7305"/>
    <w:rsid w:val="005E5347"/>
    <w:rsid w:val="005F3ED8"/>
    <w:rsid w:val="00602554"/>
    <w:rsid w:val="006072B3"/>
    <w:rsid w:val="006103D6"/>
    <w:rsid w:val="00612F8C"/>
    <w:rsid w:val="00633B88"/>
    <w:rsid w:val="00643AE1"/>
    <w:rsid w:val="0065111C"/>
    <w:rsid w:val="00655026"/>
    <w:rsid w:val="00672107"/>
    <w:rsid w:val="00680D12"/>
    <w:rsid w:val="006811A9"/>
    <w:rsid w:val="00696D50"/>
    <w:rsid w:val="006A0318"/>
    <w:rsid w:val="006C504D"/>
    <w:rsid w:val="00707D25"/>
    <w:rsid w:val="00707FC2"/>
    <w:rsid w:val="00711CBF"/>
    <w:rsid w:val="0073305E"/>
    <w:rsid w:val="00734EC6"/>
    <w:rsid w:val="007737ED"/>
    <w:rsid w:val="00774563"/>
    <w:rsid w:val="007840C3"/>
    <w:rsid w:val="007A2F7D"/>
    <w:rsid w:val="007B0535"/>
    <w:rsid w:val="007B2620"/>
    <w:rsid w:val="00807494"/>
    <w:rsid w:val="00825121"/>
    <w:rsid w:val="00825FD0"/>
    <w:rsid w:val="00831F2C"/>
    <w:rsid w:val="00873D90"/>
    <w:rsid w:val="00875502"/>
    <w:rsid w:val="00885303"/>
    <w:rsid w:val="008854CC"/>
    <w:rsid w:val="00893589"/>
    <w:rsid w:val="008C3EE7"/>
    <w:rsid w:val="00914BE8"/>
    <w:rsid w:val="0091720B"/>
    <w:rsid w:val="009379A0"/>
    <w:rsid w:val="009772A2"/>
    <w:rsid w:val="00977FB0"/>
    <w:rsid w:val="009A5F2F"/>
    <w:rsid w:val="009C38BA"/>
    <w:rsid w:val="009E145D"/>
    <w:rsid w:val="00A2650A"/>
    <w:rsid w:val="00A342C5"/>
    <w:rsid w:val="00A616D3"/>
    <w:rsid w:val="00A63F6B"/>
    <w:rsid w:val="00AB52DF"/>
    <w:rsid w:val="00AD66DA"/>
    <w:rsid w:val="00AE39AE"/>
    <w:rsid w:val="00AE6DF7"/>
    <w:rsid w:val="00B0460A"/>
    <w:rsid w:val="00B26C60"/>
    <w:rsid w:val="00B32A23"/>
    <w:rsid w:val="00B51964"/>
    <w:rsid w:val="00B6593A"/>
    <w:rsid w:val="00B700DA"/>
    <w:rsid w:val="00BB2899"/>
    <w:rsid w:val="00BB2DFD"/>
    <w:rsid w:val="00BC3F1F"/>
    <w:rsid w:val="00BD6E53"/>
    <w:rsid w:val="00BE2415"/>
    <w:rsid w:val="00BF6941"/>
    <w:rsid w:val="00C06ED8"/>
    <w:rsid w:val="00C32E56"/>
    <w:rsid w:val="00C61BEA"/>
    <w:rsid w:val="00C72012"/>
    <w:rsid w:val="00C83F13"/>
    <w:rsid w:val="00C855E0"/>
    <w:rsid w:val="00CA0117"/>
    <w:rsid w:val="00CA05BE"/>
    <w:rsid w:val="00CA28FA"/>
    <w:rsid w:val="00CB6927"/>
    <w:rsid w:val="00CC1B25"/>
    <w:rsid w:val="00CC2357"/>
    <w:rsid w:val="00D056E8"/>
    <w:rsid w:val="00D10EEB"/>
    <w:rsid w:val="00D14FCC"/>
    <w:rsid w:val="00D446A1"/>
    <w:rsid w:val="00D457AB"/>
    <w:rsid w:val="00D603B4"/>
    <w:rsid w:val="00D667AD"/>
    <w:rsid w:val="00D91B42"/>
    <w:rsid w:val="00D93563"/>
    <w:rsid w:val="00D96F34"/>
    <w:rsid w:val="00DA15DD"/>
    <w:rsid w:val="00DB1447"/>
    <w:rsid w:val="00DC116E"/>
    <w:rsid w:val="00DF10AD"/>
    <w:rsid w:val="00E37EF3"/>
    <w:rsid w:val="00E47FAD"/>
    <w:rsid w:val="00E56BF1"/>
    <w:rsid w:val="00E6120D"/>
    <w:rsid w:val="00EB4DF5"/>
    <w:rsid w:val="00EC5391"/>
    <w:rsid w:val="00EF4C0A"/>
    <w:rsid w:val="00F1347A"/>
    <w:rsid w:val="00F52AA9"/>
    <w:rsid w:val="00F571BC"/>
    <w:rsid w:val="00F830D2"/>
    <w:rsid w:val="00F9186A"/>
    <w:rsid w:val="00F93C61"/>
    <w:rsid w:val="00FB6F9A"/>
    <w:rsid w:val="00FF369A"/>
    <w:rsid w:val="01E95227"/>
    <w:rsid w:val="025790DD"/>
    <w:rsid w:val="0432E503"/>
    <w:rsid w:val="060A5E07"/>
    <w:rsid w:val="06463656"/>
    <w:rsid w:val="06AAA182"/>
    <w:rsid w:val="06C45FAC"/>
    <w:rsid w:val="06C59231"/>
    <w:rsid w:val="0792D6F0"/>
    <w:rsid w:val="07A62E68"/>
    <w:rsid w:val="0806A8B9"/>
    <w:rsid w:val="08896408"/>
    <w:rsid w:val="0A350D9E"/>
    <w:rsid w:val="0A3DFDE8"/>
    <w:rsid w:val="0AD351EE"/>
    <w:rsid w:val="0C0D00B4"/>
    <w:rsid w:val="0CE0B683"/>
    <w:rsid w:val="0CE91731"/>
    <w:rsid w:val="0D1F01C2"/>
    <w:rsid w:val="0DE52E96"/>
    <w:rsid w:val="0E84C46E"/>
    <w:rsid w:val="0E93A640"/>
    <w:rsid w:val="0F78DFC5"/>
    <w:rsid w:val="11F272E5"/>
    <w:rsid w:val="124ADA52"/>
    <w:rsid w:val="12CD3CE6"/>
    <w:rsid w:val="13C2C787"/>
    <w:rsid w:val="151D0B96"/>
    <w:rsid w:val="152A13A7"/>
    <w:rsid w:val="15753CFC"/>
    <w:rsid w:val="18E81EAF"/>
    <w:rsid w:val="199158CC"/>
    <w:rsid w:val="19C70C5D"/>
    <w:rsid w:val="1A3CC3DA"/>
    <w:rsid w:val="1CB994A4"/>
    <w:rsid w:val="1D3CA079"/>
    <w:rsid w:val="1DFB20B4"/>
    <w:rsid w:val="1E8BC248"/>
    <w:rsid w:val="1EE3F607"/>
    <w:rsid w:val="1F1034FD"/>
    <w:rsid w:val="1F16EDBC"/>
    <w:rsid w:val="1FF5F23F"/>
    <w:rsid w:val="217CE269"/>
    <w:rsid w:val="21C8BC55"/>
    <w:rsid w:val="232104F7"/>
    <w:rsid w:val="23751BC0"/>
    <w:rsid w:val="23F417A9"/>
    <w:rsid w:val="243153E3"/>
    <w:rsid w:val="255FFE53"/>
    <w:rsid w:val="25603619"/>
    <w:rsid w:val="26093CB7"/>
    <w:rsid w:val="26D5DF8F"/>
    <w:rsid w:val="27195F8D"/>
    <w:rsid w:val="2759B20C"/>
    <w:rsid w:val="28F21DAC"/>
    <w:rsid w:val="295D0B86"/>
    <w:rsid w:val="29958FD4"/>
    <w:rsid w:val="2A8AEB0C"/>
    <w:rsid w:val="2A983878"/>
    <w:rsid w:val="2AE4DDD6"/>
    <w:rsid w:val="2B1A6BA1"/>
    <w:rsid w:val="2BFAE614"/>
    <w:rsid w:val="2C5C4BC0"/>
    <w:rsid w:val="2CDBAC90"/>
    <w:rsid w:val="2CF4591D"/>
    <w:rsid w:val="2DF81C21"/>
    <w:rsid w:val="2E08C41E"/>
    <w:rsid w:val="2F52813E"/>
    <w:rsid w:val="30B05884"/>
    <w:rsid w:val="3231A882"/>
    <w:rsid w:val="3312240D"/>
    <w:rsid w:val="339F6A3F"/>
    <w:rsid w:val="33D57163"/>
    <w:rsid w:val="340DACAF"/>
    <w:rsid w:val="343F8B6E"/>
    <w:rsid w:val="35371905"/>
    <w:rsid w:val="36079B18"/>
    <w:rsid w:val="36635FF0"/>
    <w:rsid w:val="376A174D"/>
    <w:rsid w:val="38769248"/>
    <w:rsid w:val="3AB2E870"/>
    <w:rsid w:val="3AD8FBE4"/>
    <w:rsid w:val="3BB42DF2"/>
    <w:rsid w:val="3C8FA8BE"/>
    <w:rsid w:val="3D524D4C"/>
    <w:rsid w:val="3D6E51AF"/>
    <w:rsid w:val="3D7AD1EB"/>
    <w:rsid w:val="3E714015"/>
    <w:rsid w:val="3F89807C"/>
    <w:rsid w:val="3FED7FE7"/>
    <w:rsid w:val="402361B9"/>
    <w:rsid w:val="410F55AB"/>
    <w:rsid w:val="41379A09"/>
    <w:rsid w:val="4189FCE6"/>
    <w:rsid w:val="4315A5CF"/>
    <w:rsid w:val="4333BF87"/>
    <w:rsid w:val="43BF1A6E"/>
    <w:rsid w:val="446F3ACB"/>
    <w:rsid w:val="44F71A40"/>
    <w:rsid w:val="464D7E65"/>
    <w:rsid w:val="47617FF7"/>
    <w:rsid w:val="47D1AF25"/>
    <w:rsid w:val="4877825D"/>
    <w:rsid w:val="48A88CC0"/>
    <w:rsid w:val="49428685"/>
    <w:rsid w:val="496D7F86"/>
    <w:rsid w:val="499BABC6"/>
    <w:rsid w:val="49E5A2B4"/>
    <w:rsid w:val="4A75E1E7"/>
    <w:rsid w:val="4A828BB5"/>
    <w:rsid w:val="4A8EA692"/>
    <w:rsid w:val="4B85F245"/>
    <w:rsid w:val="4C11B248"/>
    <w:rsid w:val="4C2D1C79"/>
    <w:rsid w:val="4C580422"/>
    <w:rsid w:val="4C7F77AF"/>
    <w:rsid w:val="4C92DD95"/>
    <w:rsid w:val="4CB7D861"/>
    <w:rsid w:val="4F86B658"/>
    <w:rsid w:val="4F9F4785"/>
    <w:rsid w:val="551E8025"/>
    <w:rsid w:val="552CD48B"/>
    <w:rsid w:val="57789FE0"/>
    <w:rsid w:val="58CFDDCC"/>
    <w:rsid w:val="5A68764C"/>
    <w:rsid w:val="5A6EED88"/>
    <w:rsid w:val="5B9D82C8"/>
    <w:rsid w:val="5C0ABDE9"/>
    <w:rsid w:val="5C3B7961"/>
    <w:rsid w:val="5C66A4BE"/>
    <w:rsid w:val="5D0023B1"/>
    <w:rsid w:val="60969547"/>
    <w:rsid w:val="61388E4A"/>
    <w:rsid w:val="62222DCD"/>
    <w:rsid w:val="622C4662"/>
    <w:rsid w:val="62C1B738"/>
    <w:rsid w:val="6365A3FD"/>
    <w:rsid w:val="63D4A2D2"/>
    <w:rsid w:val="65A0F08D"/>
    <w:rsid w:val="65D0191E"/>
    <w:rsid w:val="66CD8DDF"/>
    <w:rsid w:val="66D460A0"/>
    <w:rsid w:val="670FE716"/>
    <w:rsid w:val="689706D4"/>
    <w:rsid w:val="68A7E002"/>
    <w:rsid w:val="68F353BE"/>
    <w:rsid w:val="690E6928"/>
    <w:rsid w:val="6A49392D"/>
    <w:rsid w:val="6A4C35E7"/>
    <w:rsid w:val="6A77307A"/>
    <w:rsid w:val="6B8F074A"/>
    <w:rsid w:val="6B9C4562"/>
    <w:rsid w:val="6C1300DB"/>
    <w:rsid w:val="6CA1E5EC"/>
    <w:rsid w:val="6D36FB75"/>
    <w:rsid w:val="6E54C27D"/>
    <w:rsid w:val="6F2B5172"/>
    <w:rsid w:val="71A99E5C"/>
    <w:rsid w:val="71BCAA76"/>
    <w:rsid w:val="729810BD"/>
    <w:rsid w:val="738D7685"/>
    <w:rsid w:val="744A8808"/>
    <w:rsid w:val="74F0EBFF"/>
    <w:rsid w:val="75A4AA90"/>
    <w:rsid w:val="765B3149"/>
    <w:rsid w:val="77A04955"/>
    <w:rsid w:val="79523BD2"/>
    <w:rsid w:val="79B4B041"/>
    <w:rsid w:val="7B77D829"/>
    <w:rsid w:val="7C4B102F"/>
    <w:rsid w:val="7CC28AA2"/>
    <w:rsid w:val="7D0B892E"/>
    <w:rsid w:val="7F7C11B7"/>
    <w:rsid w:val="7FB63032"/>
    <w:rsid w:val="7FE28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B32E"/>
  <w15:chartTrackingRefBased/>
  <w15:docId w15:val="{48079875-3AAE-4B9B-A84D-4C652F3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07"/>
  </w:style>
  <w:style w:type="paragraph" w:styleId="Heading1">
    <w:name w:val="heading 1"/>
    <w:basedOn w:val="Normal"/>
    <w:next w:val="Normal"/>
    <w:link w:val="Heading1Char"/>
    <w:uiPriority w:val="9"/>
    <w:qFormat/>
    <w:rsid w:val="00D14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4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DF6"/>
    <w:rPr>
      <w:color w:val="0563C1" w:themeColor="hyperlink"/>
      <w:u w:val="single"/>
    </w:rPr>
  </w:style>
  <w:style w:type="paragraph" w:styleId="ListParagraph">
    <w:name w:val="List Paragraph"/>
    <w:basedOn w:val="Normal"/>
    <w:uiPriority w:val="34"/>
    <w:qFormat/>
    <w:rsid w:val="00234DF6"/>
    <w:pPr>
      <w:ind w:left="720"/>
      <w:contextualSpacing/>
    </w:pPr>
  </w:style>
  <w:style w:type="paragraph" w:styleId="NormalWeb">
    <w:name w:val="Normal (Web)"/>
    <w:basedOn w:val="Normal"/>
    <w:uiPriority w:val="99"/>
    <w:semiHidden/>
    <w:unhideWhenUsed/>
    <w:rsid w:val="00234D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364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0D5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2B3"/>
    <w:rPr>
      <w:rFonts w:ascii="Segoe UI" w:hAnsi="Segoe UI" w:cs="Segoe UI"/>
      <w:sz w:val="18"/>
      <w:szCs w:val="18"/>
    </w:rPr>
  </w:style>
  <w:style w:type="paragraph" w:styleId="Revision">
    <w:name w:val="Revision"/>
    <w:hidden/>
    <w:uiPriority w:val="99"/>
    <w:semiHidden/>
    <w:rsid w:val="000F194D"/>
    <w:pPr>
      <w:spacing w:after="0" w:line="240" w:lineRule="auto"/>
    </w:pPr>
  </w:style>
  <w:style w:type="character" w:styleId="UnresolvedMention">
    <w:name w:val="Unresolved Mention"/>
    <w:basedOn w:val="DefaultParagraphFont"/>
    <w:uiPriority w:val="99"/>
    <w:semiHidden/>
    <w:unhideWhenUsed/>
    <w:rsid w:val="00D14FCC"/>
    <w:rPr>
      <w:color w:val="605E5C"/>
      <w:shd w:val="clear" w:color="auto" w:fill="E1DFDD"/>
    </w:rPr>
  </w:style>
  <w:style w:type="character" w:customStyle="1" w:styleId="Heading1Char">
    <w:name w:val="Heading 1 Char"/>
    <w:basedOn w:val="DefaultParagraphFont"/>
    <w:link w:val="Heading1"/>
    <w:uiPriority w:val="9"/>
    <w:rsid w:val="00D14F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4F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747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CA0117"/>
    <w:rPr>
      <w:b/>
      <w:bCs/>
    </w:rPr>
  </w:style>
  <w:style w:type="character" w:customStyle="1" w:styleId="CommentSubjectChar">
    <w:name w:val="Comment Subject Char"/>
    <w:basedOn w:val="CommentTextChar"/>
    <w:link w:val="CommentSubject"/>
    <w:uiPriority w:val="99"/>
    <w:semiHidden/>
    <w:rsid w:val="00CA0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5841">
      <w:bodyDiv w:val="1"/>
      <w:marLeft w:val="0"/>
      <w:marRight w:val="0"/>
      <w:marTop w:val="0"/>
      <w:marBottom w:val="0"/>
      <w:divBdr>
        <w:top w:val="none" w:sz="0" w:space="0" w:color="auto"/>
        <w:left w:val="none" w:sz="0" w:space="0" w:color="auto"/>
        <w:bottom w:val="none" w:sz="0" w:space="0" w:color="auto"/>
        <w:right w:val="none" w:sz="0" w:space="0" w:color="auto"/>
      </w:divBdr>
      <w:divsChild>
        <w:div w:id="195704530">
          <w:marLeft w:val="360"/>
          <w:marRight w:val="0"/>
          <w:marTop w:val="200"/>
          <w:marBottom w:val="0"/>
          <w:divBdr>
            <w:top w:val="none" w:sz="0" w:space="0" w:color="auto"/>
            <w:left w:val="none" w:sz="0" w:space="0" w:color="auto"/>
            <w:bottom w:val="none" w:sz="0" w:space="0" w:color="auto"/>
            <w:right w:val="none" w:sz="0" w:space="0" w:color="auto"/>
          </w:divBdr>
        </w:div>
        <w:div w:id="599992710">
          <w:marLeft w:val="360"/>
          <w:marRight w:val="0"/>
          <w:marTop w:val="200"/>
          <w:marBottom w:val="0"/>
          <w:divBdr>
            <w:top w:val="none" w:sz="0" w:space="0" w:color="auto"/>
            <w:left w:val="none" w:sz="0" w:space="0" w:color="auto"/>
            <w:bottom w:val="none" w:sz="0" w:space="0" w:color="auto"/>
            <w:right w:val="none" w:sz="0" w:space="0" w:color="auto"/>
          </w:divBdr>
        </w:div>
        <w:div w:id="1092429575">
          <w:marLeft w:val="360"/>
          <w:marRight w:val="0"/>
          <w:marTop w:val="200"/>
          <w:marBottom w:val="0"/>
          <w:divBdr>
            <w:top w:val="none" w:sz="0" w:space="0" w:color="auto"/>
            <w:left w:val="none" w:sz="0" w:space="0" w:color="auto"/>
            <w:bottom w:val="none" w:sz="0" w:space="0" w:color="auto"/>
            <w:right w:val="none" w:sz="0" w:space="0" w:color="auto"/>
          </w:divBdr>
        </w:div>
        <w:div w:id="1869753858">
          <w:marLeft w:val="360"/>
          <w:marRight w:val="0"/>
          <w:marTop w:val="200"/>
          <w:marBottom w:val="0"/>
          <w:divBdr>
            <w:top w:val="none" w:sz="0" w:space="0" w:color="auto"/>
            <w:left w:val="none" w:sz="0" w:space="0" w:color="auto"/>
            <w:bottom w:val="none" w:sz="0" w:space="0" w:color="auto"/>
            <w:right w:val="none" w:sz="0" w:space="0" w:color="auto"/>
          </w:divBdr>
        </w:div>
      </w:divsChild>
    </w:div>
    <w:div w:id="1918661341">
      <w:bodyDiv w:val="1"/>
      <w:marLeft w:val="0"/>
      <w:marRight w:val="0"/>
      <w:marTop w:val="0"/>
      <w:marBottom w:val="0"/>
      <w:divBdr>
        <w:top w:val="none" w:sz="0" w:space="0" w:color="auto"/>
        <w:left w:val="none" w:sz="0" w:space="0" w:color="auto"/>
        <w:bottom w:val="none" w:sz="0" w:space="0" w:color="auto"/>
        <w:right w:val="none" w:sz="0" w:space="0" w:color="auto"/>
      </w:divBdr>
    </w:div>
    <w:div w:id="21035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4/indicator4-vietnames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ped/spp/indicators/indicator4/indicator4-portugues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spp/indicators/indicator4/indicator4-haitiancreol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doe.mass.edu/sped/spp/indicators/indicator4/indicator4-chinese.docx" TargetMode="External"/><Relationship Id="rId4" Type="http://schemas.openxmlformats.org/officeDocument/2006/relationships/customXml" Target="../customXml/item4.xml"/><Relationship Id="rId9" Type="http://schemas.openxmlformats.org/officeDocument/2006/relationships/hyperlink" Target="https://www.doe.mass.edu/sped/spp/indicators/indicator4/" TargetMode="External"/><Relationship Id="rId14" Type="http://schemas.openxmlformats.org/officeDocument/2006/relationships/hyperlink" Target="https://www.doe.mass.edu/sped/spp/indicators/indicator4/indicator4-slides-spanish.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customXml/itemProps2.xml><?xml version="1.0" encoding="utf-8"?>
<ds:datastoreItem xmlns:ds="http://schemas.openxmlformats.org/officeDocument/2006/customXml" ds:itemID="{2ECD42FD-C69D-42C2-B278-F6D4CDFE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AE461-19BD-4B8F-B96F-E764C5287699}">
  <ds:schemaRefs>
    <ds:schemaRef ds:uri="http://schemas.microsoft.com/sharepoint/v3/contenttype/forms"/>
  </ds:schemaRefs>
</ds:datastoreItem>
</file>

<file path=customXml/itemProps4.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1239</Words>
  <Characters>6423</Characters>
  <Application>Microsoft Office Word</Application>
  <DocSecurity>0</DocSecurity>
  <Lines>256</Lines>
  <Paragraphs>159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4A: Suspension/Expulsion — Spanish</dc:title>
  <dc:subject/>
  <dc:creator>DESE</dc:creator>
  <cp:keywords/>
  <dc:description/>
  <cp:lastModifiedBy>Zou, Dong (EOE)</cp:lastModifiedBy>
  <cp:revision>12</cp:revision>
  <dcterms:created xsi:type="dcterms:W3CDTF">2022-10-31T16:22:00Z</dcterms:created>
  <dcterms:modified xsi:type="dcterms:W3CDTF">2023-01-17T16:14:00Z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2023 12:00AM</vt:lpwstr>
  </property>
</Properties>
</file>