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ADA8" w14:textId="40145126" w:rsidR="004D7235" w:rsidRPr="00B9692E" w:rsidRDefault="00BB2899" w:rsidP="009379A0">
      <w:pPr>
        <w:pStyle w:val="Heading1"/>
        <w:rPr>
          <w:b/>
          <w:bCs/>
        </w:rPr>
      </w:pPr>
      <w:r w:rsidRPr="00B9692E">
        <w:rPr>
          <w:b/>
          <w:bCs/>
        </w:rPr>
        <w:t>7o. Indicador: Resultados de pré-escola para estudantes com IEP</w:t>
      </w:r>
    </w:p>
    <w:p w14:paraId="6679F725" w14:textId="77777777" w:rsidR="00CD7A03" w:rsidRPr="00CD7A03" w:rsidRDefault="00CD7A03" w:rsidP="00CD7A03"/>
    <w:p w14:paraId="5B37F5E7" w14:textId="64D4E8F9" w:rsidR="00D14FCC" w:rsidRPr="00D14FCC" w:rsidRDefault="00D14FCC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</w:rPr>
        <w:t xml:space="preserve">O que é o 7o. Indicador? </w:t>
      </w:r>
    </w:p>
    <w:p w14:paraId="398D0764" w14:textId="467B45E4" w:rsidR="00234DF6" w:rsidRDefault="0018790E" w:rsidP="00BE2415">
      <w:pPr>
        <w:spacing w:after="120"/>
        <w:rPr>
          <w:b/>
          <w:bCs/>
        </w:rPr>
      </w:pPr>
      <w:r>
        <w:t xml:space="preserve">O </w:t>
      </w:r>
      <w:hyperlink r:id="rId9" w:anchor=":~:text=IDC%20has%20created%20a%20laminated%20card%20that%20states,back%20includes%20information%20about%20the%20SSIP%20Indicator%20B17." w:history="1">
        <w:r w:rsidR="00CD7A03">
          <w:rPr>
            <w:rStyle w:val="Hyperlink"/>
            <w:b/>
            <w:color w:val="2F5496" w:themeColor="accent1" w:themeShade="BF"/>
          </w:rPr>
          <w:t>7o. Indicador</w:t>
        </w:r>
      </w:hyperlink>
      <w:r w:rsidR="00CD7A03">
        <w:rPr>
          <w:color w:val="2F5496" w:themeColor="accent1" w:themeShade="BF"/>
        </w:rPr>
        <w:t xml:space="preserve"> </w:t>
      </w:r>
      <w:r w:rsidR="00CD7A03">
        <w:rPr>
          <w:b/>
        </w:rPr>
        <w:t xml:space="preserve">considera a percentagem de crianças (de 3 a 5 anos) na pré-escola, </w:t>
      </w:r>
      <w:r w:rsidR="00391CE0">
        <w:rPr>
          <w:b/>
        </w:rPr>
        <w:t xml:space="preserve">com </w:t>
      </w:r>
      <w:hyperlink r:id="rId10" w:history="1">
        <w:r w:rsidR="00391CE0">
          <w:rPr>
            <w:rStyle w:val="Hyperlink"/>
            <w:b/>
          </w:rPr>
          <w:t>IEP</w:t>
        </w:r>
      </w:hyperlink>
      <w:r w:rsidR="00391CE0">
        <w:rPr>
          <w:b/>
        </w:rPr>
        <w:t xml:space="preserve">, </w:t>
      </w:r>
      <w:r w:rsidR="00CD7A03">
        <w:rPr>
          <w:b/>
        </w:rPr>
        <w:t xml:space="preserve">que demonstrou melhora </w:t>
      </w:r>
      <w:r w:rsidR="00391CE0">
        <w:rPr>
          <w:b/>
        </w:rPr>
        <w:t>em</w:t>
      </w:r>
      <w:r w:rsidR="00CD7A03">
        <w:rPr>
          <w:b/>
        </w:rPr>
        <w:t xml:space="preserve"> 3 resultados: </w:t>
      </w:r>
    </w:p>
    <w:p w14:paraId="32CC35FE" w14:textId="5D60AE73" w:rsidR="00234DF6" w:rsidRPr="00234DF6" w:rsidRDefault="00234DF6" w:rsidP="00234DF6">
      <w:pPr>
        <w:pStyle w:val="ListParagraph"/>
        <w:numPr>
          <w:ilvl w:val="0"/>
          <w:numId w:val="1"/>
        </w:numPr>
      </w:pPr>
      <w:r>
        <w:t xml:space="preserve">Habilidades socioemocionais positivas </w:t>
      </w:r>
    </w:p>
    <w:p w14:paraId="5A04133F" w14:textId="59EA725F" w:rsidR="000A2649" w:rsidRDefault="00525EFD" w:rsidP="00234DF6">
      <w:pPr>
        <w:pStyle w:val="ListParagraph"/>
        <w:numPr>
          <w:ilvl w:val="0"/>
          <w:numId w:val="1"/>
        </w:numPr>
      </w:pPr>
      <w:r>
        <w:t xml:space="preserve">Aquisição e utilização de conhecimento e habilidades </w:t>
      </w:r>
    </w:p>
    <w:p w14:paraId="3EF9DDAC" w14:textId="3AED6FBA" w:rsidR="00234DF6" w:rsidRDefault="00234DF6" w:rsidP="00BE2415">
      <w:pPr>
        <w:pStyle w:val="ListParagraph"/>
        <w:numPr>
          <w:ilvl w:val="0"/>
          <w:numId w:val="1"/>
        </w:numPr>
        <w:spacing w:after="120"/>
      </w:pPr>
      <w:r>
        <w:t>Utilização de comportamentos aceitáveis para atender às próprias necessidades</w:t>
      </w:r>
    </w:p>
    <w:p w14:paraId="3C48A64A" w14:textId="7C3F8587" w:rsidR="00234DF6" w:rsidRDefault="00B32A23" w:rsidP="00BE2415">
      <w:pPr>
        <w:spacing w:after="120"/>
        <w:rPr>
          <w:b/>
          <w:bCs/>
        </w:rPr>
      </w:pPr>
      <w:r>
        <w:rPr>
          <w:b/>
        </w:rPr>
        <w:t>Cada resultado apresenta duas declarações: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211BB4" w14:paraId="74BAA250" w14:textId="77777777" w:rsidTr="001F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B4C6E7" w:themeFill="accent1" w:themeFillTint="66"/>
          </w:tcPr>
          <w:p w14:paraId="474ED023" w14:textId="3D478B2B" w:rsidR="00211BB4" w:rsidRPr="000D5F42" w:rsidRDefault="00211BB4" w:rsidP="00236453">
            <w:pPr>
              <w:rPr>
                <w:b w:val="0"/>
                <w:bCs w:val="0"/>
              </w:rPr>
            </w:pPr>
            <w:r>
              <w:rPr>
                <w:rFonts w:hAnsi="Calibri"/>
                <w:color w:val="000000" w:themeColor="text1"/>
              </w:rPr>
              <w:t>1a. declaração resumida</w:t>
            </w:r>
          </w:p>
        </w:tc>
        <w:tc>
          <w:tcPr>
            <w:tcW w:w="7735" w:type="dxa"/>
          </w:tcPr>
          <w:p w14:paraId="5A11B787" w14:textId="5159447A" w:rsidR="00211BB4" w:rsidRPr="000D5F42" w:rsidRDefault="00211BB4" w:rsidP="00236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Ansi="Calibri"/>
                <w:b w:val="0"/>
                <w:color w:val="000000" w:themeColor="text1"/>
              </w:rPr>
              <w:t>Das crianças da pré-escola, que entraram no programa com autorregulação abaixo da expectativa para a idade, a porcentagem que progrediu até o momento em que completou 6 anos de idade ou saiu do programa</w:t>
            </w:r>
          </w:p>
        </w:tc>
      </w:tr>
      <w:tr w:rsidR="00211BB4" w14:paraId="73D1206B" w14:textId="77777777" w:rsidTr="001F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B4C6E7" w:themeFill="accent1" w:themeFillTint="66"/>
          </w:tcPr>
          <w:p w14:paraId="31D63B15" w14:textId="731656A3" w:rsidR="00211BB4" w:rsidRPr="000D5F42" w:rsidRDefault="00211BB4" w:rsidP="00236453">
            <w:pPr>
              <w:rPr>
                <w:b w:val="0"/>
                <w:bCs w:val="0"/>
              </w:rPr>
            </w:pPr>
            <w:r>
              <w:rPr>
                <w:color w:val="000000" w:themeColor="dark1"/>
              </w:rPr>
              <w:t>2a. declaração resumida</w:t>
            </w:r>
          </w:p>
        </w:tc>
        <w:tc>
          <w:tcPr>
            <w:tcW w:w="7735" w:type="dxa"/>
          </w:tcPr>
          <w:p w14:paraId="36F1C2F6" w14:textId="451E1B5E" w:rsidR="00211BB4" w:rsidRPr="00211BB4" w:rsidRDefault="00211BB4" w:rsidP="00236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dark1"/>
              </w:rPr>
              <w:t xml:space="preserve">Porcentagem de crianças da pré-escola com autorregulação dentro da expectativa para a idade </w:t>
            </w:r>
            <w:r w:rsidR="00745D33">
              <w:rPr>
                <w:color w:val="000000" w:themeColor="dark1"/>
              </w:rPr>
              <w:t>até o momento em que</w:t>
            </w:r>
            <w:r>
              <w:rPr>
                <w:color w:val="000000" w:themeColor="dark1"/>
              </w:rPr>
              <w:t xml:space="preserve"> completou 6 anos</w:t>
            </w:r>
            <w:r w:rsidR="00745D33">
              <w:rPr>
                <w:color w:val="000000" w:themeColor="dark1"/>
              </w:rPr>
              <w:t xml:space="preserve"> de idade</w:t>
            </w:r>
            <w:r>
              <w:rPr>
                <w:color w:val="000000" w:themeColor="dark1"/>
              </w:rPr>
              <w:t xml:space="preserve"> ou saiu do programa</w:t>
            </w:r>
          </w:p>
        </w:tc>
      </w:tr>
    </w:tbl>
    <w:p w14:paraId="54F01580" w14:textId="2CEF36D7" w:rsidR="005E5347" w:rsidRPr="00377479" w:rsidRDefault="005E5347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</w:rPr>
        <w:t>Por que o 7o. Indicador é importante?</w:t>
      </w:r>
    </w:p>
    <w:p w14:paraId="482D3249" w14:textId="77777777" w:rsidR="0050262D" w:rsidRPr="004E5900" w:rsidRDefault="0050262D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eastAsia="Times New Roman" w:cstheme="minorHAnsi"/>
        </w:rPr>
      </w:pPr>
      <w:r>
        <w:t>A saúde socioemocional impacta o desenvolvimento e o aprendizado (</w:t>
      </w:r>
      <w:hyperlink r:id="rId11" w:history="1">
        <w:r>
          <w:rPr>
            <w:color w:val="0070C0"/>
            <w:u w:val="single"/>
          </w:rPr>
          <w:t>Associação Nacional para o Ensino Infantil - NAEYC, 2018</w:t>
        </w:r>
      </w:hyperlink>
      <w:r>
        <w:t>)</w:t>
      </w:r>
    </w:p>
    <w:p w14:paraId="08EF0765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>
        <w:t xml:space="preserve">Motivação e atitude em relação à escola </w:t>
      </w:r>
    </w:p>
    <w:p w14:paraId="54FB5E3E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>
        <w:t>Concentração e participação nas atividades da classe</w:t>
      </w:r>
    </w:p>
    <w:p w14:paraId="4A5B6556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>
        <w:t>Desempenho acadêmico</w:t>
      </w:r>
    </w:p>
    <w:p w14:paraId="2F4B74E7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>
        <w:t>Regulação emocional</w:t>
      </w:r>
    </w:p>
    <w:p w14:paraId="7CD08187" w14:textId="274AECDF" w:rsidR="0050262D" w:rsidRPr="004E5900" w:rsidRDefault="0050262D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eastAsia="Times New Roman" w:cstheme="minorHAnsi"/>
        </w:rPr>
      </w:pPr>
      <w:r>
        <w:t>O desenvolvimento socioemocional</w:t>
      </w:r>
      <w:r w:rsidR="00BA6BA6">
        <w:t xml:space="preserve"> e</w:t>
      </w:r>
      <w:r>
        <w:t xml:space="preserve"> cognitivo</w:t>
      </w:r>
      <w:r w:rsidR="00BA6BA6">
        <w:t>, assim como a</w:t>
      </w:r>
      <w:r>
        <w:t xml:space="preserve"> linguagem</w:t>
      </w:r>
      <w:r w:rsidR="00BA6BA6">
        <w:t>,</w:t>
      </w:r>
      <w:r>
        <w:t xml:space="preserve"> auxiliam na preparação da criança para o convívio escolar (</w:t>
      </w:r>
      <w:hyperlink r:id="rId12" w:anchor=":~:text=This%20brief%20summarizes%20early%20childhood%20through%20early%20postsecondary,early%20as%20prekindergarten%20and%20throughout%20their%20academic%20career." w:history="1">
        <w:r w:rsidR="00881C70">
          <w:rPr>
            <w:rStyle w:val="Hyperlink"/>
          </w:rPr>
          <w:t>Centro de Preparação e Sucesso no Ensino Superior e na Carreira</w:t>
        </w:r>
        <w:r>
          <w:rPr>
            <w:rStyle w:val="Hyperlink"/>
          </w:rPr>
          <w:t>, 2013</w:t>
        </w:r>
      </w:hyperlink>
      <w:r>
        <w:t>)</w:t>
      </w:r>
    </w:p>
    <w:p w14:paraId="067FD48D" w14:textId="3DC7895F" w:rsidR="00234DF6" w:rsidRPr="00D14FCC" w:rsidRDefault="00D14FCC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</w:rPr>
        <w:t xml:space="preserve">Dados do 7o. Indicador </w:t>
      </w:r>
    </w:p>
    <w:tbl>
      <w:tblPr>
        <w:tblStyle w:val="TableGrid"/>
        <w:tblW w:w="9407" w:type="dxa"/>
        <w:tblInd w:w="-5" w:type="dxa"/>
        <w:tblLook w:val="04A0" w:firstRow="1" w:lastRow="0" w:firstColumn="1" w:lastColumn="0" w:noHBand="0" w:noVBand="1"/>
      </w:tblPr>
      <w:tblGrid>
        <w:gridCol w:w="5355"/>
        <w:gridCol w:w="4052"/>
      </w:tblGrid>
      <w:tr w:rsidR="00211BB4" w14:paraId="3B67AD80" w14:textId="77777777" w:rsidTr="0CE91731">
        <w:trPr>
          <w:trHeight w:val="264"/>
        </w:trPr>
        <w:tc>
          <w:tcPr>
            <w:tcW w:w="5355" w:type="dxa"/>
            <w:shd w:val="clear" w:color="auto" w:fill="B4C6E7" w:themeFill="accent1" w:themeFillTint="66"/>
          </w:tcPr>
          <w:p w14:paraId="184F8CB8" w14:textId="3BFB85BC" w:rsidR="00211BB4" w:rsidRPr="00211BB4" w:rsidRDefault="00211BB4" w:rsidP="00211BB4">
            <w:pPr>
              <w:contextualSpacing/>
              <w:rPr>
                <w:rFonts w:eastAsiaTheme="minorEastAsia" w:cstheme="minorHAnsi"/>
                <w:b/>
                <w:bCs/>
                <w:kern w:val="24"/>
                <w:position w:val="1"/>
              </w:rPr>
            </w:pPr>
            <w:r>
              <w:rPr>
                <w:b/>
              </w:rPr>
              <w:t>Coleta de dados:</w:t>
            </w:r>
          </w:p>
        </w:tc>
        <w:tc>
          <w:tcPr>
            <w:tcW w:w="4052" w:type="dxa"/>
            <w:shd w:val="clear" w:color="auto" w:fill="B4C6E7" w:themeFill="accent1" w:themeFillTint="66"/>
          </w:tcPr>
          <w:p w14:paraId="3ED63979" w14:textId="03A43123" w:rsidR="00211BB4" w:rsidRPr="00211BB4" w:rsidRDefault="00211BB4" w:rsidP="00211BB4">
            <w:pPr>
              <w:contextualSpacing/>
              <w:rPr>
                <w:rFonts w:eastAsiaTheme="minorEastAsia" w:cstheme="minorHAnsi"/>
                <w:b/>
                <w:bCs/>
                <w:kern w:val="24"/>
                <w:position w:val="1"/>
              </w:rPr>
            </w:pPr>
            <w:r>
              <w:rPr>
                <w:b/>
              </w:rPr>
              <w:t xml:space="preserve">Constatações importantes </w:t>
            </w:r>
          </w:p>
        </w:tc>
      </w:tr>
      <w:tr w:rsidR="00211BB4" w14:paraId="385946AA" w14:textId="77777777" w:rsidTr="0CE91731">
        <w:trPr>
          <w:trHeight w:val="264"/>
        </w:trPr>
        <w:tc>
          <w:tcPr>
            <w:tcW w:w="5355" w:type="dxa"/>
          </w:tcPr>
          <w:p w14:paraId="367F47B7" w14:textId="5727EE43" w:rsidR="00211BB4" w:rsidRPr="00211BB4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</w:rPr>
            </w:pPr>
            <w:r>
              <w:t>Dados de famílias e professores</w:t>
            </w:r>
          </w:p>
          <w:p w14:paraId="01B4A18D" w14:textId="6D8FE8EE" w:rsidR="00211BB4" w:rsidRPr="00377479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</w:rPr>
            </w:pPr>
            <w:r>
              <w:t>Considera as habilidades da criança e</w:t>
            </w:r>
            <w:r w:rsidR="00881C70">
              <w:t>m</w:t>
            </w:r>
            <w:r>
              <w:t xml:space="preserve"> </w:t>
            </w:r>
            <w:r w:rsidR="00BA6BA6">
              <w:t>momento</w:t>
            </w:r>
            <w:r>
              <w:t>s e locais diferentes</w:t>
            </w:r>
          </w:p>
          <w:p w14:paraId="5540447C" w14:textId="0FA0492A" w:rsidR="00211BB4" w:rsidRPr="00211BB4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</w:rPr>
            </w:pPr>
            <w:r>
              <w:t xml:space="preserve">Compara as habilidades da criança com colegas </w:t>
            </w:r>
            <w:r w:rsidR="00BA6BA6">
              <w:t>d</w:t>
            </w:r>
            <w:r>
              <w:t>a mesma idade</w:t>
            </w:r>
          </w:p>
          <w:p w14:paraId="1377D979" w14:textId="1D90359F" w:rsidR="00211BB4" w:rsidRPr="00211BB4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</w:rPr>
            </w:pPr>
            <w:r>
              <w:t>Escala de classificação de 7 pontos</w:t>
            </w:r>
          </w:p>
        </w:tc>
        <w:tc>
          <w:tcPr>
            <w:tcW w:w="4052" w:type="dxa"/>
          </w:tcPr>
          <w:p w14:paraId="225F933D" w14:textId="329F8C4A" w:rsidR="00211BB4" w:rsidRPr="00234DF6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bCs/>
              </w:rPr>
            </w:pPr>
            <w:r>
              <w:t>Os dados permaneceram iguais (</w:t>
            </w:r>
            <w:r w:rsidR="00E1390E">
              <w:t xml:space="preserve">Anos fiscais federais (FFY) de </w:t>
            </w:r>
            <w:r>
              <w:t>2016</w:t>
            </w:r>
            <w:r w:rsidR="00E1390E">
              <w:t xml:space="preserve"> a </w:t>
            </w:r>
            <w:r>
              <w:t>2019)</w:t>
            </w:r>
          </w:p>
          <w:p w14:paraId="77DEC5DA" w14:textId="1A0A0647" w:rsidR="00211BB4" w:rsidRPr="00211BB4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bCs/>
              </w:rPr>
            </w:pPr>
            <w:r>
              <w:t>A maioria das metas não fo</w:t>
            </w:r>
            <w:r w:rsidR="00BA6BA6">
              <w:t>i</w:t>
            </w:r>
            <w:r>
              <w:t xml:space="preserve"> alcançada (FFY2016-FFY2019)</w:t>
            </w:r>
          </w:p>
        </w:tc>
      </w:tr>
    </w:tbl>
    <w:p w14:paraId="27CBE610" w14:textId="54CD5F2E" w:rsidR="00825FD0" w:rsidRPr="009E145D" w:rsidRDefault="00AE6DF7" w:rsidP="00D14FCC">
      <w:pPr>
        <w:pStyle w:val="Heading2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</w:rPr>
        <w:t>Nos gráficos abaixo, a linha de base é o FFY17. A linha de base é um ponto de partida. Ela é utilizada para medir o progresso nos anos subsequentes.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13"/>
        <w:gridCol w:w="1330"/>
        <w:gridCol w:w="1099"/>
        <w:gridCol w:w="1369"/>
        <w:gridCol w:w="1099"/>
        <w:gridCol w:w="1481"/>
        <w:gridCol w:w="1331"/>
      </w:tblGrid>
      <w:tr w:rsidR="00B6593A" w14:paraId="495C8F3D" w14:textId="77777777" w:rsidTr="00893589">
        <w:trPr>
          <w:trHeight w:val="161"/>
        </w:trPr>
        <w:tc>
          <w:tcPr>
            <w:tcW w:w="0" w:type="auto"/>
            <w:shd w:val="clear" w:color="auto" w:fill="B4C6E7" w:themeFill="accent1" w:themeFillTint="66"/>
          </w:tcPr>
          <w:p w14:paraId="6A4C35E7" w14:textId="53CDEF80" w:rsidR="00B26C60" w:rsidRPr="00B26C60" w:rsidRDefault="00B26C60">
            <w:pPr>
              <w:rPr>
                <w:b/>
                <w:bCs/>
              </w:rPr>
            </w:pPr>
            <w:r>
              <w:rPr>
                <w:b/>
              </w:rPr>
              <w:t>7A</w:t>
            </w:r>
          </w:p>
        </w:tc>
        <w:tc>
          <w:tcPr>
            <w:tcW w:w="7709" w:type="dxa"/>
            <w:gridSpan w:val="6"/>
            <w:shd w:val="clear" w:color="auto" w:fill="B4C6E7" w:themeFill="accent1" w:themeFillTint="66"/>
          </w:tcPr>
          <w:p w14:paraId="37F129FA" w14:textId="49CEE7D2" w:rsidR="00133F0A" w:rsidRPr="6A4C35E7" w:rsidRDefault="00133F0A" w:rsidP="6A4C35E7">
            <w:pPr>
              <w:rPr>
                <w:b/>
                <w:bCs/>
              </w:rPr>
            </w:pPr>
            <w:r>
              <w:rPr>
                <w:b/>
              </w:rPr>
              <w:t>Dados sobre habilidades socioemocionais positivas</w:t>
            </w:r>
          </w:p>
        </w:tc>
      </w:tr>
      <w:tr w:rsidR="00AB52DF" w14:paraId="4891C229" w14:textId="77777777" w:rsidTr="00893589">
        <w:trPr>
          <w:trHeight w:val="269"/>
        </w:trPr>
        <w:tc>
          <w:tcPr>
            <w:tcW w:w="1613" w:type="dxa"/>
          </w:tcPr>
          <w:p w14:paraId="7EEFF5A4" w14:textId="77777777" w:rsidR="00F1347A" w:rsidRDefault="00F1347A" w:rsidP="002B33D2"/>
        </w:tc>
        <w:tc>
          <w:tcPr>
            <w:tcW w:w="1330" w:type="dxa"/>
          </w:tcPr>
          <w:p w14:paraId="07233894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Dados do FFY17 (N=651)</w:t>
            </w:r>
          </w:p>
        </w:tc>
        <w:tc>
          <w:tcPr>
            <w:tcW w:w="1099" w:type="dxa"/>
          </w:tcPr>
          <w:p w14:paraId="6D3E4634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Meta do FFY17</w:t>
            </w:r>
          </w:p>
        </w:tc>
        <w:tc>
          <w:tcPr>
            <w:tcW w:w="1369" w:type="dxa"/>
          </w:tcPr>
          <w:p w14:paraId="09181AD3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Dados do FFY18 (n=1045)</w:t>
            </w:r>
          </w:p>
        </w:tc>
        <w:tc>
          <w:tcPr>
            <w:tcW w:w="1099" w:type="dxa"/>
          </w:tcPr>
          <w:p w14:paraId="7CC9D3B6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Meta do FFY18</w:t>
            </w:r>
          </w:p>
        </w:tc>
        <w:tc>
          <w:tcPr>
            <w:tcW w:w="1481" w:type="dxa"/>
          </w:tcPr>
          <w:p w14:paraId="65CBDCC2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Dados do FFY19 (n=1150)</w:t>
            </w:r>
          </w:p>
        </w:tc>
        <w:tc>
          <w:tcPr>
            <w:tcW w:w="1328" w:type="dxa"/>
          </w:tcPr>
          <w:p w14:paraId="58E0F131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Meta do FFY19</w:t>
            </w:r>
          </w:p>
        </w:tc>
      </w:tr>
      <w:tr w:rsidR="00AB52DF" w14:paraId="19E6BB8B" w14:textId="77777777" w:rsidTr="00893589">
        <w:trPr>
          <w:trHeight w:val="431"/>
        </w:trPr>
        <w:tc>
          <w:tcPr>
            <w:tcW w:w="1613" w:type="dxa"/>
          </w:tcPr>
          <w:p w14:paraId="1AD2852D" w14:textId="2B7C0124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1a. declaração resumida</w:t>
            </w:r>
          </w:p>
        </w:tc>
        <w:tc>
          <w:tcPr>
            <w:tcW w:w="1330" w:type="dxa"/>
          </w:tcPr>
          <w:p w14:paraId="410C78EE" w14:textId="41559966" w:rsidR="00F1347A" w:rsidRDefault="00F1347A" w:rsidP="002B33D2">
            <w:r>
              <w:t>85,61%</w:t>
            </w:r>
          </w:p>
        </w:tc>
        <w:tc>
          <w:tcPr>
            <w:tcW w:w="1099" w:type="dxa"/>
          </w:tcPr>
          <w:p w14:paraId="16882B70" w14:textId="77777777" w:rsidR="00F1347A" w:rsidRDefault="00F1347A" w:rsidP="002B33D2">
            <w:r>
              <w:t>--</w:t>
            </w:r>
          </w:p>
        </w:tc>
        <w:tc>
          <w:tcPr>
            <w:tcW w:w="1369" w:type="dxa"/>
          </w:tcPr>
          <w:p w14:paraId="00F72D86" w14:textId="6BBB5AF5" w:rsidR="00F1347A" w:rsidRDefault="00F1347A" w:rsidP="002B33D2">
            <w:r>
              <w:t>85,17%</w:t>
            </w:r>
          </w:p>
        </w:tc>
        <w:tc>
          <w:tcPr>
            <w:tcW w:w="1099" w:type="dxa"/>
          </w:tcPr>
          <w:p w14:paraId="259A2C3F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86%</w:t>
            </w:r>
          </w:p>
        </w:tc>
        <w:tc>
          <w:tcPr>
            <w:tcW w:w="1481" w:type="dxa"/>
          </w:tcPr>
          <w:p w14:paraId="26A03A11" w14:textId="2A97D1A2" w:rsidR="00F1347A" w:rsidRDefault="00F1347A" w:rsidP="002B33D2">
            <w:r>
              <w:t>82,44%</w:t>
            </w:r>
          </w:p>
        </w:tc>
        <w:tc>
          <w:tcPr>
            <w:tcW w:w="1328" w:type="dxa"/>
          </w:tcPr>
          <w:p w14:paraId="6BE06099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86%</w:t>
            </w:r>
          </w:p>
        </w:tc>
      </w:tr>
      <w:tr w:rsidR="00AB52DF" w14:paraId="78923A84" w14:textId="77777777" w:rsidTr="00893589">
        <w:trPr>
          <w:trHeight w:val="242"/>
        </w:trPr>
        <w:tc>
          <w:tcPr>
            <w:tcW w:w="1613" w:type="dxa"/>
          </w:tcPr>
          <w:p w14:paraId="43B57938" w14:textId="3CE287CE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2a. declaração resumida</w:t>
            </w:r>
          </w:p>
        </w:tc>
        <w:tc>
          <w:tcPr>
            <w:tcW w:w="1330" w:type="dxa"/>
          </w:tcPr>
          <w:p w14:paraId="0BD77C8D" w14:textId="43E96988" w:rsidR="00F1347A" w:rsidRDefault="00F1347A" w:rsidP="002B33D2">
            <w:r>
              <w:t>47,0%</w:t>
            </w:r>
          </w:p>
        </w:tc>
        <w:tc>
          <w:tcPr>
            <w:tcW w:w="1099" w:type="dxa"/>
          </w:tcPr>
          <w:p w14:paraId="64D1DC0D" w14:textId="77777777" w:rsidR="00F1347A" w:rsidRDefault="00F1347A" w:rsidP="002B33D2">
            <w:r>
              <w:t>--</w:t>
            </w:r>
          </w:p>
        </w:tc>
        <w:tc>
          <w:tcPr>
            <w:tcW w:w="1369" w:type="dxa"/>
          </w:tcPr>
          <w:p w14:paraId="61F3CCB7" w14:textId="6C8D5E0A" w:rsidR="00F1347A" w:rsidRDefault="00F1347A" w:rsidP="002B33D2">
            <w:r>
              <w:t>46,03%</w:t>
            </w:r>
          </w:p>
        </w:tc>
        <w:tc>
          <w:tcPr>
            <w:tcW w:w="1099" w:type="dxa"/>
          </w:tcPr>
          <w:p w14:paraId="61017B32" w14:textId="3195FF66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50%</w:t>
            </w:r>
          </w:p>
        </w:tc>
        <w:tc>
          <w:tcPr>
            <w:tcW w:w="1481" w:type="dxa"/>
          </w:tcPr>
          <w:p w14:paraId="10E00A87" w14:textId="3C8E806D" w:rsidR="00F1347A" w:rsidRDefault="00F1347A" w:rsidP="002B33D2">
            <w:r>
              <w:t>43,74%</w:t>
            </w:r>
          </w:p>
        </w:tc>
        <w:tc>
          <w:tcPr>
            <w:tcW w:w="1328" w:type="dxa"/>
          </w:tcPr>
          <w:p w14:paraId="7E009CF4" w14:textId="7031B974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</w:rPr>
              <w:t>50%</w:t>
            </w:r>
          </w:p>
        </w:tc>
      </w:tr>
    </w:tbl>
    <w:p w14:paraId="4A49EEBC" w14:textId="000DB45C" w:rsidR="00893589" w:rsidRDefault="00893589" w:rsidP="00F1347A"/>
    <w:p w14:paraId="28CCDA61" w14:textId="55E2947A" w:rsidR="00893589" w:rsidRDefault="00893589" w:rsidP="00F1347A"/>
    <w:p w14:paraId="7067009B" w14:textId="77777777" w:rsidR="00F1347A" w:rsidRPr="00F1347A" w:rsidRDefault="00F1347A" w:rsidP="00F1347A"/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617"/>
        <w:gridCol w:w="1333"/>
        <w:gridCol w:w="1178"/>
        <w:gridCol w:w="1391"/>
        <w:gridCol w:w="1101"/>
        <w:gridCol w:w="1548"/>
        <w:gridCol w:w="1154"/>
      </w:tblGrid>
      <w:tr w:rsidR="00B6593A" w14:paraId="1EFA99A0" w14:textId="77777777" w:rsidTr="0091720B">
        <w:trPr>
          <w:trHeight w:val="220"/>
        </w:trPr>
        <w:tc>
          <w:tcPr>
            <w:tcW w:w="1617" w:type="dxa"/>
            <w:shd w:val="clear" w:color="auto" w:fill="B4C6E7" w:themeFill="accent1" w:themeFillTint="66"/>
          </w:tcPr>
          <w:p w14:paraId="38E8997E" w14:textId="10B80796" w:rsidR="00B6593A" w:rsidRPr="00B0460A" w:rsidRDefault="00B6593A" w:rsidP="002B33D2">
            <w:pPr>
              <w:rPr>
                <w:b/>
                <w:bCs/>
              </w:rPr>
            </w:pPr>
            <w:r>
              <w:rPr>
                <w:b/>
              </w:rPr>
              <w:t xml:space="preserve">7B </w:t>
            </w:r>
          </w:p>
        </w:tc>
        <w:tc>
          <w:tcPr>
            <w:tcW w:w="7705" w:type="dxa"/>
            <w:gridSpan w:val="6"/>
            <w:shd w:val="clear" w:color="auto" w:fill="B4C6E7" w:themeFill="accent1" w:themeFillTint="66"/>
          </w:tcPr>
          <w:p w14:paraId="03B702FF" w14:textId="06790448" w:rsidR="00B6593A" w:rsidRPr="00B0460A" w:rsidRDefault="00B6593A" w:rsidP="002B33D2">
            <w:pPr>
              <w:rPr>
                <w:b/>
                <w:bCs/>
              </w:rPr>
            </w:pPr>
            <w:r>
              <w:rPr>
                <w:b/>
              </w:rPr>
              <w:t>Dados sobre aquisição e utilização de conhecimento e habilidades</w:t>
            </w:r>
          </w:p>
        </w:tc>
      </w:tr>
      <w:tr w:rsidR="00AB52DF" w14:paraId="620FA72D" w14:textId="77777777" w:rsidTr="00893589">
        <w:trPr>
          <w:trHeight w:val="521"/>
        </w:trPr>
        <w:tc>
          <w:tcPr>
            <w:tcW w:w="1617" w:type="dxa"/>
          </w:tcPr>
          <w:p w14:paraId="0EE45051" w14:textId="77777777" w:rsidR="00672107" w:rsidRDefault="00672107" w:rsidP="002B33D2"/>
        </w:tc>
        <w:tc>
          <w:tcPr>
            <w:tcW w:w="1333" w:type="dxa"/>
          </w:tcPr>
          <w:p w14:paraId="6CB498F3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Dados do FFY17 (N=651)</w:t>
            </w:r>
          </w:p>
        </w:tc>
        <w:tc>
          <w:tcPr>
            <w:tcW w:w="1178" w:type="dxa"/>
          </w:tcPr>
          <w:p w14:paraId="675C899A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Meta do FFY17</w:t>
            </w:r>
          </w:p>
        </w:tc>
        <w:tc>
          <w:tcPr>
            <w:tcW w:w="1391" w:type="dxa"/>
          </w:tcPr>
          <w:p w14:paraId="6417C55D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Dados do FFY18 (n=1045)</w:t>
            </w:r>
          </w:p>
        </w:tc>
        <w:tc>
          <w:tcPr>
            <w:tcW w:w="1101" w:type="dxa"/>
          </w:tcPr>
          <w:p w14:paraId="7EFB7A9D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Meta do FFY18</w:t>
            </w:r>
          </w:p>
        </w:tc>
        <w:tc>
          <w:tcPr>
            <w:tcW w:w="1548" w:type="dxa"/>
          </w:tcPr>
          <w:p w14:paraId="109BE694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Dados do FFY19 (n=1150)</w:t>
            </w:r>
          </w:p>
        </w:tc>
        <w:tc>
          <w:tcPr>
            <w:tcW w:w="1150" w:type="dxa"/>
          </w:tcPr>
          <w:p w14:paraId="47E973E3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Meta do FFY19</w:t>
            </w:r>
          </w:p>
        </w:tc>
      </w:tr>
      <w:tr w:rsidR="00AB52DF" w14:paraId="17EC5CCF" w14:textId="77777777" w:rsidTr="00893589">
        <w:trPr>
          <w:trHeight w:val="467"/>
        </w:trPr>
        <w:tc>
          <w:tcPr>
            <w:tcW w:w="1617" w:type="dxa"/>
          </w:tcPr>
          <w:p w14:paraId="0D8D4FC7" w14:textId="481DC9E3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1a. declaração resumida</w:t>
            </w:r>
          </w:p>
        </w:tc>
        <w:tc>
          <w:tcPr>
            <w:tcW w:w="1333" w:type="dxa"/>
          </w:tcPr>
          <w:p w14:paraId="4111AD9B" w14:textId="4E18CF4E" w:rsidR="00672107" w:rsidRDefault="00672107" w:rsidP="002B33D2">
            <w:r>
              <w:t>84,90%</w:t>
            </w:r>
          </w:p>
        </w:tc>
        <w:tc>
          <w:tcPr>
            <w:tcW w:w="1178" w:type="dxa"/>
          </w:tcPr>
          <w:p w14:paraId="5E3DDA60" w14:textId="77777777" w:rsidR="00672107" w:rsidRDefault="00672107" w:rsidP="002B33D2">
            <w:r>
              <w:t>--</w:t>
            </w:r>
          </w:p>
        </w:tc>
        <w:tc>
          <w:tcPr>
            <w:tcW w:w="1391" w:type="dxa"/>
          </w:tcPr>
          <w:p w14:paraId="05EF8CEA" w14:textId="331965C8" w:rsidR="00672107" w:rsidRDefault="00672107" w:rsidP="002B33D2">
            <w:r>
              <w:t>83,56%</w:t>
            </w:r>
          </w:p>
        </w:tc>
        <w:tc>
          <w:tcPr>
            <w:tcW w:w="1101" w:type="dxa"/>
          </w:tcPr>
          <w:p w14:paraId="51FDA009" w14:textId="58476C06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</w:rPr>
              <w:t>85%</w:t>
            </w:r>
          </w:p>
        </w:tc>
        <w:tc>
          <w:tcPr>
            <w:tcW w:w="1548" w:type="dxa"/>
          </w:tcPr>
          <w:p w14:paraId="09F14780" w14:textId="29998810" w:rsidR="00672107" w:rsidRDefault="00672107" w:rsidP="002B33D2">
            <w:r>
              <w:t>84,20%</w:t>
            </w:r>
          </w:p>
        </w:tc>
        <w:tc>
          <w:tcPr>
            <w:tcW w:w="1150" w:type="dxa"/>
          </w:tcPr>
          <w:p w14:paraId="08509EE5" w14:textId="3C914573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85%</w:t>
            </w:r>
          </w:p>
        </w:tc>
      </w:tr>
      <w:tr w:rsidR="00AB52DF" w14:paraId="544809D6" w14:textId="77777777" w:rsidTr="00893589">
        <w:trPr>
          <w:trHeight w:val="413"/>
        </w:trPr>
        <w:tc>
          <w:tcPr>
            <w:tcW w:w="1617" w:type="dxa"/>
          </w:tcPr>
          <w:p w14:paraId="61B12BB7" w14:textId="27042C31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</w:rPr>
              <w:t>2a. declaração resumida</w:t>
            </w:r>
          </w:p>
        </w:tc>
        <w:tc>
          <w:tcPr>
            <w:tcW w:w="1333" w:type="dxa"/>
          </w:tcPr>
          <w:p w14:paraId="2FE68E0A" w14:textId="72DFCF30" w:rsidR="00672107" w:rsidRDefault="00633B88" w:rsidP="002B33D2">
            <w:r>
              <w:t>48,39%</w:t>
            </w:r>
          </w:p>
        </w:tc>
        <w:tc>
          <w:tcPr>
            <w:tcW w:w="1178" w:type="dxa"/>
          </w:tcPr>
          <w:p w14:paraId="3AE3EF9F" w14:textId="77777777" w:rsidR="00672107" w:rsidRDefault="00672107" w:rsidP="002B33D2">
            <w:r>
              <w:t>--</w:t>
            </w:r>
          </w:p>
        </w:tc>
        <w:tc>
          <w:tcPr>
            <w:tcW w:w="1391" w:type="dxa"/>
          </w:tcPr>
          <w:p w14:paraId="556C865F" w14:textId="68201783" w:rsidR="00672107" w:rsidRDefault="00633B88" w:rsidP="002B33D2">
            <w:r>
              <w:t>46,60%</w:t>
            </w:r>
          </w:p>
        </w:tc>
        <w:tc>
          <w:tcPr>
            <w:tcW w:w="1101" w:type="dxa"/>
          </w:tcPr>
          <w:p w14:paraId="3F6BBBA9" w14:textId="030680AB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</w:rPr>
              <w:t>49%</w:t>
            </w:r>
          </w:p>
        </w:tc>
        <w:tc>
          <w:tcPr>
            <w:tcW w:w="1548" w:type="dxa"/>
          </w:tcPr>
          <w:p w14:paraId="230B115F" w14:textId="3C92D169" w:rsidR="00672107" w:rsidRDefault="00633B88" w:rsidP="002B33D2">
            <w:r>
              <w:t>45,04%</w:t>
            </w:r>
          </w:p>
        </w:tc>
        <w:tc>
          <w:tcPr>
            <w:tcW w:w="1150" w:type="dxa"/>
          </w:tcPr>
          <w:p w14:paraId="7AA62E38" w14:textId="3FB9E765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</w:rPr>
              <w:t>49%</w:t>
            </w:r>
          </w:p>
        </w:tc>
      </w:tr>
    </w:tbl>
    <w:p w14:paraId="3B3004F1" w14:textId="77777777" w:rsidR="00F1347A" w:rsidRPr="00F1347A" w:rsidRDefault="00F1347A" w:rsidP="00F1347A"/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652"/>
        <w:gridCol w:w="1303"/>
        <w:gridCol w:w="1185"/>
        <w:gridCol w:w="1422"/>
        <w:gridCol w:w="1066"/>
        <w:gridCol w:w="1414"/>
        <w:gridCol w:w="1314"/>
      </w:tblGrid>
      <w:tr w:rsidR="00B6593A" w14:paraId="2BF08EC5" w14:textId="77777777" w:rsidTr="00893589">
        <w:trPr>
          <w:trHeight w:val="58"/>
        </w:trPr>
        <w:tc>
          <w:tcPr>
            <w:tcW w:w="1652" w:type="dxa"/>
            <w:shd w:val="clear" w:color="auto" w:fill="B4C6E7" w:themeFill="accent1" w:themeFillTint="66"/>
          </w:tcPr>
          <w:p w14:paraId="5423CE74" w14:textId="13FE5D1A" w:rsidR="00B6593A" w:rsidRPr="00B0460A" w:rsidRDefault="00B6593A" w:rsidP="00DB1447">
            <w:pPr>
              <w:rPr>
                <w:b/>
                <w:bCs/>
              </w:rPr>
            </w:pPr>
            <w:bookmarkStart w:id="0" w:name="_Hlk83900585"/>
            <w:r>
              <w:rPr>
                <w:b/>
              </w:rPr>
              <w:t xml:space="preserve">7C </w:t>
            </w:r>
          </w:p>
        </w:tc>
        <w:tc>
          <w:tcPr>
            <w:tcW w:w="7704" w:type="dxa"/>
            <w:gridSpan w:val="6"/>
            <w:shd w:val="clear" w:color="auto" w:fill="B4C6E7" w:themeFill="accent1" w:themeFillTint="66"/>
          </w:tcPr>
          <w:p w14:paraId="38518F3B" w14:textId="5C9E985C" w:rsidR="00B6593A" w:rsidRPr="00B0460A" w:rsidRDefault="00B6593A" w:rsidP="00DB1447">
            <w:pPr>
              <w:rPr>
                <w:b/>
                <w:bCs/>
              </w:rPr>
            </w:pPr>
            <w:r>
              <w:rPr>
                <w:b/>
              </w:rPr>
              <w:t>Utilização de comportamentos apropriados para atender às próprias necessidades</w:t>
            </w:r>
          </w:p>
        </w:tc>
      </w:tr>
      <w:tr w:rsidR="00DB1447" w14:paraId="459460DC" w14:textId="77777777" w:rsidTr="00893589">
        <w:trPr>
          <w:trHeight w:val="620"/>
        </w:trPr>
        <w:tc>
          <w:tcPr>
            <w:tcW w:w="1652" w:type="dxa"/>
          </w:tcPr>
          <w:p w14:paraId="2659285B" w14:textId="77777777" w:rsidR="00DB1447" w:rsidRDefault="00DB1447" w:rsidP="00DB1447"/>
        </w:tc>
        <w:tc>
          <w:tcPr>
            <w:tcW w:w="1303" w:type="dxa"/>
          </w:tcPr>
          <w:p w14:paraId="278E691A" w14:textId="54B1C413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Dados do FFY17 (N=651)</w:t>
            </w:r>
          </w:p>
        </w:tc>
        <w:tc>
          <w:tcPr>
            <w:tcW w:w="1185" w:type="dxa"/>
          </w:tcPr>
          <w:p w14:paraId="1D62C80A" w14:textId="3B6BF2D4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Meta do FFY17</w:t>
            </w:r>
          </w:p>
        </w:tc>
        <w:tc>
          <w:tcPr>
            <w:tcW w:w="1422" w:type="dxa"/>
          </w:tcPr>
          <w:p w14:paraId="71A0E6F2" w14:textId="4BC96FA4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Dados do FFY18 (n=1045)</w:t>
            </w:r>
          </w:p>
        </w:tc>
        <w:tc>
          <w:tcPr>
            <w:tcW w:w="1066" w:type="dxa"/>
          </w:tcPr>
          <w:p w14:paraId="44C8BE69" w14:textId="018B77AE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Meta do FFY18</w:t>
            </w:r>
          </w:p>
        </w:tc>
        <w:tc>
          <w:tcPr>
            <w:tcW w:w="1414" w:type="dxa"/>
          </w:tcPr>
          <w:p w14:paraId="643D9C95" w14:textId="453FAEA2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Dados do FFY19 (n=1150)</w:t>
            </w:r>
          </w:p>
        </w:tc>
        <w:tc>
          <w:tcPr>
            <w:tcW w:w="1311" w:type="dxa"/>
          </w:tcPr>
          <w:p w14:paraId="2AACE330" w14:textId="7C1AAC8D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Meta do FFY19</w:t>
            </w:r>
          </w:p>
        </w:tc>
      </w:tr>
      <w:tr w:rsidR="00DB1447" w14:paraId="0A75E227" w14:textId="77777777" w:rsidTr="00893589">
        <w:trPr>
          <w:trHeight w:val="611"/>
        </w:trPr>
        <w:tc>
          <w:tcPr>
            <w:tcW w:w="1652" w:type="dxa"/>
          </w:tcPr>
          <w:p w14:paraId="6854A924" w14:textId="5F24B965" w:rsidR="00DB1447" w:rsidRPr="00B0460A" w:rsidRDefault="00DB1447" w:rsidP="00DB1447">
            <w:pPr>
              <w:rPr>
                <w:b/>
                <w:bCs/>
              </w:rPr>
            </w:pPr>
            <w:r>
              <w:rPr>
                <w:b/>
              </w:rPr>
              <w:t>1a. declaração resumida</w:t>
            </w:r>
          </w:p>
        </w:tc>
        <w:tc>
          <w:tcPr>
            <w:tcW w:w="1303" w:type="dxa"/>
          </w:tcPr>
          <w:p w14:paraId="37260517" w14:textId="0909D23E" w:rsidR="00DB1447" w:rsidRDefault="0052062C" w:rsidP="00DB1447">
            <w:r>
              <w:t>85,51%</w:t>
            </w:r>
          </w:p>
        </w:tc>
        <w:tc>
          <w:tcPr>
            <w:tcW w:w="1185" w:type="dxa"/>
          </w:tcPr>
          <w:p w14:paraId="489E2476" w14:textId="41EAE91A" w:rsidR="00DB1447" w:rsidRDefault="0052062C" w:rsidP="00DB1447">
            <w:r>
              <w:t>--</w:t>
            </w:r>
          </w:p>
        </w:tc>
        <w:tc>
          <w:tcPr>
            <w:tcW w:w="1422" w:type="dxa"/>
          </w:tcPr>
          <w:p w14:paraId="75E9AC4A" w14:textId="44EF3F22" w:rsidR="00DB1447" w:rsidRDefault="0052062C" w:rsidP="00DB1447">
            <w:r>
              <w:t>86,17%</w:t>
            </w:r>
          </w:p>
        </w:tc>
        <w:tc>
          <w:tcPr>
            <w:tcW w:w="1066" w:type="dxa"/>
          </w:tcPr>
          <w:p w14:paraId="20838287" w14:textId="48E8606A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86%</w:t>
            </w:r>
          </w:p>
        </w:tc>
        <w:tc>
          <w:tcPr>
            <w:tcW w:w="1414" w:type="dxa"/>
          </w:tcPr>
          <w:p w14:paraId="70334164" w14:textId="3BFCA033" w:rsidR="00DB1447" w:rsidRDefault="0052062C" w:rsidP="00DB1447">
            <w:r>
              <w:t>84,43%</w:t>
            </w:r>
          </w:p>
        </w:tc>
        <w:tc>
          <w:tcPr>
            <w:tcW w:w="1311" w:type="dxa"/>
          </w:tcPr>
          <w:p w14:paraId="79609D0D" w14:textId="45E31ED5" w:rsidR="00DB1447" w:rsidRPr="00B0460A" w:rsidRDefault="00B0460A" w:rsidP="00DB1447">
            <w:pPr>
              <w:rPr>
                <w:b/>
                <w:bCs/>
              </w:rPr>
            </w:pPr>
            <w:r>
              <w:rPr>
                <w:b/>
              </w:rPr>
              <w:t>86%</w:t>
            </w:r>
          </w:p>
        </w:tc>
      </w:tr>
      <w:tr w:rsidR="00DB1447" w14:paraId="1BBDC869" w14:textId="77777777" w:rsidTr="00893589">
        <w:trPr>
          <w:trHeight w:val="539"/>
        </w:trPr>
        <w:tc>
          <w:tcPr>
            <w:tcW w:w="1652" w:type="dxa"/>
          </w:tcPr>
          <w:p w14:paraId="6771B155" w14:textId="73627B11" w:rsidR="00DB1447" w:rsidRPr="00B0460A" w:rsidRDefault="00DB1447" w:rsidP="00DB1447">
            <w:pPr>
              <w:rPr>
                <w:b/>
                <w:bCs/>
              </w:rPr>
            </w:pPr>
            <w:r>
              <w:rPr>
                <w:b/>
              </w:rPr>
              <w:t>2a. declaração resumida</w:t>
            </w:r>
          </w:p>
        </w:tc>
        <w:tc>
          <w:tcPr>
            <w:tcW w:w="1303" w:type="dxa"/>
          </w:tcPr>
          <w:p w14:paraId="6A4E3F74" w14:textId="08343FC5" w:rsidR="00DB1447" w:rsidRDefault="0052062C" w:rsidP="00DB1447">
            <w:r>
              <w:t>60,46%</w:t>
            </w:r>
          </w:p>
        </w:tc>
        <w:tc>
          <w:tcPr>
            <w:tcW w:w="1185" w:type="dxa"/>
          </w:tcPr>
          <w:p w14:paraId="56E52AF8" w14:textId="701D374C" w:rsidR="00DB1447" w:rsidRDefault="0052062C" w:rsidP="00DB1447">
            <w:r>
              <w:t>--</w:t>
            </w:r>
          </w:p>
        </w:tc>
        <w:tc>
          <w:tcPr>
            <w:tcW w:w="1422" w:type="dxa"/>
          </w:tcPr>
          <w:p w14:paraId="30AE402A" w14:textId="62BB66DA" w:rsidR="00DB1447" w:rsidRDefault="0052062C" w:rsidP="00DB1447">
            <w:r>
              <w:t>60,67%</w:t>
            </w:r>
          </w:p>
        </w:tc>
        <w:tc>
          <w:tcPr>
            <w:tcW w:w="1066" w:type="dxa"/>
          </w:tcPr>
          <w:p w14:paraId="27E05D75" w14:textId="3736CD0D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</w:rPr>
              <w:t>63%</w:t>
            </w:r>
          </w:p>
        </w:tc>
        <w:tc>
          <w:tcPr>
            <w:tcW w:w="1414" w:type="dxa"/>
          </w:tcPr>
          <w:p w14:paraId="656E0EF1" w14:textId="2D2A1B2C" w:rsidR="00DB1447" w:rsidRDefault="00B0460A" w:rsidP="00DB1447">
            <w:r>
              <w:t>58,26%</w:t>
            </w:r>
          </w:p>
        </w:tc>
        <w:tc>
          <w:tcPr>
            <w:tcW w:w="1311" w:type="dxa"/>
          </w:tcPr>
          <w:p w14:paraId="4A4031A8" w14:textId="32301E76" w:rsidR="00DB1447" w:rsidRPr="00B0460A" w:rsidRDefault="00B0460A" w:rsidP="00DB1447">
            <w:pPr>
              <w:rPr>
                <w:b/>
                <w:bCs/>
              </w:rPr>
            </w:pPr>
            <w:r>
              <w:rPr>
                <w:b/>
              </w:rPr>
              <w:t>63%</w:t>
            </w:r>
          </w:p>
        </w:tc>
      </w:tr>
      <w:bookmarkEnd w:id="0"/>
    </w:tbl>
    <w:p w14:paraId="0C959A62" w14:textId="77777777" w:rsidR="00DB1447" w:rsidRPr="00DB1447" w:rsidRDefault="00DB1447" w:rsidP="00DB1447"/>
    <w:p w14:paraId="28D994F0" w14:textId="1B32C322" w:rsidR="0009018E" w:rsidRPr="00C855E0" w:rsidRDefault="0009018E" w:rsidP="0009018E">
      <w:pPr>
        <w:spacing w:before="120" w:after="0"/>
        <w:rPr>
          <w:b/>
          <w:bCs/>
          <w:sz w:val="24"/>
          <w:szCs w:val="24"/>
        </w:rPr>
      </w:pPr>
      <w:r>
        <w:rPr>
          <w:b/>
          <w:sz w:val="24"/>
          <w:u w:val="single"/>
        </w:rPr>
        <w:t>Informação adicional</w:t>
      </w:r>
      <w:r>
        <w:rPr>
          <w:b/>
          <w:sz w:val="24"/>
        </w:rPr>
        <w:t>:</w:t>
      </w:r>
    </w:p>
    <w:p w14:paraId="3E338152" w14:textId="77777777" w:rsidR="0009018E" w:rsidRDefault="00D779B6" w:rsidP="0009018E">
      <w:pPr>
        <w:spacing w:after="0"/>
      </w:pPr>
      <w:hyperlink r:id="rId13">
        <w:r w:rsidR="00CD7A03">
          <w:rPr>
            <w:rStyle w:val="Hyperlink"/>
          </w:rPr>
          <w:t>DESE - Educação Especial Infantil</w:t>
        </w:r>
      </w:hyperlink>
    </w:p>
    <w:p w14:paraId="58F5013A" w14:textId="77777777" w:rsidR="0009018E" w:rsidRDefault="00D779B6" w:rsidP="0009018E">
      <w:pPr>
        <w:spacing w:after="0"/>
      </w:pPr>
      <w:hyperlink r:id="rId14" w:history="1">
        <w:r w:rsidR="00CD7A03">
          <w:rPr>
            <w:color w:val="0070C0"/>
            <w:u w:val="single"/>
          </w:rPr>
          <w:t>Centro de Assistência Técnica do Ensino Infantil (ECTA):</w:t>
        </w:r>
      </w:hyperlink>
      <w:hyperlink r:id="rId15" w:history="1">
        <w:r w:rsidR="00CD7A03">
          <w:rPr>
            <w:color w:val="0070C0"/>
            <w:u w:val="single"/>
          </w:rPr>
          <w:t xml:space="preserve"> Resultados das crianças</w:t>
        </w:r>
      </w:hyperlink>
    </w:p>
    <w:p w14:paraId="4A3CF120" w14:textId="48ADFC6C" w:rsidR="0009018E" w:rsidRDefault="00D779B6" w:rsidP="0009018E">
      <w:pPr>
        <w:spacing w:after="0"/>
        <w:rPr>
          <w:color w:val="0070C0"/>
          <w:u w:val="single"/>
        </w:rPr>
      </w:pPr>
      <w:hyperlink r:id="rId16" w:history="1">
        <w:r w:rsidR="00CD7A03">
          <w:rPr>
            <w:color w:val="0070C0"/>
            <w:u w:val="single"/>
          </w:rPr>
          <w:t xml:space="preserve">Impacto da </w:t>
        </w:r>
        <w:r w:rsidR="00AD5660">
          <w:rPr>
            <w:color w:val="0070C0"/>
            <w:u w:val="single"/>
          </w:rPr>
          <w:t>P</w:t>
        </w:r>
        <w:r w:rsidR="00CD7A03">
          <w:rPr>
            <w:color w:val="0070C0"/>
            <w:u w:val="single"/>
          </w:rPr>
          <w:t>andemia d</w:t>
        </w:r>
        <w:r w:rsidR="00AD5660">
          <w:rPr>
            <w:color w:val="0070C0"/>
            <w:u w:val="single"/>
          </w:rPr>
          <w:t>e</w:t>
        </w:r>
        <w:r w:rsidR="00CD7A03">
          <w:rPr>
            <w:color w:val="0070C0"/>
            <w:u w:val="single"/>
          </w:rPr>
          <w:t xml:space="preserve"> COVID-19 nas</w:t>
        </w:r>
        <w:r w:rsidR="00AD5660">
          <w:rPr>
            <w:color w:val="0070C0"/>
            <w:u w:val="single"/>
          </w:rPr>
          <w:t xml:space="preserve"> C</w:t>
        </w:r>
        <w:r w:rsidR="00CD7A03">
          <w:rPr>
            <w:color w:val="0070C0"/>
            <w:u w:val="single"/>
          </w:rPr>
          <w:t>rianças, nos Jovens e nas Famílias</w:t>
        </w:r>
      </w:hyperlink>
    </w:p>
    <w:p w14:paraId="66536448" w14:textId="35F367CC" w:rsidR="00CD7A03" w:rsidRDefault="00CD7A03" w:rsidP="0009018E">
      <w:pPr>
        <w:spacing w:after="0"/>
        <w:rPr>
          <w:color w:val="0070C0"/>
          <w:u w:val="single"/>
        </w:rPr>
      </w:pPr>
    </w:p>
    <w:p w14:paraId="75181FE0" w14:textId="6D6ECFE1" w:rsidR="00CD7A03" w:rsidRDefault="00CD7A03" w:rsidP="00CD7A03">
      <w:pPr>
        <w:rPr>
          <w:b/>
        </w:rPr>
      </w:pPr>
      <w:r>
        <w:rPr>
          <w:b/>
        </w:rPr>
        <w:t>Saiba mais sobre o 7o. Indicador:</w:t>
      </w:r>
    </w:p>
    <w:p w14:paraId="6F1EF5A9" w14:textId="4E0E5430" w:rsidR="00F50683" w:rsidRPr="00B9692E" w:rsidRDefault="00D779B6" w:rsidP="00F50683">
      <w:pPr>
        <w:pStyle w:val="ListParagraph"/>
        <w:numPr>
          <w:ilvl w:val="0"/>
          <w:numId w:val="11"/>
        </w:numPr>
        <w:spacing w:after="0" w:line="240" w:lineRule="auto"/>
        <w:rPr>
          <w:color w:val="2F5496" w:themeColor="accent1" w:themeShade="BF"/>
          <w:u w:val="single"/>
        </w:rPr>
      </w:pPr>
      <w:hyperlink r:id="rId17" w:history="1">
        <w:r w:rsidR="00F50683" w:rsidRPr="00D779B6">
          <w:rPr>
            <w:rStyle w:val="Hyperlink"/>
          </w:rPr>
          <w:t>Apresentação em PowerPoint</w:t>
        </w:r>
      </w:hyperlink>
    </w:p>
    <w:p w14:paraId="4F29D06A" w14:textId="77777777" w:rsidR="00F50683" w:rsidRPr="000A4B26" w:rsidRDefault="00F50683" w:rsidP="00CD7A03">
      <w:pPr>
        <w:rPr>
          <w:rFonts w:cstheme="minorHAnsi"/>
          <w:b/>
          <w:bCs/>
          <w:szCs w:val="24"/>
        </w:rPr>
      </w:pPr>
    </w:p>
    <w:p w14:paraId="1C8F2202" w14:textId="77777777" w:rsidR="00CD7A03" w:rsidRDefault="00CD7A03" w:rsidP="00CD7A03">
      <w:pPr>
        <w:rPr>
          <w:b/>
          <w:bCs/>
        </w:rPr>
      </w:pPr>
    </w:p>
    <w:p w14:paraId="3A187135" w14:textId="77777777" w:rsidR="00CD7A03" w:rsidRPr="00A829C9" w:rsidRDefault="00CD7A03" w:rsidP="00CD7A03">
      <w:pPr>
        <w:spacing w:after="0"/>
        <w:rPr>
          <w:color w:val="0070C0"/>
        </w:rPr>
      </w:pPr>
    </w:p>
    <w:p w14:paraId="7E75E7B0" w14:textId="77777777" w:rsidR="00CD7A03" w:rsidRPr="00A829C9" w:rsidRDefault="00CD7A03" w:rsidP="0009018E">
      <w:pPr>
        <w:spacing w:after="0"/>
        <w:rPr>
          <w:color w:val="0070C0"/>
        </w:rPr>
      </w:pPr>
    </w:p>
    <w:sectPr w:rsidR="00CD7A03" w:rsidRPr="00A8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1E3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6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7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0963"/>
    <w:multiLevelType w:val="hybridMultilevel"/>
    <w:tmpl w:val="88467B42"/>
    <w:lvl w:ilvl="0" w:tplc="1EA62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6"/>
    <w:rsid w:val="000265B2"/>
    <w:rsid w:val="00031C01"/>
    <w:rsid w:val="000407C0"/>
    <w:rsid w:val="00063A3E"/>
    <w:rsid w:val="0009018E"/>
    <w:rsid w:val="000A0CA5"/>
    <w:rsid w:val="000A2649"/>
    <w:rsid w:val="000A6254"/>
    <w:rsid w:val="000D25C4"/>
    <w:rsid w:val="000D5F42"/>
    <w:rsid w:val="000F194D"/>
    <w:rsid w:val="00127372"/>
    <w:rsid w:val="00133F0A"/>
    <w:rsid w:val="00144DEB"/>
    <w:rsid w:val="001641E1"/>
    <w:rsid w:val="0018790E"/>
    <w:rsid w:val="001A68E1"/>
    <w:rsid w:val="001B543E"/>
    <w:rsid w:val="001C3548"/>
    <w:rsid w:val="001F0557"/>
    <w:rsid w:val="00211BB4"/>
    <w:rsid w:val="00214B39"/>
    <w:rsid w:val="00225985"/>
    <w:rsid w:val="00234DF6"/>
    <w:rsid w:val="00236453"/>
    <w:rsid w:val="00246310"/>
    <w:rsid w:val="00265095"/>
    <w:rsid w:val="00292F66"/>
    <w:rsid w:val="002B2FE0"/>
    <w:rsid w:val="002C10EA"/>
    <w:rsid w:val="002C3CD9"/>
    <w:rsid w:val="002C6CC8"/>
    <w:rsid w:val="002E6D55"/>
    <w:rsid w:val="002F1258"/>
    <w:rsid w:val="00326A7D"/>
    <w:rsid w:val="003320A5"/>
    <w:rsid w:val="00377479"/>
    <w:rsid w:val="0038658C"/>
    <w:rsid w:val="00390A48"/>
    <w:rsid w:val="00391CE0"/>
    <w:rsid w:val="003A1864"/>
    <w:rsid w:val="003B3A39"/>
    <w:rsid w:val="004203F8"/>
    <w:rsid w:val="00450780"/>
    <w:rsid w:val="00465018"/>
    <w:rsid w:val="00480F4F"/>
    <w:rsid w:val="004A11D3"/>
    <w:rsid w:val="004D199C"/>
    <w:rsid w:val="004D7235"/>
    <w:rsid w:val="004E0037"/>
    <w:rsid w:val="004F68F1"/>
    <w:rsid w:val="0050262D"/>
    <w:rsid w:val="00506AB3"/>
    <w:rsid w:val="0052062C"/>
    <w:rsid w:val="00525EFD"/>
    <w:rsid w:val="00550799"/>
    <w:rsid w:val="00563EE0"/>
    <w:rsid w:val="00581B3C"/>
    <w:rsid w:val="00595B31"/>
    <w:rsid w:val="005A1F50"/>
    <w:rsid w:val="005C7305"/>
    <w:rsid w:val="005E5347"/>
    <w:rsid w:val="005F3ED8"/>
    <w:rsid w:val="00602554"/>
    <w:rsid w:val="006072B3"/>
    <w:rsid w:val="006103D6"/>
    <w:rsid w:val="00633B88"/>
    <w:rsid w:val="00643AE1"/>
    <w:rsid w:val="0065111C"/>
    <w:rsid w:val="00655026"/>
    <w:rsid w:val="00672107"/>
    <w:rsid w:val="00680D12"/>
    <w:rsid w:val="006811A9"/>
    <w:rsid w:val="00696D50"/>
    <w:rsid w:val="006A0318"/>
    <w:rsid w:val="00707D25"/>
    <w:rsid w:val="00707FC2"/>
    <w:rsid w:val="00711CBF"/>
    <w:rsid w:val="00734EC6"/>
    <w:rsid w:val="00745D33"/>
    <w:rsid w:val="007737ED"/>
    <w:rsid w:val="00774563"/>
    <w:rsid w:val="007840C3"/>
    <w:rsid w:val="007A2F7D"/>
    <w:rsid w:val="007B2620"/>
    <w:rsid w:val="007D1B47"/>
    <w:rsid w:val="00807494"/>
    <w:rsid w:val="00825121"/>
    <w:rsid w:val="00825FD0"/>
    <w:rsid w:val="00831F2C"/>
    <w:rsid w:val="00873D90"/>
    <w:rsid w:val="00875502"/>
    <w:rsid w:val="00881C70"/>
    <w:rsid w:val="008854CC"/>
    <w:rsid w:val="00893589"/>
    <w:rsid w:val="008C3EE7"/>
    <w:rsid w:val="008E42E4"/>
    <w:rsid w:val="008E6CE9"/>
    <w:rsid w:val="00914BE8"/>
    <w:rsid w:val="0091720B"/>
    <w:rsid w:val="009379A0"/>
    <w:rsid w:val="009772A2"/>
    <w:rsid w:val="00977FB0"/>
    <w:rsid w:val="009A5F2F"/>
    <w:rsid w:val="009C38BA"/>
    <w:rsid w:val="009E145D"/>
    <w:rsid w:val="00A342C5"/>
    <w:rsid w:val="00A616D3"/>
    <w:rsid w:val="00A63F6B"/>
    <w:rsid w:val="00AB52DF"/>
    <w:rsid w:val="00AD5660"/>
    <w:rsid w:val="00AD66DA"/>
    <w:rsid w:val="00AE39AE"/>
    <w:rsid w:val="00AE6DF7"/>
    <w:rsid w:val="00B0460A"/>
    <w:rsid w:val="00B26C60"/>
    <w:rsid w:val="00B32A23"/>
    <w:rsid w:val="00B51964"/>
    <w:rsid w:val="00B61D4E"/>
    <w:rsid w:val="00B64C55"/>
    <w:rsid w:val="00B6593A"/>
    <w:rsid w:val="00B9692E"/>
    <w:rsid w:val="00BA6BA6"/>
    <w:rsid w:val="00BB2899"/>
    <w:rsid w:val="00BB2DFD"/>
    <w:rsid w:val="00BC3F1F"/>
    <w:rsid w:val="00BE2415"/>
    <w:rsid w:val="00BF6941"/>
    <w:rsid w:val="00C06ED8"/>
    <w:rsid w:val="00C32E56"/>
    <w:rsid w:val="00C61BEA"/>
    <w:rsid w:val="00C72012"/>
    <w:rsid w:val="00C83F13"/>
    <w:rsid w:val="00C855E0"/>
    <w:rsid w:val="00CA05BE"/>
    <w:rsid w:val="00CA28FA"/>
    <w:rsid w:val="00CB6927"/>
    <w:rsid w:val="00CC1B25"/>
    <w:rsid w:val="00CC2357"/>
    <w:rsid w:val="00CD7A03"/>
    <w:rsid w:val="00D056E8"/>
    <w:rsid w:val="00D10EEB"/>
    <w:rsid w:val="00D14FCC"/>
    <w:rsid w:val="00D457AB"/>
    <w:rsid w:val="00D603B4"/>
    <w:rsid w:val="00D667AD"/>
    <w:rsid w:val="00D779B6"/>
    <w:rsid w:val="00D96F34"/>
    <w:rsid w:val="00DA15DD"/>
    <w:rsid w:val="00DB1447"/>
    <w:rsid w:val="00DC116E"/>
    <w:rsid w:val="00DF10AD"/>
    <w:rsid w:val="00E1390E"/>
    <w:rsid w:val="00E56BF1"/>
    <w:rsid w:val="00EB4DF5"/>
    <w:rsid w:val="00EC5391"/>
    <w:rsid w:val="00EF4C0A"/>
    <w:rsid w:val="00F1347A"/>
    <w:rsid w:val="00F50683"/>
    <w:rsid w:val="00F571BC"/>
    <w:rsid w:val="00F9186A"/>
    <w:rsid w:val="00F93C61"/>
    <w:rsid w:val="00FB6F9A"/>
    <w:rsid w:val="00FF369A"/>
    <w:rsid w:val="0CE0B683"/>
    <w:rsid w:val="0CE91731"/>
    <w:rsid w:val="12CD3CE6"/>
    <w:rsid w:val="19C70C5D"/>
    <w:rsid w:val="1E8BC248"/>
    <w:rsid w:val="2A8AEB0C"/>
    <w:rsid w:val="3231A882"/>
    <w:rsid w:val="36079B18"/>
    <w:rsid w:val="3D524D4C"/>
    <w:rsid w:val="3F89807C"/>
    <w:rsid w:val="4C2D1C79"/>
    <w:rsid w:val="551E8025"/>
    <w:rsid w:val="6A4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ped/ecs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rscenter.org/products-resources/predictors-postsecondary-success" TargetMode="External"/><Relationship Id="rId17" Type="http://schemas.openxmlformats.org/officeDocument/2006/relationships/hyperlink" Target="https://www.doe.mass.edu/sped/spp/indicators/indicator7/indicator7-slides-portuguese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bcc.harvard.edu/sites/default/files/impact_of_the_covid-19_pandemic_on_children_youth_and_families_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eyc.org/resources/pubs/yc/mar2018/promoting-social-and-emotional-healt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tacenter.org/eco/pages/childoutcomes.asp" TargetMode="External"/><Relationship Id="rId10" Type="http://schemas.openxmlformats.org/officeDocument/2006/relationships/hyperlink" Target="https://www.doe.mass.edu/sped/iep/default.htm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hyperlink" Target="https://ectacenter.org/eco/pages/childoutcom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15D5BC-C814-4C82-B135-C54E83083E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0228F-F629-45D3-9A7F-D8D9CF7D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7: Preschool Outcomes for Students with IEPs — Portuguese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7: Preschool Outcomes for Students with IEPs — Portuguese</dc:title>
  <dc:subject/>
  <dc:creator>DESE</dc:creator>
  <cp:keywords/>
  <dc:description/>
  <cp:lastModifiedBy>Zou, Dong (EOE)</cp:lastModifiedBy>
  <cp:revision>9</cp:revision>
  <dcterms:created xsi:type="dcterms:W3CDTF">2021-12-04T16:12:00Z</dcterms:created>
  <dcterms:modified xsi:type="dcterms:W3CDTF">2022-02-14T16:21:00Z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