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ECEC8" w14:textId="3E74A8CB" w:rsidR="00B74C02" w:rsidRPr="003535E4" w:rsidRDefault="00B74C02" w:rsidP="00041B43">
      <w:pPr>
        <w:pStyle w:val="Heading1"/>
        <w:spacing w:before="0" w:after="240"/>
        <w:rPr>
          <w:b/>
          <w:bCs/>
        </w:rPr>
      </w:pPr>
      <w:r w:rsidRPr="003535E4">
        <w:rPr>
          <w:b/>
          <w:bCs/>
        </w:rPr>
        <w:t>8o. Indicador: Envolvimento dos pais - estudantes com IEP</w:t>
      </w:r>
    </w:p>
    <w:p w14:paraId="58BB07E8" w14:textId="77777777" w:rsidR="00041B43" w:rsidRPr="00D30DF1" w:rsidRDefault="00041B43" w:rsidP="00041B43">
      <w:pPr>
        <w:pStyle w:val="NoSpacing"/>
        <w:spacing w:before="120" w:after="120"/>
        <w:rPr>
          <w:b/>
          <w:bCs/>
          <w:sz w:val="22"/>
        </w:rPr>
      </w:pPr>
      <w:r>
        <w:rPr>
          <w:b/>
          <w:sz w:val="22"/>
        </w:rPr>
        <w:t>O que é o 8o. Indicador?</w:t>
      </w:r>
    </w:p>
    <w:p w14:paraId="6528AF6C" w14:textId="01254338" w:rsidR="00295593" w:rsidRPr="00D30DF1" w:rsidRDefault="00DE257C" w:rsidP="00041B43">
      <w:pPr>
        <w:pStyle w:val="NoSpacing"/>
        <w:spacing w:before="120" w:after="120"/>
        <w:rPr>
          <w:rFonts w:ascii="Times New Roman" w:hAnsi="Times New Roman" w:cs="Times New Roman"/>
          <w:szCs w:val="24"/>
        </w:rPr>
      </w:pPr>
      <w:r>
        <w:rPr>
          <w:sz w:val="22"/>
        </w:rPr>
        <w:t xml:space="preserve">O </w:t>
      </w:r>
      <w:r w:rsidRPr="00FF78F8">
        <w:rPr>
          <w:sz w:val="22"/>
        </w:rPr>
        <w:t>8o. Indicador</w:t>
      </w:r>
      <w:r>
        <w:rPr>
          <w:sz w:val="22"/>
        </w:rPr>
        <w:t xml:space="preserve"> </w:t>
      </w:r>
      <w:r>
        <w:rPr>
          <w:rStyle w:val="normaltextrun"/>
          <w:rFonts w:ascii="Calibri" w:hAnsi="Calibri"/>
          <w:sz w:val="22"/>
          <w:shd w:val="clear" w:color="auto" w:fill="FFFFFF"/>
        </w:rPr>
        <w:t>informa a porcentagem de pais cujos filhos recebem serviços de educação especial</w:t>
      </w:r>
      <w:r w:rsidR="001028E1">
        <w:rPr>
          <w:rStyle w:val="normaltextrun"/>
          <w:rFonts w:ascii="Calibri" w:hAnsi="Calibri"/>
          <w:sz w:val="22"/>
          <w:shd w:val="clear" w:color="auto" w:fill="FFFFFF"/>
        </w:rPr>
        <w:t>,</w:t>
      </w:r>
      <w:r>
        <w:rPr>
          <w:rStyle w:val="normaltextrun"/>
          <w:rFonts w:ascii="Calibri" w:hAnsi="Calibri"/>
          <w:sz w:val="22"/>
          <w:shd w:val="clear" w:color="auto" w:fill="FFFFFF"/>
        </w:rPr>
        <w:t xml:space="preserve"> que relatam que as escolas viabilizaram o envolvimento dos pais como meio de melhorar os serviços e os resultados para </w:t>
      </w:r>
      <w:r w:rsidR="001028E1">
        <w:rPr>
          <w:rStyle w:val="normaltextrun"/>
          <w:rFonts w:ascii="Calibri" w:hAnsi="Calibri"/>
          <w:sz w:val="22"/>
          <w:shd w:val="clear" w:color="auto" w:fill="FFFFFF"/>
        </w:rPr>
        <w:t xml:space="preserve">as </w:t>
      </w:r>
      <w:r>
        <w:rPr>
          <w:rStyle w:val="normaltextrun"/>
          <w:rFonts w:ascii="Calibri" w:hAnsi="Calibri"/>
          <w:sz w:val="22"/>
          <w:shd w:val="clear" w:color="auto" w:fill="FFFFFF"/>
        </w:rPr>
        <w:t>crianças com deficiência</w:t>
      </w:r>
    </w:p>
    <w:p w14:paraId="2EF7866D" w14:textId="64DEC20F" w:rsidR="00AF4254" w:rsidRPr="00D30DF1" w:rsidRDefault="00C81DA0" w:rsidP="00041B43">
      <w:pPr>
        <w:pStyle w:val="NoSpacing"/>
        <w:spacing w:before="120" w:after="120"/>
        <w:rPr>
          <w:b/>
          <w:bCs/>
          <w:sz w:val="22"/>
        </w:rPr>
      </w:pPr>
      <w:r>
        <w:rPr>
          <w:b/>
          <w:sz w:val="22"/>
        </w:rPr>
        <w:t>Para o 8o. Indicador, o que significa “pais”?</w:t>
      </w:r>
    </w:p>
    <w:p w14:paraId="799CEB1F" w14:textId="467501DD" w:rsidR="003C660B" w:rsidRPr="00D30DF1" w:rsidRDefault="001541D3" w:rsidP="00041B43">
      <w:pPr>
        <w:pStyle w:val="NoSpacing"/>
        <w:spacing w:before="120" w:after="120"/>
        <w:rPr>
          <w:rStyle w:val="normaltextrun"/>
          <w:rFonts w:ascii="Calibri" w:hAnsi="Calibri" w:cs="Calibri"/>
          <w:sz w:val="22"/>
          <w:shd w:val="clear" w:color="auto" w:fill="FFFFFF"/>
        </w:rPr>
      </w:pPr>
      <w:r>
        <w:rPr>
          <w:sz w:val="22"/>
        </w:rPr>
        <w:t>Para o 8o. Indicador, o termo “</w:t>
      </w:r>
      <w:r>
        <w:rPr>
          <w:rStyle w:val="normaltextrun"/>
          <w:rFonts w:ascii="Calibri" w:hAnsi="Calibri"/>
          <w:sz w:val="22"/>
          <w:shd w:val="clear" w:color="auto" w:fill="FFFFFF"/>
        </w:rPr>
        <w:t>pais” inclui pai, mãe, responsável legal, qualquer pessoa que atue como pai da criança, pais adotivos, ou responsável pela educação.</w:t>
      </w:r>
    </w:p>
    <w:p w14:paraId="249846B8" w14:textId="2AED3488" w:rsidR="00D21037" w:rsidRPr="00D30DF1" w:rsidRDefault="00F25B47" w:rsidP="00041B43">
      <w:pPr>
        <w:pStyle w:val="NoSpacing"/>
        <w:spacing w:before="120" w:after="120"/>
        <w:rPr>
          <w:b/>
          <w:bCs/>
          <w:sz w:val="22"/>
        </w:rPr>
      </w:pPr>
      <w:r>
        <w:rPr>
          <w:b/>
          <w:sz w:val="22"/>
        </w:rPr>
        <w:t>Por que o 8o. Indicador é importante?</w:t>
      </w:r>
    </w:p>
    <w:p w14:paraId="070EB11A" w14:textId="162B7C91" w:rsidR="00053D56" w:rsidRPr="00D30DF1" w:rsidRDefault="00F516C7" w:rsidP="00041B43">
      <w:pPr>
        <w:pStyle w:val="NoSpacing"/>
        <w:numPr>
          <w:ilvl w:val="0"/>
          <w:numId w:val="3"/>
        </w:numPr>
        <w:spacing w:before="120" w:after="120"/>
        <w:rPr>
          <w:rStyle w:val="normaltextrun"/>
          <w:rFonts w:ascii="Calibri" w:hAnsi="Calibri" w:cs="Calibri"/>
          <w:sz w:val="22"/>
          <w:shd w:val="clear" w:color="auto" w:fill="FFFFFF"/>
        </w:rPr>
      </w:pPr>
      <w:r>
        <w:rPr>
          <w:rStyle w:val="normaltextrun"/>
          <w:rFonts w:ascii="Calibri" w:hAnsi="Calibri"/>
          <w:sz w:val="22"/>
          <w:shd w:val="clear" w:color="auto" w:fill="FFFFFF"/>
        </w:rPr>
        <w:t>Na criança, o envolvimento dos pais impacta:</w:t>
      </w:r>
    </w:p>
    <w:p w14:paraId="1162D09D" w14:textId="2D5CAE82" w:rsidR="00053D56" w:rsidRPr="00D30DF1" w:rsidRDefault="00A63317" w:rsidP="00041B43">
      <w:pPr>
        <w:pStyle w:val="NoSpacing"/>
        <w:numPr>
          <w:ilvl w:val="1"/>
          <w:numId w:val="3"/>
        </w:numPr>
        <w:spacing w:before="120" w:after="120"/>
        <w:contextualSpacing/>
        <w:rPr>
          <w:rStyle w:val="normaltextrun"/>
          <w:rFonts w:ascii="Calibri" w:hAnsi="Calibri" w:cs="Calibri"/>
          <w:sz w:val="22"/>
          <w:shd w:val="clear" w:color="auto" w:fill="FFFFFF"/>
        </w:rPr>
      </w:pPr>
      <w:r>
        <w:rPr>
          <w:rStyle w:val="normaltextrun"/>
          <w:rFonts w:ascii="Calibri" w:hAnsi="Calibri"/>
          <w:sz w:val="22"/>
          <w:shd w:val="clear" w:color="auto" w:fill="FFFFFF"/>
        </w:rPr>
        <w:t>A saúde socioemocional e física</w:t>
      </w:r>
    </w:p>
    <w:p w14:paraId="2E214CE5" w14:textId="523D1C05" w:rsidR="00053D56" w:rsidRPr="00D30DF1" w:rsidRDefault="00A63317" w:rsidP="00041B43">
      <w:pPr>
        <w:pStyle w:val="NoSpacing"/>
        <w:numPr>
          <w:ilvl w:val="1"/>
          <w:numId w:val="3"/>
        </w:numPr>
        <w:spacing w:before="120" w:after="120"/>
        <w:contextualSpacing/>
        <w:rPr>
          <w:rStyle w:val="normaltextrun"/>
          <w:rFonts w:ascii="Calibri" w:hAnsi="Calibri" w:cs="Calibri"/>
          <w:sz w:val="22"/>
          <w:shd w:val="clear" w:color="auto" w:fill="FFFFFF"/>
        </w:rPr>
      </w:pPr>
      <w:r>
        <w:rPr>
          <w:rStyle w:val="normaltextrun"/>
          <w:rFonts w:ascii="Calibri" w:hAnsi="Calibri"/>
          <w:sz w:val="22"/>
          <w:shd w:val="clear" w:color="auto" w:fill="FFFFFF"/>
        </w:rPr>
        <w:t>A prontidão escolar</w:t>
      </w:r>
    </w:p>
    <w:p w14:paraId="19561F95" w14:textId="1AAE1035" w:rsidR="00053D56" w:rsidRPr="00D30DF1" w:rsidRDefault="001517C9" w:rsidP="00041B43">
      <w:pPr>
        <w:pStyle w:val="NoSpacing"/>
        <w:numPr>
          <w:ilvl w:val="1"/>
          <w:numId w:val="3"/>
        </w:numPr>
        <w:spacing w:before="120" w:after="120"/>
        <w:contextualSpacing/>
        <w:rPr>
          <w:rStyle w:val="normaltextrun"/>
          <w:rFonts w:ascii="Calibri" w:hAnsi="Calibri" w:cs="Calibri"/>
          <w:sz w:val="22"/>
          <w:shd w:val="clear" w:color="auto" w:fill="FFFFFF"/>
        </w:rPr>
      </w:pPr>
      <w:r>
        <w:rPr>
          <w:rStyle w:val="normaltextrun"/>
          <w:rFonts w:ascii="Calibri" w:hAnsi="Calibri"/>
          <w:sz w:val="22"/>
          <w:shd w:val="clear" w:color="auto" w:fill="FFFFFF"/>
        </w:rPr>
        <w:t>O sucesso escolar</w:t>
      </w:r>
    </w:p>
    <w:p w14:paraId="048093FF" w14:textId="7F2E5247" w:rsidR="00B45D93" w:rsidRPr="00D30DF1" w:rsidRDefault="00A63317" w:rsidP="00041B43">
      <w:pPr>
        <w:pStyle w:val="NoSpacing"/>
        <w:numPr>
          <w:ilvl w:val="1"/>
          <w:numId w:val="3"/>
        </w:numPr>
        <w:spacing w:before="120" w:after="120"/>
        <w:rPr>
          <w:rStyle w:val="normaltextrun"/>
          <w:rFonts w:ascii="Calibri" w:hAnsi="Calibri" w:cs="Calibri"/>
          <w:sz w:val="22"/>
          <w:shd w:val="clear" w:color="auto" w:fill="FFFFFF"/>
        </w:rPr>
      </w:pPr>
      <w:r>
        <w:rPr>
          <w:rStyle w:val="normaltextrun"/>
          <w:rFonts w:ascii="Calibri" w:hAnsi="Calibri"/>
          <w:sz w:val="22"/>
          <w:shd w:val="clear" w:color="auto" w:fill="FFFFFF"/>
        </w:rPr>
        <w:t xml:space="preserve">O sucesso na vida </w:t>
      </w:r>
    </w:p>
    <w:p w14:paraId="54DC06BB" w14:textId="7655C84A" w:rsidR="00371DC9" w:rsidRPr="00D30DF1" w:rsidRDefault="008F1D03" w:rsidP="00041B43">
      <w:pPr>
        <w:pStyle w:val="NoSpacing"/>
        <w:numPr>
          <w:ilvl w:val="0"/>
          <w:numId w:val="3"/>
        </w:numPr>
        <w:spacing w:before="120" w:after="120"/>
        <w:rPr>
          <w:rStyle w:val="normaltextrun"/>
          <w:rFonts w:ascii="Calibri" w:hAnsi="Calibri" w:cs="Calibri"/>
          <w:sz w:val="22"/>
          <w:shd w:val="clear" w:color="auto" w:fill="FFFFFF"/>
        </w:rPr>
      </w:pPr>
      <w:r>
        <w:rPr>
          <w:rStyle w:val="normaltextrun"/>
          <w:rFonts w:ascii="Calibri" w:hAnsi="Calibri"/>
          <w:sz w:val="22"/>
          <w:shd w:val="clear" w:color="auto" w:fill="FFFFFF"/>
        </w:rPr>
        <w:t>O envolvimento dos pais pode auxiliar os educadores a encontrarem novos meios de estabelecer ambientes seguros, acolhedores e confiáveis.</w:t>
      </w:r>
    </w:p>
    <w:p w14:paraId="182C157F" w14:textId="05355D5B" w:rsidR="00371DC9" w:rsidRPr="00D30DF1" w:rsidRDefault="00371DC9" w:rsidP="00041B43">
      <w:pPr>
        <w:pStyle w:val="NoSpacing"/>
        <w:spacing w:before="120" w:after="120"/>
        <w:rPr>
          <w:b/>
          <w:bCs/>
          <w:sz w:val="22"/>
        </w:rPr>
      </w:pPr>
      <w:r>
        <w:rPr>
          <w:b/>
          <w:sz w:val="22"/>
        </w:rPr>
        <w:t>Como Massachusetts coleta a opinião dos pais?</w:t>
      </w:r>
    </w:p>
    <w:p w14:paraId="23A3CB50" w14:textId="3AE00F3B" w:rsidR="00B6018F" w:rsidRPr="00D30DF1" w:rsidRDefault="00B6018F" w:rsidP="00041B43">
      <w:pPr>
        <w:pStyle w:val="paragraph"/>
        <w:numPr>
          <w:ilvl w:val="0"/>
          <w:numId w:val="4"/>
        </w:numPr>
        <w:spacing w:before="120" w:beforeAutospacing="0" w:after="120" w:afterAutospacing="0"/>
        <w:textAlignment w:val="baseline"/>
        <w:rPr>
          <w:rStyle w:val="normaltextrun"/>
          <w:rFonts w:ascii="Calibri" w:eastAsiaTheme="majorEastAsia" w:hAnsi="Calibri" w:cs="Calibri"/>
          <w:sz w:val="22"/>
          <w:szCs w:val="22"/>
        </w:rPr>
      </w:pPr>
      <w:r>
        <w:rPr>
          <w:rStyle w:val="normaltextrun"/>
          <w:rFonts w:ascii="Calibri" w:hAnsi="Calibri"/>
          <w:sz w:val="22"/>
        </w:rPr>
        <w:t xml:space="preserve">O Departamento </w:t>
      </w:r>
      <w:r w:rsidR="001028E1">
        <w:rPr>
          <w:rStyle w:val="normaltextrun"/>
          <w:rFonts w:ascii="Calibri" w:hAnsi="Calibri"/>
          <w:sz w:val="22"/>
        </w:rPr>
        <w:t>solicita</w:t>
      </w:r>
      <w:r>
        <w:rPr>
          <w:rStyle w:val="normaltextrun"/>
          <w:rFonts w:ascii="Calibri" w:hAnsi="Calibri"/>
          <w:sz w:val="22"/>
        </w:rPr>
        <w:t xml:space="preserve"> </w:t>
      </w:r>
      <w:r w:rsidR="00FF78F8">
        <w:rPr>
          <w:rStyle w:val="normaltextrun"/>
          <w:rFonts w:ascii="Calibri" w:hAnsi="Calibri"/>
          <w:sz w:val="22"/>
        </w:rPr>
        <w:t>a</w:t>
      </w:r>
      <w:r>
        <w:rPr>
          <w:rStyle w:val="normaltextrun"/>
          <w:rFonts w:ascii="Calibri" w:hAnsi="Calibri"/>
          <w:sz w:val="22"/>
        </w:rPr>
        <w:t xml:space="preserve">os distritos </w:t>
      </w:r>
      <w:r w:rsidR="00FF78F8">
        <w:rPr>
          <w:rStyle w:val="normaltextrun"/>
          <w:rFonts w:ascii="Calibri" w:hAnsi="Calibri"/>
          <w:sz w:val="22"/>
        </w:rPr>
        <w:t xml:space="preserve">escolares que </w:t>
      </w:r>
      <w:r>
        <w:rPr>
          <w:rStyle w:val="normaltextrun"/>
          <w:rFonts w:ascii="Calibri" w:hAnsi="Calibri"/>
          <w:sz w:val="22"/>
        </w:rPr>
        <w:t xml:space="preserve">compartilhem </w:t>
      </w:r>
      <w:r w:rsidR="001028E1">
        <w:rPr>
          <w:rStyle w:val="normaltextrun"/>
          <w:rFonts w:ascii="Calibri" w:hAnsi="Calibri"/>
          <w:sz w:val="22"/>
        </w:rPr>
        <w:t xml:space="preserve">os </w:t>
      </w:r>
      <w:r w:rsidR="009D48B5">
        <w:rPr>
          <w:rStyle w:val="normaltextrun"/>
          <w:rFonts w:ascii="Calibri" w:hAnsi="Calibri"/>
          <w:sz w:val="22"/>
        </w:rPr>
        <w:t xml:space="preserve">endereços de </w:t>
      </w:r>
      <w:r>
        <w:rPr>
          <w:rStyle w:val="normaltextrun"/>
          <w:rFonts w:ascii="Calibri" w:hAnsi="Calibri"/>
          <w:sz w:val="22"/>
        </w:rPr>
        <w:t>e-mail de pais de estudantes que recebem serviços de educação especial, para poder contatar os pais.</w:t>
      </w:r>
    </w:p>
    <w:p w14:paraId="49485088" w14:textId="521243A4" w:rsidR="004C6E7D" w:rsidRPr="00D30DF1" w:rsidRDefault="0031308E" w:rsidP="00041B43">
      <w:pPr>
        <w:pStyle w:val="paragraph"/>
        <w:numPr>
          <w:ilvl w:val="0"/>
          <w:numId w:val="4"/>
        </w:numPr>
        <w:spacing w:before="120" w:beforeAutospacing="0" w:after="120" w:afterAutospacing="0"/>
        <w:textAlignment w:val="baseline"/>
        <w:rPr>
          <w:rStyle w:val="normaltextrun"/>
          <w:rFonts w:ascii="Calibri" w:eastAsiaTheme="majorEastAsia" w:hAnsi="Calibri" w:cs="Calibri"/>
          <w:sz w:val="22"/>
          <w:szCs w:val="22"/>
        </w:rPr>
      </w:pPr>
      <w:r>
        <w:rPr>
          <w:rStyle w:val="normaltextrun"/>
          <w:rFonts w:ascii="Calibri" w:hAnsi="Calibri"/>
          <w:sz w:val="22"/>
        </w:rPr>
        <w:t xml:space="preserve">Uma </w:t>
      </w:r>
      <w:r w:rsidR="00FF78F8">
        <w:rPr>
          <w:rStyle w:val="normaltextrun"/>
          <w:rFonts w:ascii="Calibri" w:hAnsi="Calibri"/>
          <w:sz w:val="22"/>
        </w:rPr>
        <w:t>P</w:t>
      </w:r>
      <w:r>
        <w:rPr>
          <w:rStyle w:val="normaltextrun"/>
          <w:rFonts w:ascii="Calibri" w:hAnsi="Calibri"/>
          <w:sz w:val="22"/>
        </w:rPr>
        <w:t xml:space="preserve">esquisa </w:t>
      </w:r>
      <w:r w:rsidR="00FF78F8">
        <w:rPr>
          <w:rStyle w:val="normaltextrun"/>
          <w:rFonts w:ascii="Calibri" w:hAnsi="Calibri"/>
          <w:sz w:val="22"/>
        </w:rPr>
        <w:t xml:space="preserve">de pais </w:t>
      </w:r>
      <w:r>
        <w:rPr>
          <w:rStyle w:val="normaltextrun"/>
          <w:rFonts w:ascii="Calibri" w:hAnsi="Calibri"/>
          <w:sz w:val="22"/>
        </w:rPr>
        <w:t xml:space="preserve">é </w:t>
      </w:r>
      <w:r w:rsidR="00FF78F8">
        <w:rPr>
          <w:rStyle w:val="normaltextrun"/>
          <w:rFonts w:ascii="Calibri" w:hAnsi="Calibri"/>
          <w:sz w:val="22"/>
        </w:rPr>
        <w:t xml:space="preserve">compartilhada com </w:t>
      </w:r>
      <w:r w:rsidR="009D48B5">
        <w:rPr>
          <w:rStyle w:val="normaltextrun"/>
          <w:rFonts w:ascii="Calibri" w:hAnsi="Calibri"/>
          <w:sz w:val="22"/>
        </w:rPr>
        <w:t>os pais c</w:t>
      </w:r>
      <w:r>
        <w:rPr>
          <w:rStyle w:val="normaltextrun"/>
          <w:rFonts w:ascii="Calibri" w:hAnsi="Calibri"/>
          <w:sz w:val="22"/>
        </w:rPr>
        <w:t xml:space="preserve">omo parte do processo de avaliação do distrito. </w:t>
      </w:r>
      <w:r w:rsidR="009D48B5">
        <w:rPr>
          <w:rStyle w:val="normaltextrun"/>
          <w:rFonts w:ascii="Calibri" w:hAnsi="Calibri"/>
          <w:sz w:val="22"/>
        </w:rPr>
        <w:t>Esse processo é</w:t>
      </w:r>
      <w:r>
        <w:rPr>
          <w:rStyle w:val="normaltextrun"/>
          <w:rFonts w:ascii="Calibri" w:hAnsi="Calibri"/>
          <w:sz w:val="22"/>
        </w:rPr>
        <w:t xml:space="preserve"> também denominado</w:t>
      </w:r>
      <w:r w:rsidR="00FF78F8">
        <w:rPr>
          <w:rStyle w:val="normaltextrun"/>
          <w:rFonts w:ascii="Calibri" w:hAnsi="Calibri"/>
          <w:sz w:val="22"/>
        </w:rPr>
        <w:t xml:space="preserve"> de</w:t>
      </w:r>
      <w:r w:rsidR="009D48B5">
        <w:rPr>
          <w:rStyle w:val="normaltextrun"/>
          <w:rFonts w:ascii="Calibri" w:hAnsi="Calibri"/>
          <w:sz w:val="22"/>
        </w:rPr>
        <w:t xml:space="preserve"> </w:t>
      </w:r>
      <w:hyperlink r:id="rId11" w:history="1">
        <w:r>
          <w:rPr>
            <w:rStyle w:val="Hyperlink"/>
            <w:rFonts w:ascii="Calibri" w:hAnsi="Calibri"/>
            <w:color w:val="auto"/>
            <w:sz w:val="22"/>
          </w:rPr>
          <w:t>Monitoramento Focado por Níveis.</w:t>
        </w:r>
      </w:hyperlink>
      <w:r>
        <w:rPr>
          <w:rStyle w:val="normaltextrun"/>
          <w:rFonts w:ascii="Calibri" w:hAnsi="Calibri"/>
          <w:sz w:val="22"/>
        </w:rPr>
        <w:t xml:space="preserve"> </w:t>
      </w:r>
    </w:p>
    <w:p w14:paraId="173C9B01" w14:textId="1987C3E3" w:rsidR="009C0B2B" w:rsidRPr="00D30DF1" w:rsidRDefault="00FF78F8" w:rsidP="00041B43">
      <w:pPr>
        <w:pStyle w:val="paragraph"/>
        <w:spacing w:before="120" w:beforeAutospacing="0" w:after="120" w:afterAutospacing="0"/>
        <w:textAlignment w:val="baseline"/>
        <w:rPr>
          <w:rFonts w:ascii="Calibri" w:eastAsiaTheme="majorEastAsia" w:hAnsi="Calibri" w:cs="Calibri"/>
          <w:sz w:val="22"/>
          <w:szCs w:val="22"/>
        </w:rPr>
      </w:pPr>
      <w:r>
        <w:rPr>
          <w:rStyle w:val="normaltextrun"/>
          <w:rFonts w:ascii="Calibri" w:hAnsi="Calibri"/>
          <w:sz w:val="22"/>
        </w:rPr>
        <w:t>*</w:t>
      </w:r>
      <w:r w:rsidR="00881366">
        <w:rPr>
          <w:rStyle w:val="normaltextrun"/>
          <w:rFonts w:ascii="Calibri" w:hAnsi="Calibri"/>
          <w:sz w:val="22"/>
        </w:rPr>
        <w:t>Assim acontece com</w:t>
      </w:r>
      <w:r w:rsidR="00E90722">
        <w:rPr>
          <w:rStyle w:val="normaltextrun"/>
          <w:rFonts w:ascii="Calibri" w:hAnsi="Calibri"/>
          <w:sz w:val="22"/>
        </w:rPr>
        <w:t xml:space="preserve"> todos os distritos</w:t>
      </w:r>
      <w:r w:rsidR="00881366">
        <w:rPr>
          <w:rStyle w:val="normaltextrun"/>
          <w:rFonts w:ascii="Calibri" w:hAnsi="Calibri"/>
          <w:sz w:val="22"/>
        </w:rPr>
        <w:t>,</w:t>
      </w:r>
      <w:r w:rsidR="00E90722">
        <w:rPr>
          <w:rStyle w:val="normaltextrun"/>
          <w:rFonts w:ascii="Calibri" w:hAnsi="Calibri"/>
          <w:sz w:val="22"/>
        </w:rPr>
        <w:t xml:space="preserve"> com exceção de Boston. Todos os anos, Boston compartilha a </w:t>
      </w:r>
      <w:r>
        <w:rPr>
          <w:rStyle w:val="normaltextrun"/>
          <w:rFonts w:ascii="Calibri" w:hAnsi="Calibri"/>
          <w:sz w:val="22"/>
        </w:rPr>
        <w:t>P</w:t>
      </w:r>
      <w:r w:rsidR="00E90722">
        <w:rPr>
          <w:rStyle w:val="normaltextrun"/>
          <w:rFonts w:ascii="Calibri" w:hAnsi="Calibri"/>
          <w:sz w:val="22"/>
        </w:rPr>
        <w:t>esquisa de pais com os pais em algumas de suas escolas. As respostas</w:t>
      </w:r>
      <w:r w:rsidR="00881366">
        <w:rPr>
          <w:rStyle w:val="normaltextrun"/>
          <w:rFonts w:ascii="Calibri" w:hAnsi="Calibri"/>
          <w:sz w:val="22"/>
        </w:rPr>
        <w:t xml:space="preserve"> à</w:t>
      </w:r>
      <w:r w:rsidR="00E90722">
        <w:rPr>
          <w:rStyle w:val="normaltextrun"/>
          <w:rFonts w:ascii="Calibri" w:hAnsi="Calibri"/>
          <w:sz w:val="22"/>
        </w:rPr>
        <w:t xml:space="preserve"> pesquisa são utilizadas para encontrar o grau de concordância do 8o. Indicador.</w:t>
      </w:r>
      <w:r w:rsidR="00E90722">
        <w:rPr>
          <w:rStyle w:val="eop"/>
          <w:rFonts w:ascii="Calibri" w:hAnsi="Calibri"/>
          <w:sz w:val="22"/>
        </w:rPr>
        <w:t> </w:t>
      </w:r>
    </w:p>
    <w:p w14:paraId="7C4855D6" w14:textId="39A1FD3F" w:rsidR="009D49A0" w:rsidRPr="00D30DF1" w:rsidRDefault="003E776F" w:rsidP="00041B43">
      <w:pPr>
        <w:pStyle w:val="paragraph"/>
        <w:spacing w:before="120" w:beforeAutospacing="0" w:after="120" w:afterAutospacing="0"/>
        <w:textAlignment w:val="baseline"/>
        <w:rPr>
          <w:rFonts w:asciiTheme="minorHAnsi" w:hAnsiTheme="minorHAnsi" w:cstheme="minorHAnsi"/>
          <w:b/>
          <w:bCs/>
          <w:sz w:val="22"/>
        </w:rPr>
      </w:pPr>
      <w:r>
        <w:rPr>
          <w:rFonts w:asciiTheme="minorHAnsi" w:hAnsiTheme="minorHAnsi"/>
          <w:b/>
          <w:sz w:val="22"/>
        </w:rPr>
        <w:t>Metas:</w:t>
      </w:r>
    </w:p>
    <w:p w14:paraId="7D275723" w14:textId="5FB06E58" w:rsidR="003E776F" w:rsidRPr="00D30DF1" w:rsidRDefault="005613CB" w:rsidP="00041B43">
      <w:pPr>
        <w:pStyle w:val="NoSpacing"/>
        <w:spacing w:before="120" w:after="120"/>
        <w:rPr>
          <w:rStyle w:val="normaltextrun"/>
          <w:rFonts w:ascii="Calibri" w:eastAsiaTheme="majorEastAsia" w:hAnsi="Calibri" w:cs="Calibri"/>
          <w:sz w:val="22"/>
        </w:rPr>
      </w:pPr>
      <w:r>
        <w:rPr>
          <w:rStyle w:val="normaltextrun"/>
          <w:rFonts w:ascii="Calibri" w:hAnsi="Calibri"/>
          <w:sz w:val="22"/>
        </w:rPr>
        <w:t>A cada ano, temos uma meta que esperamos alcançar em relação ao grau de concordância. As metas são definidas depois de ouvi</w:t>
      </w:r>
      <w:r w:rsidR="00FF78F8">
        <w:rPr>
          <w:rStyle w:val="normaltextrun"/>
          <w:rFonts w:ascii="Calibri" w:hAnsi="Calibri"/>
          <w:sz w:val="22"/>
        </w:rPr>
        <w:t>r a opinião dos pais</w:t>
      </w:r>
      <w:r>
        <w:rPr>
          <w:rStyle w:val="normaltextrun"/>
          <w:rFonts w:ascii="Calibri" w:hAnsi="Calibri"/>
          <w:sz w:val="22"/>
        </w:rPr>
        <w:t>, defensores e estudantes. O Departamento está obrigado a estabelecer metas pelo menos a cada 5 anos. Essas metas precisam demonstrar uma melhora ao longo do tempo.</w:t>
      </w:r>
    </w:p>
    <w:p w14:paraId="4EB2A7BE" w14:textId="6117FDDF" w:rsidR="00A306E6" w:rsidRPr="00D30DF1" w:rsidRDefault="00516403" w:rsidP="00041B43">
      <w:pPr>
        <w:pStyle w:val="NoSpacing"/>
        <w:spacing w:before="120" w:after="120"/>
        <w:rPr>
          <w:sz w:val="22"/>
        </w:rPr>
      </w:pPr>
      <w:r>
        <w:rPr>
          <w:sz w:val="22"/>
        </w:rPr>
        <w:t xml:space="preserve">As metas e resultados referem-se a cada ano fiscal federal (FFY) que começa no dia 1o. de outubro e termina no dia 30 de setembro de cada ano. O gráfico abaixo </w:t>
      </w:r>
      <w:r w:rsidR="00881366">
        <w:rPr>
          <w:sz w:val="22"/>
        </w:rPr>
        <w:t>apresent</w:t>
      </w:r>
      <w:r>
        <w:rPr>
          <w:sz w:val="22"/>
        </w:rPr>
        <w:t>a as metas que foram estabelecidas e o grau de concordância</w:t>
      </w:r>
      <w:r w:rsidR="00FF78F8">
        <w:rPr>
          <w:sz w:val="22"/>
        </w:rPr>
        <w:t xml:space="preserve"> real para cada ano</w:t>
      </w:r>
      <w:r>
        <w:rPr>
          <w:sz w:val="22"/>
        </w:rPr>
        <w:t xml:space="preserve"> fisca</w:t>
      </w:r>
      <w:r w:rsidR="00FF78F8">
        <w:rPr>
          <w:sz w:val="22"/>
        </w:rPr>
        <w:t>l</w:t>
      </w:r>
      <w:r>
        <w:rPr>
          <w:sz w:val="22"/>
        </w:rPr>
        <w:t xml:space="preserve"> federa</w:t>
      </w:r>
      <w:r w:rsidR="00FF78F8">
        <w:rPr>
          <w:sz w:val="22"/>
        </w:rPr>
        <w:t>l</w:t>
      </w:r>
      <w:r>
        <w:rPr>
          <w:sz w:val="22"/>
        </w:rPr>
        <w:t xml:space="preserve"> de FFY13 até FFY19.  </w:t>
      </w:r>
    </w:p>
    <w:p w14:paraId="2FC251FB" w14:textId="254882B1" w:rsidR="00433329" w:rsidRPr="00D30DF1" w:rsidRDefault="00506B9E" w:rsidP="00041B43">
      <w:pPr>
        <w:pStyle w:val="NoSpacing"/>
        <w:spacing w:before="120" w:after="120"/>
        <w:rPr>
          <w:sz w:val="22"/>
        </w:rPr>
      </w:pPr>
      <w:r>
        <w:rPr>
          <w:sz w:val="22"/>
        </w:rPr>
        <w:t xml:space="preserve">O grau de concordância tem estado próximo da meta todos os anos. Isso significa que a maioria dos pais de crianças que recebem serviços de educação especial acredita que as escolas envolvem os pais de modo a melhorar os serviços e resultados para as crianças com deficiências. </w:t>
      </w:r>
    </w:p>
    <w:p w14:paraId="164338C5" w14:textId="572484A5" w:rsidR="008F1860" w:rsidRPr="00D30DF1" w:rsidRDefault="00E755E6" w:rsidP="00041B43">
      <w:pPr>
        <w:pStyle w:val="NoSpacing"/>
        <w:spacing w:before="120" w:after="120"/>
        <w:rPr>
          <w:sz w:val="22"/>
        </w:rPr>
      </w:pPr>
      <w:r w:rsidRPr="00881366">
        <w:rPr>
          <w:b/>
          <w:noProof/>
          <w:sz w:val="22"/>
        </w:rPr>
        <w:lastRenderedPageBreak/>
        <mc:AlternateContent>
          <mc:Choice Requires="wps">
            <w:drawing>
              <wp:anchor distT="45720" distB="45720" distL="114300" distR="114300" simplePos="0" relativeHeight="251661312" behindDoc="0" locked="0" layoutInCell="1" allowOverlap="1" wp14:anchorId="73990ED2" wp14:editId="01E37E07">
                <wp:simplePos x="0" y="0"/>
                <wp:positionH relativeFrom="margin">
                  <wp:posOffset>2305050</wp:posOffset>
                </wp:positionH>
                <wp:positionV relativeFrom="paragraph">
                  <wp:posOffset>2171700</wp:posOffset>
                </wp:positionV>
                <wp:extent cx="495300" cy="219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19075"/>
                        </a:xfrm>
                        <a:prstGeom prst="rect">
                          <a:avLst/>
                        </a:prstGeom>
                        <a:solidFill>
                          <a:srgbClr val="FFFFFF"/>
                        </a:solidFill>
                        <a:ln w="9525">
                          <a:noFill/>
                          <a:miter lim="800000"/>
                          <a:headEnd/>
                          <a:tailEnd/>
                        </a:ln>
                      </wps:spPr>
                      <wps:txbx>
                        <w:txbxContent>
                          <w:p w14:paraId="3F00900B" w14:textId="6874127C" w:rsidR="00E755E6" w:rsidRPr="00E755E6" w:rsidRDefault="00E755E6" w:rsidP="00E755E6">
                            <w:pPr>
                              <w:rPr>
                                <w:rFonts w:ascii="Avenir Next LT Pro Light" w:hAnsi="Avenir Next LT Pro Light"/>
                                <w:color w:val="767171" w:themeColor="background2" w:themeShade="80"/>
                                <w:sz w:val="20"/>
                                <w:szCs w:val="20"/>
                              </w:rPr>
                            </w:pPr>
                            <w:r>
                              <w:rPr>
                                <w:rFonts w:ascii="Avenir Next LT Pro Light" w:hAnsi="Avenir Next LT Pro Light"/>
                                <w:color w:val="767171" w:themeColor="background2" w:themeShade="80"/>
                                <w:sz w:val="20"/>
                                <w:szCs w:val="20"/>
                              </w:rPr>
                              <w:t>Meta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90ED2" id="_x0000_t202" coordsize="21600,21600" o:spt="202" path="m,l,21600r21600,l21600,xe">
                <v:stroke joinstyle="miter"/>
                <v:path gradientshapeok="t" o:connecttype="rect"/>
              </v:shapetype>
              <v:shape id="Text Box 2" o:spid="_x0000_s1026" type="#_x0000_t202" style="position:absolute;margin-left:181.5pt;margin-top:171pt;width:39pt;height:1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" stroked="f">
                <v:textbox>
                  <w:txbxContent>
                    <w:p w14:paraId="3F00900B" w14:textId="6874127C" w:rsidR="00E755E6" w:rsidRPr="00E755E6" w:rsidRDefault="00E755E6" w:rsidP="00E755E6">
                      <w:pPr>
                        <w:rPr>
                          <w:rFonts w:ascii="Avenir Next LT Pro Light" w:hAnsi="Avenir Next LT Pro Light"/>
                          <w:color w:val="767171" w:themeColor="background2" w:themeShade="80"/>
                          <w:sz w:val="20"/>
                          <w:szCs w:val="20"/>
                        </w:rPr>
                      </w:pPr>
                      <w:r>
                        <w:rPr>
                          <w:rFonts w:ascii="Avenir Next LT Pro Light" w:hAnsi="Avenir Next LT Pro Light"/>
                          <w:color w:val="767171" w:themeColor="background2" w:themeShade="80"/>
                          <w:sz w:val="20"/>
                          <w:szCs w:val="20"/>
                        </w:rPr>
                        <w:t>Meta</w:t>
                      </w:r>
                    </w:p>
                  </w:txbxContent>
                </v:textbox>
                <w10:wrap anchorx="margin"/>
              </v:shape>
            </w:pict>
          </mc:Fallback>
        </mc:AlternateContent>
      </w:r>
      <w:r w:rsidRPr="00881366">
        <w:rPr>
          <w:b/>
          <w:noProof/>
          <w:sz w:val="22"/>
        </w:rPr>
        <mc:AlternateContent>
          <mc:Choice Requires="wps">
            <w:drawing>
              <wp:anchor distT="45720" distB="45720" distL="114300" distR="114300" simplePos="0" relativeHeight="251663360" behindDoc="0" locked="0" layoutInCell="1" allowOverlap="1" wp14:anchorId="1AC794DD" wp14:editId="2F018755">
                <wp:simplePos x="0" y="0"/>
                <wp:positionH relativeFrom="margin">
                  <wp:posOffset>2971800</wp:posOffset>
                </wp:positionH>
                <wp:positionV relativeFrom="paragraph">
                  <wp:posOffset>2171700</wp:posOffset>
                </wp:positionV>
                <wp:extent cx="638175" cy="219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19075"/>
                        </a:xfrm>
                        <a:prstGeom prst="rect">
                          <a:avLst/>
                        </a:prstGeom>
                        <a:solidFill>
                          <a:srgbClr val="FFFFFF"/>
                        </a:solidFill>
                        <a:ln w="9525">
                          <a:noFill/>
                          <a:miter lim="800000"/>
                          <a:headEnd/>
                          <a:tailEnd/>
                        </a:ln>
                      </wps:spPr>
                      <wps:txbx>
                        <w:txbxContent>
                          <w:p w14:paraId="6E77336D" w14:textId="38118EC0" w:rsidR="00E755E6" w:rsidRPr="00E755E6" w:rsidRDefault="00A072B0" w:rsidP="00E755E6">
                            <w:pPr>
                              <w:rPr>
                                <w:rFonts w:ascii="Avenir Next LT Pro Light" w:hAnsi="Avenir Next LT Pro Light"/>
                                <w:color w:val="767171" w:themeColor="background2" w:themeShade="80"/>
                                <w:sz w:val="20"/>
                                <w:szCs w:val="20"/>
                              </w:rPr>
                            </w:pPr>
                            <w:r>
                              <w:rPr>
                                <w:rFonts w:ascii="Avenir Next LT Pro Light" w:hAnsi="Avenir Next LT Pro Light"/>
                                <w:color w:val="767171" w:themeColor="background2" w:themeShade="80"/>
                                <w:sz w:val="20"/>
                                <w:szCs w:val="20"/>
                              </w:rPr>
                              <w:t>Real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794DD" id="_x0000_s1027" type="#_x0000_t202" style="position:absolute;margin-left:234pt;margin-top:171pt;width:50.25pt;height:1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WBIQIAACE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" stroked="f">
                <v:textbox>
                  <w:txbxContent>
                    <w:p w14:paraId="6E77336D" w14:textId="38118EC0" w:rsidR="00E755E6" w:rsidRPr="00E755E6" w:rsidRDefault="00A072B0" w:rsidP="00E755E6">
                      <w:pPr>
                        <w:rPr>
                          <w:rFonts w:ascii="Avenir Next LT Pro Light" w:hAnsi="Avenir Next LT Pro Light"/>
                          <w:color w:val="767171" w:themeColor="background2" w:themeShade="80"/>
                          <w:sz w:val="20"/>
                          <w:szCs w:val="20"/>
                        </w:rPr>
                      </w:pPr>
                      <w:r>
                        <w:rPr>
                          <w:rFonts w:ascii="Avenir Next LT Pro Light" w:hAnsi="Avenir Next LT Pro Light"/>
                          <w:color w:val="767171" w:themeColor="background2" w:themeShade="80"/>
                          <w:sz w:val="20"/>
                          <w:szCs w:val="20"/>
                        </w:rPr>
                        <w:t>Real</w:t>
                      </w:r>
                    </w:p>
                  </w:txbxContent>
                </v:textbox>
                <w10:wrap anchorx="margin"/>
              </v:shape>
            </w:pict>
          </mc:Fallback>
        </mc:AlternateContent>
      </w:r>
      <w:r w:rsidRPr="00881366">
        <w:rPr>
          <w:b/>
          <w:noProof/>
          <w:sz w:val="22"/>
        </w:rPr>
        <mc:AlternateContent>
          <mc:Choice Requires="wps">
            <w:drawing>
              <wp:anchor distT="45720" distB="45720" distL="114300" distR="114300" simplePos="0" relativeHeight="251659264" behindDoc="0" locked="0" layoutInCell="1" allowOverlap="1" wp14:anchorId="61E6D9A4" wp14:editId="78EBB366">
                <wp:simplePos x="0" y="0"/>
                <wp:positionH relativeFrom="margin">
                  <wp:posOffset>1781175</wp:posOffset>
                </wp:positionH>
                <wp:positionV relativeFrom="paragraph">
                  <wp:posOffset>1990725</wp:posOffset>
                </wp:positionV>
                <wp:extent cx="2360930" cy="238125"/>
                <wp:effectExtent l="0" t="0" r="381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noFill/>
                          <a:miter lim="800000"/>
                          <a:headEnd/>
                          <a:tailEnd/>
                        </a:ln>
                      </wps:spPr>
                      <wps:txbx>
                        <w:txbxContent>
                          <w:p w14:paraId="54F0ED0E" w14:textId="78C2F7DD" w:rsidR="00881366" w:rsidRPr="00E755E6" w:rsidRDefault="00881366">
                            <w:pPr>
                              <w:rPr>
                                <w:rFonts w:ascii="Avenir Next LT Pro Light" w:hAnsi="Avenir Next LT Pro Light"/>
                                <w:b/>
                                <w:bCs/>
                                <w:sz w:val="20"/>
                                <w:szCs w:val="20"/>
                              </w:rPr>
                            </w:pPr>
                            <w:r w:rsidRPr="00E755E6">
                              <w:rPr>
                                <w:rFonts w:ascii="Avenir Next LT Pro Light" w:hAnsi="Avenir Next LT Pro Light"/>
                                <w:b/>
                                <w:bCs/>
                                <w:sz w:val="20"/>
                                <w:szCs w:val="20"/>
                              </w:rPr>
                              <w:t>Dados históricos do 8o. Indicador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E6D9A4" id="_x0000_s1028" type="#_x0000_t202" style="position:absolute;margin-left:140.25pt;margin-top:156.75pt;width:185.9pt;height:18.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5NIwIAACQ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" stroked="f">
                <v:textbox>
                  <w:txbxContent>
                    <w:p w14:paraId="54F0ED0E" w14:textId="78C2F7DD" w:rsidR="00881366" w:rsidRPr="00E755E6" w:rsidRDefault="00881366">
                      <w:pPr>
                        <w:rPr>
                          <w:rFonts w:ascii="Avenir Next LT Pro Light" w:hAnsi="Avenir Next LT Pro Light"/>
                          <w:b/>
                          <w:bCs/>
                          <w:sz w:val="20"/>
                          <w:szCs w:val="20"/>
                        </w:rPr>
                      </w:pPr>
                      <w:r w:rsidRPr="00E755E6">
                        <w:rPr>
                          <w:rFonts w:ascii="Avenir Next LT Pro Light" w:hAnsi="Avenir Next LT Pro Light"/>
                          <w:b/>
                          <w:bCs/>
                          <w:sz w:val="20"/>
                          <w:szCs w:val="20"/>
                        </w:rPr>
                        <w:t>Dados históricos do 8o. Indicador</w:t>
                      </w:r>
                    </w:p>
                  </w:txbxContent>
                </v:textbox>
                <w10:wrap anchorx="margin"/>
              </v:shape>
            </w:pict>
          </mc:Fallback>
        </mc:AlternateContent>
      </w:r>
      <w:r w:rsidR="00E74CB4">
        <w:rPr>
          <w:noProof/>
        </w:rPr>
        <w:drawing>
          <wp:inline distT="0" distB="0" distL="0" distR="0" wp14:anchorId="040C2CF4" wp14:editId="047A27AF">
            <wp:extent cx="5580864" cy="2385392"/>
            <wp:effectExtent l="0" t="0" r="1270" b="0"/>
            <wp:doc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pic:cNvPicPr/>
                  </pic:nvPicPr>
                  <pic:blipFill>
                    <a:blip r:embed="rId12">
                      <a:extLst>
                        <a:ext uri="{28A0092B-C50C-407E-A947-70E740481C1C}">
                          <a14:useLocalDpi xmlns:a14="http://schemas.microsoft.com/office/drawing/2010/main" val="0"/>
                        </a:ext>
                      </a:extLst>
                    </a:blip>
                    <a:stretch>
                      <a:fillRect/>
                    </a:stretch>
                  </pic:blipFill>
                  <pic:spPr>
                    <a:xfrm>
                      <a:off x="0" y="0"/>
                      <a:ext cx="5638794" cy="2410152"/>
                    </a:xfrm>
                    <a:prstGeom prst="rect">
                      <a:avLst/>
                    </a:prstGeom>
                  </pic:spPr>
                </pic:pic>
              </a:graphicData>
            </a:graphic>
          </wp:inline>
        </w:drawing>
      </w:r>
    </w:p>
    <w:p w14:paraId="3AA33C6D" w14:textId="171545A9" w:rsidR="00744751" w:rsidRPr="00D30DF1" w:rsidRDefault="00D6799A" w:rsidP="00041B43">
      <w:pPr>
        <w:pStyle w:val="NoSpacing"/>
        <w:spacing w:before="120" w:after="120"/>
        <w:rPr>
          <w:b/>
          <w:bCs/>
          <w:sz w:val="22"/>
        </w:rPr>
      </w:pPr>
      <w:r>
        <w:rPr>
          <w:b/>
          <w:sz w:val="22"/>
        </w:rPr>
        <w:t xml:space="preserve">Massachusetts precisa </w:t>
      </w:r>
      <w:r w:rsidR="00144B18">
        <w:rPr>
          <w:b/>
          <w:sz w:val="22"/>
        </w:rPr>
        <w:t>defini</w:t>
      </w:r>
      <w:r>
        <w:rPr>
          <w:b/>
          <w:sz w:val="22"/>
        </w:rPr>
        <w:t>r novas metas:</w:t>
      </w:r>
    </w:p>
    <w:p w14:paraId="45367C0D" w14:textId="78E829E5" w:rsidR="000B52A2" w:rsidRPr="00D30DF1" w:rsidRDefault="64EEFD4D" w:rsidP="399D30EB">
      <w:pPr>
        <w:spacing w:before="120" w:after="120" w:line="240" w:lineRule="exact"/>
        <w:rPr>
          <w:sz w:val="22"/>
        </w:rPr>
      </w:pPr>
      <w:r>
        <w:rPr>
          <w:sz w:val="22"/>
        </w:rPr>
        <w:t xml:space="preserve">No FFY18, o grau de concordância foi de 89%.  </w:t>
      </w:r>
      <w:r w:rsidR="00144B18">
        <w:rPr>
          <w:sz w:val="22"/>
        </w:rPr>
        <w:t xml:space="preserve">A linha de base é </w:t>
      </w:r>
      <w:r>
        <w:rPr>
          <w:sz w:val="22"/>
        </w:rPr>
        <w:t>89%. A linha de base é um ponto de partida. Ela é utilizada para medir o progresso nos anos subsequentes.</w:t>
      </w:r>
    </w:p>
    <w:p w14:paraId="3288FDBB" w14:textId="2F8F982A" w:rsidR="000B52A2" w:rsidRPr="00D30DF1" w:rsidRDefault="007A59C6" w:rsidP="399D30EB">
      <w:pPr>
        <w:spacing w:before="120" w:after="120" w:line="240" w:lineRule="exact"/>
        <w:rPr>
          <w:sz w:val="22"/>
        </w:rPr>
      </w:pPr>
      <w:r>
        <w:rPr>
          <w:sz w:val="22"/>
        </w:rPr>
        <w:t xml:space="preserve">As novas metas deverão ser melhoradas ao longo do tempo. </w:t>
      </w:r>
    </w:p>
    <w:p w14:paraId="4819071D" w14:textId="0A7F8832" w:rsidR="00806BF7" w:rsidRPr="00D30DF1" w:rsidRDefault="00806BF7" w:rsidP="00041B43">
      <w:pPr>
        <w:pStyle w:val="NoSpacing"/>
        <w:spacing w:before="120" w:after="120"/>
        <w:rPr>
          <w:sz w:val="22"/>
        </w:rPr>
      </w:pPr>
    </w:p>
    <w:tbl>
      <w:tblPr>
        <w:tblStyle w:val="TableGrid"/>
        <w:tblW w:w="0" w:type="auto"/>
        <w:tblLook w:val="04A0" w:firstRow="1" w:lastRow="0" w:firstColumn="1" w:lastColumn="0" w:noHBand="0" w:noVBand="1"/>
      </w:tblPr>
      <w:tblGrid>
        <w:gridCol w:w="4675"/>
        <w:gridCol w:w="4675"/>
      </w:tblGrid>
      <w:tr w:rsidR="00D30DF1" w:rsidRPr="00D30DF1" w14:paraId="7350B49E" w14:textId="77777777" w:rsidTr="410FDA87">
        <w:tc>
          <w:tcPr>
            <w:tcW w:w="4675" w:type="dxa"/>
          </w:tcPr>
          <w:p w14:paraId="5B9C0417" w14:textId="090680A8" w:rsidR="00B815A1" w:rsidRPr="00D30DF1" w:rsidRDefault="000E3E2D" w:rsidP="00041B43">
            <w:pPr>
              <w:pStyle w:val="NoSpacing"/>
              <w:spacing w:before="120" w:after="120"/>
              <w:jc w:val="center"/>
              <w:rPr>
                <w:b/>
                <w:bCs/>
                <w:sz w:val="22"/>
              </w:rPr>
            </w:pPr>
            <w:r>
              <w:rPr>
                <w:b/>
                <w:sz w:val="22"/>
              </w:rPr>
              <w:t xml:space="preserve">Ano </w:t>
            </w:r>
            <w:r w:rsidR="00144B18">
              <w:rPr>
                <w:b/>
                <w:sz w:val="22"/>
              </w:rPr>
              <w:t>f</w:t>
            </w:r>
            <w:r>
              <w:rPr>
                <w:b/>
                <w:sz w:val="22"/>
              </w:rPr>
              <w:t xml:space="preserve">iscal </w:t>
            </w:r>
            <w:r w:rsidR="00144B18">
              <w:rPr>
                <w:b/>
                <w:sz w:val="22"/>
              </w:rPr>
              <w:t>f</w:t>
            </w:r>
            <w:r>
              <w:rPr>
                <w:b/>
                <w:sz w:val="22"/>
              </w:rPr>
              <w:t>ederal (FFY)</w:t>
            </w:r>
          </w:p>
        </w:tc>
        <w:tc>
          <w:tcPr>
            <w:tcW w:w="4675" w:type="dxa"/>
          </w:tcPr>
          <w:p w14:paraId="0B55BD6D" w14:textId="5E9DAE38" w:rsidR="00B815A1" w:rsidRPr="00D30DF1" w:rsidRDefault="000E3E2D" w:rsidP="00041B43">
            <w:pPr>
              <w:pStyle w:val="NoSpacing"/>
              <w:spacing w:before="120" w:after="120"/>
              <w:jc w:val="center"/>
              <w:rPr>
                <w:b/>
                <w:bCs/>
                <w:sz w:val="22"/>
              </w:rPr>
            </w:pPr>
            <w:r>
              <w:rPr>
                <w:b/>
                <w:sz w:val="22"/>
              </w:rPr>
              <w:t>Nova meta</w:t>
            </w:r>
          </w:p>
        </w:tc>
      </w:tr>
      <w:tr w:rsidR="00D30DF1" w:rsidRPr="00D30DF1" w14:paraId="046B1753" w14:textId="77777777" w:rsidTr="410FDA87">
        <w:tc>
          <w:tcPr>
            <w:tcW w:w="4675" w:type="dxa"/>
          </w:tcPr>
          <w:p w14:paraId="4A950D27" w14:textId="4A8D66DE" w:rsidR="002420EC" w:rsidRPr="00D30DF1" w:rsidRDefault="00151765" w:rsidP="00041B43">
            <w:pPr>
              <w:pStyle w:val="NoSpacing"/>
              <w:spacing w:before="120" w:after="120"/>
              <w:rPr>
                <w:sz w:val="22"/>
              </w:rPr>
            </w:pPr>
            <w:r>
              <w:rPr>
                <w:sz w:val="22"/>
              </w:rPr>
              <w:t>FFY 20 (ano letivo de 2020-2021)</w:t>
            </w:r>
          </w:p>
        </w:tc>
        <w:tc>
          <w:tcPr>
            <w:tcW w:w="4675" w:type="dxa"/>
          </w:tcPr>
          <w:p w14:paraId="53266E87" w14:textId="3CE776F4" w:rsidR="002420EC" w:rsidRPr="00D30DF1" w:rsidRDefault="0011724E" w:rsidP="00041B43">
            <w:pPr>
              <w:pStyle w:val="NoSpacing"/>
              <w:spacing w:before="120" w:after="120"/>
              <w:rPr>
                <w:sz w:val="22"/>
              </w:rPr>
            </w:pPr>
            <w:r>
              <w:rPr>
                <w:sz w:val="22"/>
              </w:rPr>
              <w:t>89%</w:t>
            </w:r>
          </w:p>
        </w:tc>
      </w:tr>
      <w:tr w:rsidR="00D30DF1" w:rsidRPr="00D30DF1" w14:paraId="408703AC" w14:textId="77777777" w:rsidTr="410FDA87">
        <w:tc>
          <w:tcPr>
            <w:tcW w:w="4675" w:type="dxa"/>
          </w:tcPr>
          <w:p w14:paraId="1B6A7C4F" w14:textId="095B2293" w:rsidR="002420EC" w:rsidRPr="00D30DF1" w:rsidRDefault="00151765" w:rsidP="00041B43">
            <w:pPr>
              <w:pStyle w:val="NoSpacing"/>
              <w:spacing w:before="120" w:after="120"/>
              <w:rPr>
                <w:sz w:val="22"/>
              </w:rPr>
            </w:pPr>
            <w:r>
              <w:rPr>
                <w:sz w:val="22"/>
              </w:rPr>
              <w:t>FFY 21 (ano letivo de 2021-2022)</w:t>
            </w:r>
          </w:p>
        </w:tc>
        <w:tc>
          <w:tcPr>
            <w:tcW w:w="4675" w:type="dxa"/>
          </w:tcPr>
          <w:p w14:paraId="5F2F9C2B" w14:textId="15AC1049" w:rsidR="002420EC" w:rsidRPr="00D30DF1" w:rsidRDefault="0011724E" w:rsidP="00041B43">
            <w:pPr>
              <w:pStyle w:val="NoSpacing"/>
              <w:spacing w:before="120" w:after="120"/>
              <w:rPr>
                <w:sz w:val="22"/>
              </w:rPr>
            </w:pPr>
            <w:r>
              <w:rPr>
                <w:sz w:val="22"/>
              </w:rPr>
              <w:t>89%</w:t>
            </w:r>
          </w:p>
        </w:tc>
      </w:tr>
      <w:tr w:rsidR="00D30DF1" w:rsidRPr="00D30DF1" w14:paraId="21FD51F5" w14:textId="77777777" w:rsidTr="410FDA87">
        <w:tc>
          <w:tcPr>
            <w:tcW w:w="4675" w:type="dxa"/>
          </w:tcPr>
          <w:p w14:paraId="16A4C676" w14:textId="4A050623" w:rsidR="002420EC" w:rsidRPr="00D30DF1" w:rsidRDefault="00151765" w:rsidP="00041B43">
            <w:pPr>
              <w:pStyle w:val="NoSpacing"/>
              <w:spacing w:before="120" w:after="120"/>
              <w:rPr>
                <w:sz w:val="22"/>
              </w:rPr>
            </w:pPr>
            <w:r>
              <w:rPr>
                <w:sz w:val="22"/>
              </w:rPr>
              <w:t>FFY 22 (ano letivo de 2022-2023)</w:t>
            </w:r>
          </w:p>
        </w:tc>
        <w:tc>
          <w:tcPr>
            <w:tcW w:w="4675" w:type="dxa"/>
          </w:tcPr>
          <w:p w14:paraId="4A5E62B3" w14:textId="6F8D556D" w:rsidR="002420EC" w:rsidRPr="00D30DF1" w:rsidRDefault="576F5DD4" w:rsidP="00041B43">
            <w:pPr>
              <w:pStyle w:val="NoSpacing"/>
              <w:spacing w:before="120" w:after="120"/>
              <w:rPr>
                <w:sz w:val="22"/>
              </w:rPr>
            </w:pPr>
            <w:r>
              <w:rPr>
                <w:sz w:val="22"/>
              </w:rPr>
              <w:t>89,5%</w:t>
            </w:r>
          </w:p>
        </w:tc>
      </w:tr>
      <w:tr w:rsidR="00D30DF1" w:rsidRPr="00D30DF1" w14:paraId="18956BF3" w14:textId="77777777" w:rsidTr="410FDA87">
        <w:tc>
          <w:tcPr>
            <w:tcW w:w="4675" w:type="dxa"/>
          </w:tcPr>
          <w:p w14:paraId="0E3DF12F" w14:textId="32C9E788" w:rsidR="002420EC" w:rsidRPr="00D30DF1" w:rsidRDefault="00151765" w:rsidP="00041B43">
            <w:pPr>
              <w:pStyle w:val="NoSpacing"/>
              <w:spacing w:before="120" w:after="120"/>
              <w:rPr>
                <w:sz w:val="22"/>
              </w:rPr>
            </w:pPr>
            <w:r>
              <w:rPr>
                <w:sz w:val="22"/>
              </w:rPr>
              <w:t>FFY 23 (ano letivo de 2023-2024)</w:t>
            </w:r>
          </w:p>
        </w:tc>
        <w:tc>
          <w:tcPr>
            <w:tcW w:w="4675" w:type="dxa"/>
          </w:tcPr>
          <w:p w14:paraId="795A4EFE" w14:textId="5F9D6BB2" w:rsidR="002420EC" w:rsidRPr="00D30DF1" w:rsidRDefault="0011724E" w:rsidP="00041B43">
            <w:pPr>
              <w:pStyle w:val="NoSpacing"/>
              <w:spacing w:before="120" w:after="120"/>
              <w:rPr>
                <w:sz w:val="22"/>
              </w:rPr>
            </w:pPr>
            <w:r>
              <w:rPr>
                <w:sz w:val="22"/>
              </w:rPr>
              <w:t>90%</w:t>
            </w:r>
          </w:p>
        </w:tc>
      </w:tr>
      <w:tr w:rsidR="00D30DF1" w:rsidRPr="00D30DF1" w14:paraId="148FDF0D" w14:textId="77777777" w:rsidTr="410FDA87">
        <w:trPr>
          <w:trHeight w:val="300"/>
        </w:trPr>
        <w:tc>
          <w:tcPr>
            <w:tcW w:w="4675" w:type="dxa"/>
          </w:tcPr>
          <w:p w14:paraId="2C1256F9" w14:textId="2D9A1C1B" w:rsidR="64E7B9CE" w:rsidRPr="00D30DF1" w:rsidRDefault="64E7B9CE" w:rsidP="00041B43">
            <w:pPr>
              <w:pStyle w:val="NoSpacing"/>
              <w:spacing w:before="120" w:after="120"/>
              <w:rPr>
                <w:rFonts w:ascii="Calibri" w:hAnsi="Calibri"/>
              </w:rPr>
            </w:pPr>
            <w:r>
              <w:rPr>
                <w:sz w:val="22"/>
              </w:rPr>
              <w:t>FFY 24 (ano letivo de 2024-2025)</w:t>
            </w:r>
          </w:p>
        </w:tc>
        <w:tc>
          <w:tcPr>
            <w:tcW w:w="4675" w:type="dxa"/>
          </w:tcPr>
          <w:p w14:paraId="45C8C17C" w14:textId="1551B5BE" w:rsidR="64E7B9CE" w:rsidRPr="00D30DF1" w:rsidRDefault="64E7B9CE" w:rsidP="00041B43">
            <w:pPr>
              <w:pStyle w:val="NoSpacing"/>
              <w:spacing w:before="120" w:after="120"/>
              <w:rPr>
                <w:sz w:val="22"/>
              </w:rPr>
            </w:pPr>
            <w:r>
              <w:rPr>
                <w:sz w:val="22"/>
              </w:rPr>
              <w:t>90,5%</w:t>
            </w:r>
          </w:p>
        </w:tc>
      </w:tr>
      <w:tr w:rsidR="6A0731D3" w14:paraId="19390716" w14:textId="77777777" w:rsidTr="6A0731D3">
        <w:trPr>
          <w:trHeight w:val="495"/>
        </w:trPr>
        <w:tc>
          <w:tcPr>
            <w:tcW w:w="4675" w:type="dxa"/>
          </w:tcPr>
          <w:p w14:paraId="209DCE7F" w14:textId="6CBC2818" w:rsidR="283FA1EE" w:rsidRDefault="283FA1EE" w:rsidP="004D7669">
            <w:pPr>
              <w:pStyle w:val="NoSpacing"/>
              <w:spacing w:before="120" w:after="120"/>
              <w:rPr>
                <w:sz w:val="22"/>
              </w:rPr>
            </w:pPr>
            <w:r>
              <w:rPr>
                <w:sz w:val="22"/>
              </w:rPr>
              <w:t>FFY 25 (ano letivo de 2025-2026)</w:t>
            </w:r>
          </w:p>
        </w:tc>
        <w:tc>
          <w:tcPr>
            <w:tcW w:w="4675" w:type="dxa"/>
          </w:tcPr>
          <w:p w14:paraId="745EFA7B" w14:textId="59ED8B1C" w:rsidR="283FA1EE" w:rsidRDefault="283FA1EE" w:rsidP="004D7669">
            <w:pPr>
              <w:pStyle w:val="NoSpacing"/>
              <w:spacing w:before="120" w:after="120"/>
              <w:rPr>
                <w:sz w:val="22"/>
              </w:rPr>
            </w:pPr>
            <w:r>
              <w:rPr>
                <w:sz w:val="22"/>
              </w:rPr>
              <w:t>91%</w:t>
            </w:r>
          </w:p>
        </w:tc>
      </w:tr>
    </w:tbl>
    <w:p w14:paraId="012FFB39" w14:textId="5CFF16D0" w:rsidR="00180BBE" w:rsidRDefault="00180BBE" w:rsidP="00041B43">
      <w:pPr>
        <w:pStyle w:val="NoSpacing"/>
        <w:spacing w:before="120" w:after="120"/>
        <w:rPr>
          <w:b/>
          <w:sz w:val="22"/>
        </w:rPr>
      </w:pPr>
    </w:p>
    <w:p w14:paraId="316E7C4D" w14:textId="6CAB36A4" w:rsidR="00745779" w:rsidRPr="000A4B26" w:rsidRDefault="0030424F" w:rsidP="00745779">
      <w:pPr>
        <w:rPr>
          <w:rFonts w:cstheme="minorHAnsi"/>
          <w:b/>
          <w:bCs/>
          <w:szCs w:val="24"/>
        </w:rPr>
      </w:pPr>
      <w:r w:rsidRPr="0030424F">
        <w:rPr>
          <w:b/>
        </w:rPr>
        <w:t>Saiba mais sobre o Indicador # 8:</w:t>
      </w:r>
    </w:p>
    <w:p w14:paraId="4B9DF303" w14:textId="6CE12067" w:rsidR="00C361EE" w:rsidRPr="003535E4" w:rsidRDefault="001D0955" w:rsidP="00C361EE">
      <w:pPr>
        <w:pStyle w:val="ListParagraph"/>
        <w:numPr>
          <w:ilvl w:val="0"/>
          <w:numId w:val="5"/>
        </w:numPr>
        <w:spacing w:after="0"/>
        <w:rPr>
          <w:rFonts w:eastAsiaTheme="minorHAnsi"/>
          <w:color w:val="2F5496" w:themeColor="accent1" w:themeShade="BF"/>
          <w:sz w:val="22"/>
          <w:u w:val="single"/>
          <w:lang w:bidi="ar-SA"/>
        </w:rPr>
      </w:pPr>
      <w:hyperlink r:id="rId13" w:history="1">
        <w:r w:rsidR="0030424F">
          <w:rPr>
            <w:rStyle w:val="Hyperlink"/>
          </w:rPr>
          <w:t>PowerPoint Indicador 8</w:t>
        </w:r>
      </w:hyperlink>
    </w:p>
    <w:p w14:paraId="43A98772" w14:textId="77777777" w:rsidR="00C361EE" w:rsidRDefault="00C361EE" w:rsidP="00C361EE">
      <w:pPr>
        <w:pStyle w:val="ListParagraph"/>
        <w:spacing w:after="0"/>
        <w:rPr>
          <w:rFonts w:eastAsiaTheme="minorHAnsi"/>
          <w:sz w:val="22"/>
          <w:lang w:bidi="ar-SA"/>
        </w:rPr>
      </w:pPr>
    </w:p>
    <w:sectPr w:rsidR="00C361EE" w:rsidSect="00C11F67">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079EA" w14:textId="77777777" w:rsidR="001D0955" w:rsidRDefault="001D0955">
      <w:pPr>
        <w:spacing w:after="0"/>
      </w:pPr>
      <w:r>
        <w:separator/>
      </w:r>
    </w:p>
  </w:endnote>
  <w:endnote w:type="continuationSeparator" w:id="0">
    <w:p w14:paraId="72311DB3" w14:textId="77777777" w:rsidR="001D0955" w:rsidRDefault="001D0955">
      <w:pPr>
        <w:spacing w:after="0"/>
      </w:pPr>
      <w:r>
        <w:continuationSeparator/>
      </w:r>
    </w:p>
  </w:endnote>
  <w:endnote w:type="continuationNotice" w:id="1">
    <w:p w14:paraId="6FB2B6EF" w14:textId="77777777" w:rsidR="001D0955" w:rsidRDefault="001D0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09941"/>
      <w:docPartObj>
        <w:docPartGallery w:val="Page Numbers (Bottom of Page)"/>
        <w:docPartUnique/>
      </w:docPartObj>
    </w:sdtPr>
    <w:sdtEndPr/>
    <w:sdtContent>
      <w:p w14:paraId="67240C85" w14:textId="77777777" w:rsidR="00974DC2" w:rsidRDefault="00B4024B">
        <w:pPr>
          <w:pStyle w:val="Footer"/>
          <w:jc w:val="right"/>
        </w:pPr>
        <w:r>
          <w:fldChar w:fldCharType="begin"/>
        </w:r>
        <w:r>
          <w:instrText xml:space="preserve"> PAGE   \* MERGEFORMAT </w:instrText>
        </w:r>
        <w:r>
          <w:fldChar w:fldCharType="separate"/>
        </w:r>
        <w:r>
          <w:t>2</w:t>
        </w:r>
        <w:r>
          <w:fldChar w:fldCharType="end"/>
        </w:r>
      </w:p>
    </w:sdtContent>
  </w:sdt>
  <w:p w14:paraId="6D0148A5" w14:textId="77777777" w:rsidR="00974DC2" w:rsidRDefault="0097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F4A76" w14:textId="77777777" w:rsidR="001D0955" w:rsidRDefault="001D0955">
      <w:pPr>
        <w:spacing w:after="0"/>
      </w:pPr>
      <w:r>
        <w:separator/>
      </w:r>
    </w:p>
  </w:footnote>
  <w:footnote w:type="continuationSeparator" w:id="0">
    <w:p w14:paraId="64BB7A9C" w14:textId="77777777" w:rsidR="001D0955" w:rsidRDefault="001D0955">
      <w:pPr>
        <w:spacing w:after="0"/>
      </w:pPr>
      <w:r>
        <w:continuationSeparator/>
      </w:r>
    </w:p>
  </w:footnote>
  <w:footnote w:type="continuationNotice" w:id="1">
    <w:p w14:paraId="6140CBB2" w14:textId="77777777" w:rsidR="001D0955" w:rsidRDefault="001D09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EA3"/>
    <w:multiLevelType w:val="hybridMultilevel"/>
    <w:tmpl w:val="8B2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55EB5"/>
    <w:multiLevelType w:val="hybridMultilevel"/>
    <w:tmpl w:val="09F2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F09F2"/>
    <w:multiLevelType w:val="hybridMultilevel"/>
    <w:tmpl w:val="52F6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B0963"/>
    <w:multiLevelType w:val="hybridMultilevel"/>
    <w:tmpl w:val="7ADA6D6C"/>
    <w:lvl w:ilvl="0" w:tplc="63EEFB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00674F"/>
    <w:multiLevelType w:val="hybridMultilevel"/>
    <w:tmpl w:val="9EF6DE1E"/>
    <w:lvl w:ilvl="0" w:tplc="E356EA5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7"/>
    <w:rsid w:val="00021BB6"/>
    <w:rsid w:val="00041B43"/>
    <w:rsid w:val="00053D56"/>
    <w:rsid w:val="00067114"/>
    <w:rsid w:val="00077D66"/>
    <w:rsid w:val="000813D7"/>
    <w:rsid w:val="00091CCF"/>
    <w:rsid w:val="000924F8"/>
    <w:rsid w:val="000A203E"/>
    <w:rsid w:val="000A2FD2"/>
    <w:rsid w:val="000B2574"/>
    <w:rsid w:val="000B52A2"/>
    <w:rsid w:val="000D47D0"/>
    <w:rsid w:val="000E2149"/>
    <w:rsid w:val="000E2A19"/>
    <w:rsid w:val="000E2CA2"/>
    <w:rsid w:val="000E3E2D"/>
    <w:rsid w:val="000F48BA"/>
    <w:rsid w:val="000F5FE8"/>
    <w:rsid w:val="001028E1"/>
    <w:rsid w:val="0010717C"/>
    <w:rsid w:val="0011724E"/>
    <w:rsid w:val="00120D50"/>
    <w:rsid w:val="001317D4"/>
    <w:rsid w:val="0013762D"/>
    <w:rsid w:val="00144B18"/>
    <w:rsid w:val="00151765"/>
    <w:rsid w:val="001517C9"/>
    <w:rsid w:val="00151D0E"/>
    <w:rsid w:val="001541D3"/>
    <w:rsid w:val="00155ECC"/>
    <w:rsid w:val="0017385F"/>
    <w:rsid w:val="00180BBE"/>
    <w:rsid w:val="001837B2"/>
    <w:rsid w:val="00191400"/>
    <w:rsid w:val="00196B0F"/>
    <w:rsid w:val="001B10CE"/>
    <w:rsid w:val="001D0955"/>
    <w:rsid w:val="001D78A1"/>
    <w:rsid w:val="002037AE"/>
    <w:rsid w:val="00203F0E"/>
    <w:rsid w:val="002252C4"/>
    <w:rsid w:val="0022610C"/>
    <w:rsid w:val="00232EF2"/>
    <w:rsid w:val="00241A78"/>
    <w:rsid w:val="002420EC"/>
    <w:rsid w:val="002440A9"/>
    <w:rsid w:val="00247A0A"/>
    <w:rsid w:val="00252AED"/>
    <w:rsid w:val="00255C36"/>
    <w:rsid w:val="00257AFA"/>
    <w:rsid w:val="0026003D"/>
    <w:rsid w:val="002746B1"/>
    <w:rsid w:val="00295593"/>
    <w:rsid w:val="002A3283"/>
    <w:rsid w:val="002A561D"/>
    <w:rsid w:val="002B6BD2"/>
    <w:rsid w:val="002D04E0"/>
    <w:rsid w:val="002D45BC"/>
    <w:rsid w:val="002E04DD"/>
    <w:rsid w:val="002E3DB9"/>
    <w:rsid w:val="002E76DC"/>
    <w:rsid w:val="002F28E3"/>
    <w:rsid w:val="002F2FCC"/>
    <w:rsid w:val="002F62BC"/>
    <w:rsid w:val="00303D81"/>
    <w:rsid w:val="0030424F"/>
    <w:rsid w:val="0031308E"/>
    <w:rsid w:val="00321810"/>
    <w:rsid w:val="00332AAA"/>
    <w:rsid w:val="0033487F"/>
    <w:rsid w:val="00346BA1"/>
    <w:rsid w:val="003535E4"/>
    <w:rsid w:val="00371DC9"/>
    <w:rsid w:val="00391251"/>
    <w:rsid w:val="003A3251"/>
    <w:rsid w:val="003A6401"/>
    <w:rsid w:val="003A7F39"/>
    <w:rsid w:val="003B168E"/>
    <w:rsid w:val="003C660B"/>
    <w:rsid w:val="003C7D16"/>
    <w:rsid w:val="003D747D"/>
    <w:rsid w:val="003E351D"/>
    <w:rsid w:val="003E776F"/>
    <w:rsid w:val="00400D94"/>
    <w:rsid w:val="00405BC9"/>
    <w:rsid w:val="00433329"/>
    <w:rsid w:val="004359B2"/>
    <w:rsid w:val="004A106C"/>
    <w:rsid w:val="004C0B60"/>
    <w:rsid w:val="004C51AC"/>
    <w:rsid w:val="004C5CD5"/>
    <w:rsid w:val="004C6E7D"/>
    <w:rsid w:val="004D57B7"/>
    <w:rsid w:val="004D7669"/>
    <w:rsid w:val="004E4913"/>
    <w:rsid w:val="004F4FAD"/>
    <w:rsid w:val="00506B9E"/>
    <w:rsid w:val="00506C96"/>
    <w:rsid w:val="005159CF"/>
    <w:rsid w:val="00516403"/>
    <w:rsid w:val="00530AC9"/>
    <w:rsid w:val="00531711"/>
    <w:rsid w:val="00545F49"/>
    <w:rsid w:val="005613CB"/>
    <w:rsid w:val="005729C7"/>
    <w:rsid w:val="0057400C"/>
    <w:rsid w:val="00583AD3"/>
    <w:rsid w:val="005A1B44"/>
    <w:rsid w:val="005A5E17"/>
    <w:rsid w:val="005C36C1"/>
    <w:rsid w:val="005C6364"/>
    <w:rsid w:val="005E1805"/>
    <w:rsid w:val="005E6654"/>
    <w:rsid w:val="0060684F"/>
    <w:rsid w:val="00623E69"/>
    <w:rsid w:val="00644ECE"/>
    <w:rsid w:val="00645BF6"/>
    <w:rsid w:val="00653F96"/>
    <w:rsid w:val="00684E9D"/>
    <w:rsid w:val="00694143"/>
    <w:rsid w:val="006B1E40"/>
    <w:rsid w:val="006B3EC7"/>
    <w:rsid w:val="006C5464"/>
    <w:rsid w:val="006F27C5"/>
    <w:rsid w:val="00707C15"/>
    <w:rsid w:val="007236C8"/>
    <w:rsid w:val="00733312"/>
    <w:rsid w:val="00744751"/>
    <w:rsid w:val="00745779"/>
    <w:rsid w:val="00750338"/>
    <w:rsid w:val="007515D1"/>
    <w:rsid w:val="00757A43"/>
    <w:rsid w:val="00762E5C"/>
    <w:rsid w:val="00773399"/>
    <w:rsid w:val="00780B68"/>
    <w:rsid w:val="00793BCB"/>
    <w:rsid w:val="007A59C6"/>
    <w:rsid w:val="007B7C42"/>
    <w:rsid w:val="007E5027"/>
    <w:rsid w:val="007F1E44"/>
    <w:rsid w:val="007F32BA"/>
    <w:rsid w:val="00805F5D"/>
    <w:rsid w:val="00806BF7"/>
    <w:rsid w:val="00811B43"/>
    <w:rsid w:val="0082161E"/>
    <w:rsid w:val="0082329B"/>
    <w:rsid w:val="008418FA"/>
    <w:rsid w:val="00852EAE"/>
    <w:rsid w:val="0086338A"/>
    <w:rsid w:val="00881366"/>
    <w:rsid w:val="008A0CEC"/>
    <w:rsid w:val="008B14E3"/>
    <w:rsid w:val="008D2FBA"/>
    <w:rsid w:val="008D7391"/>
    <w:rsid w:val="008D7FE1"/>
    <w:rsid w:val="008E218B"/>
    <w:rsid w:val="008E7E02"/>
    <w:rsid w:val="008F1860"/>
    <w:rsid w:val="008F1D03"/>
    <w:rsid w:val="008F5F9A"/>
    <w:rsid w:val="00925E4A"/>
    <w:rsid w:val="00934695"/>
    <w:rsid w:val="00941685"/>
    <w:rsid w:val="00952DAF"/>
    <w:rsid w:val="00953E66"/>
    <w:rsid w:val="00954401"/>
    <w:rsid w:val="00967BB5"/>
    <w:rsid w:val="00970679"/>
    <w:rsid w:val="0097286F"/>
    <w:rsid w:val="00974DC2"/>
    <w:rsid w:val="009904CE"/>
    <w:rsid w:val="00995EF2"/>
    <w:rsid w:val="009C0B2B"/>
    <w:rsid w:val="009D0AD3"/>
    <w:rsid w:val="009D200A"/>
    <w:rsid w:val="009D4323"/>
    <w:rsid w:val="009D48B5"/>
    <w:rsid w:val="009D49A0"/>
    <w:rsid w:val="009D7C48"/>
    <w:rsid w:val="009E38B2"/>
    <w:rsid w:val="00A072B0"/>
    <w:rsid w:val="00A1272E"/>
    <w:rsid w:val="00A139F4"/>
    <w:rsid w:val="00A23906"/>
    <w:rsid w:val="00A306E6"/>
    <w:rsid w:val="00A37BB3"/>
    <w:rsid w:val="00A50C42"/>
    <w:rsid w:val="00A56927"/>
    <w:rsid w:val="00A63317"/>
    <w:rsid w:val="00A808A4"/>
    <w:rsid w:val="00A8236A"/>
    <w:rsid w:val="00A84D1A"/>
    <w:rsid w:val="00A97844"/>
    <w:rsid w:val="00AA005A"/>
    <w:rsid w:val="00AA68DA"/>
    <w:rsid w:val="00AA7C70"/>
    <w:rsid w:val="00AB5324"/>
    <w:rsid w:val="00AB71BF"/>
    <w:rsid w:val="00AF4254"/>
    <w:rsid w:val="00B058F0"/>
    <w:rsid w:val="00B1642C"/>
    <w:rsid w:val="00B22FF3"/>
    <w:rsid w:val="00B279DB"/>
    <w:rsid w:val="00B37A49"/>
    <w:rsid w:val="00B4024B"/>
    <w:rsid w:val="00B45D93"/>
    <w:rsid w:val="00B4759A"/>
    <w:rsid w:val="00B56D2D"/>
    <w:rsid w:val="00B6018F"/>
    <w:rsid w:val="00B70209"/>
    <w:rsid w:val="00B74C02"/>
    <w:rsid w:val="00B80CBE"/>
    <w:rsid w:val="00B815A1"/>
    <w:rsid w:val="00B81ECD"/>
    <w:rsid w:val="00BD2871"/>
    <w:rsid w:val="00BD7216"/>
    <w:rsid w:val="00BD73A1"/>
    <w:rsid w:val="00BF1BE4"/>
    <w:rsid w:val="00C02E9E"/>
    <w:rsid w:val="00C04F5A"/>
    <w:rsid w:val="00C05AAA"/>
    <w:rsid w:val="00C07A9E"/>
    <w:rsid w:val="00C11F67"/>
    <w:rsid w:val="00C13A78"/>
    <w:rsid w:val="00C16AFB"/>
    <w:rsid w:val="00C2669C"/>
    <w:rsid w:val="00C26823"/>
    <w:rsid w:val="00C361EE"/>
    <w:rsid w:val="00C40110"/>
    <w:rsid w:val="00C43417"/>
    <w:rsid w:val="00C5386D"/>
    <w:rsid w:val="00C6321A"/>
    <w:rsid w:val="00C642C3"/>
    <w:rsid w:val="00C70F32"/>
    <w:rsid w:val="00C74128"/>
    <w:rsid w:val="00C8197E"/>
    <w:rsid w:val="00C81DA0"/>
    <w:rsid w:val="00C97A90"/>
    <w:rsid w:val="00CA1933"/>
    <w:rsid w:val="00CB0B8E"/>
    <w:rsid w:val="00CB6E59"/>
    <w:rsid w:val="00CE508E"/>
    <w:rsid w:val="00CE6E17"/>
    <w:rsid w:val="00D057CA"/>
    <w:rsid w:val="00D21037"/>
    <w:rsid w:val="00D26B43"/>
    <w:rsid w:val="00D3043C"/>
    <w:rsid w:val="00D30DF1"/>
    <w:rsid w:val="00D43FDF"/>
    <w:rsid w:val="00D462E1"/>
    <w:rsid w:val="00D469E0"/>
    <w:rsid w:val="00D56650"/>
    <w:rsid w:val="00D61B24"/>
    <w:rsid w:val="00D651A8"/>
    <w:rsid w:val="00D6799A"/>
    <w:rsid w:val="00D84385"/>
    <w:rsid w:val="00D921ED"/>
    <w:rsid w:val="00DA1E92"/>
    <w:rsid w:val="00DB55BD"/>
    <w:rsid w:val="00DD3F6C"/>
    <w:rsid w:val="00DD647C"/>
    <w:rsid w:val="00DE257C"/>
    <w:rsid w:val="00DF052D"/>
    <w:rsid w:val="00E028A0"/>
    <w:rsid w:val="00E10928"/>
    <w:rsid w:val="00E1280F"/>
    <w:rsid w:val="00E21E79"/>
    <w:rsid w:val="00E2506D"/>
    <w:rsid w:val="00E31B7B"/>
    <w:rsid w:val="00E42A94"/>
    <w:rsid w:val="00E6201F"/>
    <w:rsid w:val="00E73EF4"/>
    <w:rsid w:val="00E74CB4"/>
    <w:rsid w:val="00E755E6"/>
    <w:rsid w:val="00E77F34"/>
    <w:rsid w:val="00E90722"/>
    <w:rsid w:val="00EA669F"/>
    <w:rsid w:val="00ED1E75"/>
    <w:rsid w:val="00EE26FD"/>
    <w:rsid w:val="00EE4312"/>
    <w:rsid w:val="00EE4FAE"/>
    <w:rsid w:val="00F03329"/>
    <w:rsid w:val="00F10139"/>
    <w:rsid w:val="00F156A8"/>
    <w:rsid w:val="00F16DE0"/>
    <w:rsid w:val="00F2142A"/>
    <w:rsid w:val="00F25B47"/>
    <w:rsid w:val="00F516C7"/>
    <w:rsid w:val="00F5175A"/>
    <w:rsid w:val="00F64BAE"/>
    <w:rsid w:val="00F67134"/>
    <w:rsid w:val="00F71B86"/>
    <w:rsid w:val="00F821DC"/>
    <w:rsid w:val="00F914C9"/>
    <w:rsid w:val="00FB0B21"/>
    <w:rsid w:val="00FC0168"/>
    <w:rsid w:val="00FC4651"/>
    <w:rsid w:val="00FD2ADE"/>
    <w:rsid w:val="00FE430D"/>
    <w:rsid w:val="00FF0234"/>
    <w:rsid w:val="00FF1C39"/>
    <w:rsid w:val="00FF78F8"/>
    <w:rsid w:val="05205253"/>
    <w:rsid w:val="07DB567D"/>
    <w:rsid w:val="095DFE81"/>
    <w:rsid w:val="0C959F43"/>
    <w:rsid w:val="0D896236"/>
    <w:rsid w:val="0F275152"/>
    <w:rsid w:val="0FDDC91F"/>
    <w:rsid w:val="108B8B9B"/>
    <w:rsid w:val="174ED3D6"/>
    <w:rsid w:val="197C0FD1"/>
    <w:rsid w:val="1A6388F4"/>
    <w:rsid w:val="1CB3B093"/>
    <w:rsid w:val="1CC22225"/>
    <w:rsid w:val="1D9F8600"/>
    <w:rsid w:val="211A3F3C"/>
    <w:rsid w:val="256EF155"/>
    <w:rsid w:val="2622153E"/>
    <w:rsid w:val="283FA1EE"/>
    <w:rsid w:val="28618551"/>
    <w:rsid w:val="29327D95"/>
    <w:rsid w:val="2EC81BB5"/>
    <w:rsid w:val="33D1B2BA"/>
    <w:rsid w:val="383726A6"/>
    <w:rsid w:val="38DC798E"/>
    <w:rsid w:val="399D30EB"/>
    <w:rsid w:val="3A1E1B8F"/>
    <w:rsid w:val="3A6FDDFB"/>
    <w:rsid w:val="3C910221"/>
    <w:rsid w:val="3E516554"/>
    <w:rsid w:val="410FDA87"/>
    <w:rsid w:val="420485A9"/>
    <w:rsid w:val="4660B041"/>
    <w:rsid w:val="46CB4155"/>
    <w:rsid w:val="49F10857"/>
    <w:rsid w:val="542EBD34"/>
    <w:rsid w:val="54651292"/>
    <w:rsid w:val="555CC04B"/>
    <w:rsid w:val="576F5DD4"/>
    <w:rsid w:val="59182BAF"/>
    <w:rsid w:val="595467E8"/>
    <w:rsid w:val="61169F98"/>
    <w:rsid w:val="61240640"/>
    <w:rsid w:val="632911F9"/>
    <w:rsid w:val="64E7B9CE"/>
    <w:rsid w:val="64EEFD4D"/>
    <w:rsid w:val="6714A39C"/>
    <w:rsid w:val="68571C56"/>
    <w:rsid w:val="68D7DE6D"/>
    <w:rsid w:val="69F90114"/>
    <w:rsid w:val="6A0731D3"/>
    <w:rsid w:val="6B7C3F59"/>
    <w:rsid w:val="6D22FED7"/>
    <w:rsid w:val="6D38FF0B"/>
    <w:rsid w:val="6D4D703A"/>
    <w:rsid w:val="7130A45D"/>
    <w:rsid w:val="71A85336"/>
    <w:rsid w:val="71FDFE9C"/>
    <w:rsid w:val="73C08603"/>
    <w:rsid w:val="77D3A444"/>
    <w:rsid w:val="7825A49F"/>
    <w:rsid w:val="7DA910B6"/>
    <w:rsid w:val="7E2F6BFA"/>
    <w:rsid w:val="7EE46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7D2E"/>
  <w15:chartTrackingRefBased/>
  <w15:docId w15:val="{25CD1E92-6948-48BE-9839-5E795FC9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67"/>
    <w:pPr>
      <w:spacing w:after="240" w:line="240" w:lineRule="auto"/>
    </w:pPr>
    <w:rPr>
      <w:rFonts w:eastAsiaTheme="minorEastAsia"/>
      <w:sz w:val="24"/>
      <w:lang w:bidi="en-US"/>
    </w:rPr>
  </w:style>
  <w:style w:type="paragraph" w:styleId="Heading1">
    <w:name w:val="heading 1"/>
    <w:basedOn w:val="Normal"/>
    <w:next w:val="Normal"/>
    <w:link w:val="Heading1Char"/>
    <w:uiPriority w:val="9"/>
    <w:qFormat/>
    <w:rsid w:val="00C11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F6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C11F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67"/>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C11F67"/>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C11F67"/>
    <w:rPr>
      <w:rFonts w:asciiTheme="majorHAnsi" w:eastAsiaTheme="majorEastAsia" w:hAnsiTheme="majorHAnsi" w:cstheme="majorBidi"/>
      <w:color w:val="1F3763" w:themeColor="accent1" w:themeShade="7F"/>
      <w:sz w:val="24"/>
      <w:szCs w:val="24"/>
      <w:lang w:bidi="en-US"/>
    </w:rPr>
  </w:style>
  <w:style w:type="character" w:customStyle="1" w:styleId="Heading4Char">
    <w:name w:val="Heading 4 Char"/>
    <w:basedOn w:val="DefaultParagraphFont"/>
    <w:link w:val="Heading4"/>
    <w:uiPriority w:val="9"/>
    <w:rsid w:val="00C11F67"/>
    <w:rPr>
      <w:rFonts w:asciiTheme="majorHAnsi" w:eastAsiaTheme="majorEastAsia" w:hAnsiTheme="majorHAnsi" w:cstheme="majorBidi"/>
      <w:i/>
      <w:iCs/>
      <w:color w:val="2F5496" w:themeColor="accent1" w:themeShade="BF"/>
      <w:sz w:val="24"/>
      <w:lang w:bidi="en-US"/>
    </w:rPr>
  </w:style>
  <w:style w:type="paragraph" w:styleId="Footer">
    <w:name w:val="footer"/>
    <w:basedOn w:val="Normal"/>
    <w:link w:val="FooterChar"/>
    <w:uiPriority w:val="99"/>
    <w:unhideWhenUsed/>
    <w:rsid w:val="00C11F67"/>
    <w:pPr>
      <w:tabs>
        <w:tab w:val="center" w:pos="4680"/>
        <w:tab w:val="right" w:pos="9360"/>
      </w:tabs>
      <w:spacing w:after="0"/>
    </w:pPr>
  </w:style>
  <w:style w:type="character" w:customStyle="1" w:styleId="FooterChar">
    <w:name w:val="Footer Char"/>
    <w:basedOn w:val="DefaultParagraphFont"/>
    <w:link w:val="Footer"/>
    <w:uiPriority w:val="99"/>
    <w:rsid w:val="00C11F67"/>
    <w:rPr>
      <w:rFonts w:eastAsiaTheme="minorEastAsia"/>
      <w:sz w:val="24"/>
      <w:lang w:bidi="en-US"/>
    </w:rPr>
  </w:style>
  <w:style w:type="paragraph" w:customStyle="1" w:styleId="Default">
    <w:name w:val="Default"/>
    <w:rsid w:val="00C11F6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11F67"/>
    <w:pPr>
      <w:spacing w:after="0" w:line="240" w:lineRule="auto"/>
    </w:pPr>
    <w:rPr>
      <w:rFonts w:eastAsiaTheme="minorEastAsia"/>
      <w:sz w:val="24"/>
      <w:lang w:bidi="en-US"/>
    </w:rPr>
  </w:style>
  <w:style w:type="table" w:styleId="TableGrid">
    <w:name w:val="Table Grid"/>
    <w:basedOn w:val="TableNormal"/>
    <w:uiPriority w:val="39"/>
    <w:rsid w:val="00C1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C42"/>
    <w:pPr>
      <w:ind w:left="720"/>
      <w:contextualSpacing/>
    </w:pPr>
  </w:style>
  <w:style w:type="paragraph" w:styleId="Header">
    <w:name w:val="header"/>
    <w:basedOn w:val="Normal"/>
    <w:link w:val="HeaderChar"/>
    <w:uiPriority w:val="99"/>
    <w:semiHidden/>
    <w:unhideWhenUsed/>
    <w:rsid w:val="007515D1"/>
    <w:pPr>
      <w:tabs>
        <w:tab w:val="center" w:pos="4680"/>
        <w:tab w:val="right" w:pos="9360"/>
      </w:tabs>
      <w:spacing w:after="0"/>
    </w:pPr>
  </w:style>
  <w:style w:type="character" w:customStyle="1" w:styleId="HeaderChar">
    <w:name w:val="Header Char"/>
    <w:basedOn w:val="DefaultParagraphFont"/>
    <w:link w:val="Header"/>
    <w:uiPriority w:val="99"/>
    <w:semiHidden/>
    <w:rsid w:val="007515D1"/>
    <w:rPr>
      <w:rFonts w:eastAsiaTheme="minorEastAsia"/>
      <w:sz w:val="24"/>
      <w:lang w:bidi="en-US"/>
    </w:rPr>
  </w:style>
  <w:style w:type="paragraph" w:customStyle="1" w:styleId="paragraph">
    <w:name w:val="paragraph"/>
    <w:basedOn w:val="Normal"/>
    <w:rsid w:val="009C0B2B"/>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9C0B2B"/>
  </w:style>
  <w:style w:type="character" w:customStyle="1" w:styleId="eop">
    <w:name w:val="eop"/>
    <w:basedOn w:val="DefaultParagraphFont"/>
    <w:rsid w:val="009C0B2B"/>
  </w:style>
  <w:style w:type="character" w:styleId="Hyperlink">
    <w:name w:val="Hyperlink"/>
    <w:basedOn w:val="DefaultParagraphFont"/>
    <w:uiPriority w:val="99"/>
    <w:unhideWhenUsed/>
    <w:rsid w:val="00303D81"/>
    <w:rPr>
      <w:color w:val="0563C1" w:themeColor="hyperlink"/>
      <w:u w:val="single"/>
    </w:rPr>
  </w:style>
  <w:style w:type="character" w:styleId="UnresolvedMention">
    <w:name w:val="Unresolved Mention"/>
    <w:basedOn w:val="DefaultParagraphFont"/>
    <w:uiPriority w:val="99"/>
    <w:semiHidden/>
    <w:unhideWhenUsed/>
    <w:rsid w:val="00303D81"/>
    <w:rPr>
      <w:color w:val="605E5C"/>
      <w:shd w:val="clear" w:color="auto" w:fill="E1DFDD"/>
    </w:rPr>
  </w:style>
  <w:style w:type="character" w:styleId="CommentReference">
    <w:name w:val="annotation reference"/>
    <w:basedOn w:val="DefaultParagraphFont"/>
    <w:uiPriority w:val="99"/>
    <w:semiHidden/>
    <w:unhideWhenUsed/>
    <w:rsid w:val="00295593"/>
    <w:rPr>
      <w:sz w:val="16"/>
      <w:szCs w:val="16"/>
    </w:rPr>
  </w:style>
  <w:style w:type="paragraph" w:styleId="CommentText">
    <w:name w:val="annotation text"/>
    <w:link w:val="CommentTextChar"/>
    <w:autoRedefine/>
    <w:uiPriority w:val="99"/>
    <w:semiHidden/>
    <w:unhideWhenUsed/>
    <w:qFormat/>
    <w:rsid w:val="00295593"/>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2955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6861">
      <w:bodyDiv w:val="1"/>
      <w:marLeft w:val="0"/>
      <w:marRight w:val="0"/>
      <w:marTop w:val="0"/>
      <w:marBottom w:val="0"/>
      <w:divBdr>
        <w:top w:val="none" w:sz="0" w:space="0" w:color="auto"/>
        <w:left w:val="none" w:sz="0" w:space="0" w:color="auto"/>
        <w:bottom w:val="none" w:sz="0" w:space="0" w:color="auto"/>
        <w:right w:val="none" w:sz="0" w:space="0" w:color="auto"/>
      </w:divBdr>
    </w:div>
    <w:div w:id="445194778">
      <w:bodyDiv w:val="1"/>
      <w:marLeft w:val="0"/>
      <w:marRight w:val="0"/>
      <w:marTop w:val="0"/>
      <w:marBottom w:val="0"/>
      <w:divBdr>
        <w:top w:val="none" w:sz="0" w:space="0" w:color="auto"/>
        <w:left w:val="none" w:sz="0" w:space="0" w:color="auto"/>
        <w:bottom w:val="none" w:sz="0" w:space="0" w:color="auto"/>
        <w:right w:val="none" w:sz="0" w:space="0" w:color="auto"/>
      </w:divBdr>
    </w:div>
    <w:div w:id="1212613106">
      <w:bodyDiv w:val="1"/>
      <w:marLeft w:val="0"/>
      <w:marRight w:val="0"/>
      <w:marTop w:val="0"/>
      <w:marBottom w:val="0"/>
      <w:divBdr>
        <w:top w:val="none" w:sz="0" w:space="0" w:color="auto"/>
        <w:left w:val="none" w:sz="0" w:space="0" w:color="auto"/>
        <w:bottom w:val="none" w:sz="0" w:space="0" w:color="auto"/>
        <w:right w:val="none" w:sz="0" w:space="0" w:color="auto"/>
      </w:divBdr>
    </w:div>
    <w:div w:id="1447653615">
      <w:bodyDiv w:val="1"/>
      <w:marLeft w:val="0"/>
      <w:marRight w:val="0"/>
      <w:marTop w:val="0"/>
      <w:marBottom w:val="0"/>
      <w:divBdr>
        <w:top w:val="none" w:sz="0" w:space="0" w:color="auto"/>
        <w:left w:val="none" w:sz="0" w:space="0" w:color="auto"/>
        <w:bottom w:val="none" w:sz="0" w:space="0" w:color="auto"/>
        <w:right w:val="none" w:sz="0" w:space="0" w:color="auto"/>
      </w:divBdr>
      <w:divsChild>
        <w:div w:id="14624968">
          <w:marLeft w:val="0"/>
          <w:marRight w:val="0"/>
          <w:marTop w:val="0"/>
          <w:marBottom w:val="0"/>
          <w:divBdr>
            <w:top w:val="none" w:sz="0" w:space="0" w:color="auto"/>
            <w:left w:val="none" w:sz="0" w:space="0" w:color="auto"/>
            <w:bottom w:val="none" w:sz="0" w:space="0" w:color="auto"/>
            <w:right w:val="none" w:sz="0" w:space="0" w:color="auto"/>
          </w:divBdr>
        </w:div>
        <w:div w:id="238491702">
          <w:marLeft w:val="0"/>
          <w:marRight w:val="0"/>
          <w:marTop w:val="0"/>
          <w:marBottom w:val="0"/>
          <w:divBdr>
            <w:top w:val="none" w:sz="0" w:space="0" w:color="auto"/>
            <w:left w:val="none" w:sz="0" w:space="0" w:color="auto"/>
            <w:bottom w:val="none" w:sz="0" w:space="0" w:color="auto"/>
            <w:right w:val="none" w:sz="0" w:space="0" w:color="auto"/>
          </w:divBdr>
        </w:div>
        <w:div w:id="448427516">
          <w:marLeft w:val="0"/>
          <w:marRight w:val="0"/>
          <w:marTop w:val="0"/>
          <w:marBottom w:val="0"/>
          <w:divBdr>
            <w:top w:val="none" w:sz="0" w:space="0" w:color="auto"/>
            <w:left w:val="none" w:sz="0" w:space="0" w:color="auto"/>
            <w:bottom w:val="none" w:sz="0" w:space="0" w:color="auto"/>
            <w:right w:val="none" w:sz="0" w:space="0" w:color="auto"/>
          </w:divBdr>
        </w:div>
        <w:div w:id="147930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8/indicator8-slides-portugues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psm/resources/tfm-toolkit.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0A552-EF42-4437-A831-F34D76067729}">
  <ds:schemaRefs>
    <ds:schemaRef ds:uri="http://schemas.microsoft.com/sharepoint/v3/contenttype/forms"/>
  </ds:schemaRefs>
</ds:datastoreItem>
</file>

<file path=customXml/itemProps2.xml><?xml version="1.0" encoding="utf-8"?>
<ds:datastoreItem xmlns:ds="http://schemas.openxmlformats.org/officeDocument/2006/customXml" ds:itemID="{5E47D713-CE6C-4583-98AD-5355EDE3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1EFC4-0BE0-4B44-8D2C-AB6260ED58B0}">
  <ds:schemaRefs>
    <ds:schemaRef ds:uri="http://schemas.openxmlformats.org/officeDocument/2006/bibliography"/>
  </ds:schemaRefs>
</ds:datastoreItem>
</file>

<file path=customXml/itemProps4.xml><?xml version="1.0" encoding="utf-8"?>
<ds:datastoreItem xmlns:ds="http://schemas.openxmlformats.org/officeDocument/2006/customXml" ds:itemID="{4DE0AF9F-C2F2-47AE-8F72-89ADC0955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Indicator 8: Parent Involvement — Students with IEPs — Portuguese</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8: Parent Involvement — Students with IEPs — Portuguese</dc:title>
  <dc:subject/>
  <dc:creator>DESE</dc:creator>
  <cp:keywords/>
  <dc:description/>
  <cp:lastModifiedBy>Zou, Dong (EOE)</cp:lastModifiedBy>
  <cp:revision>11</cp:revision>
  <dcterms:created xsi:type="dcterms:W3CDTF">2021-12-04T17:12:00Z</dcterms:created>
  <dcterms:modified xsi:type="dcterms:W3CDTF">2023-02-13T20:17:00Z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2023 12:00AM</vt:lpwstr>
  </property>
</Properties>
</file>