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ECEC8" w14:textId="3E74A8CB" w:rsidR="00B74C02" w:rsidRPr="00100660" w:rsidRDefault="00B74C02" w:rsidP="00041B43">
      <w:pPr>
        <w:pStyle w:val="Heading1"/>
        <w:spacing w:before="0" w:after="240"/>
        <w:rPr>
          <w:b/>
          <w:bCs/>
          <w:lang w:val="es-ES"/>
        </w:rPr>
      </w:pPr>
      <w:r w:rsidRPr="00100660">
        <w:rPr>
          <w:b/>
          <w:bCs/>
          <w:lang w:val="es"/>
        </w:rPr>
        <w:t>Indicador 8: Participación de los padres: estudiantes con un IEP</w:t>
      </w:r>
    </w:p>
    <w:p w14:paraId="58BB07E8" w14:textId="77777777" w:rsidR="00041B43" w:rsidRPr="00011E15" w:rsidRDefault="00041B43" w:rsidP="00041B43">
      <w:pPr>
        <w:pStyle w:val="NoSpacing"/>
        <w:spacing w:before="120" w:after="120"/>
        <w:rPr>
          <w:b/>
          <w:bCs/>
          <w:sz w:val="22"/>
          <w:lang w:val="es-ES"/>
        </w:rPr>
      </w:pPr>
      <w:r>
        <w:rPr>
          <w:b/>
          <w:bCs/>
          <w:sz w:val="22"/>
          <w:lang w:val="es"/>
        </w:rPr>
        <w:t>¿Qué es el Indicador 8?</w:t>
      </w:r>
    </w:p>
    <w:p w14:paraId="6528AF6C" w14:textId="7FB4DE24" w:rsidR="00295593" w:rsidRPr="00011E15" w:rsidRDefault="00DE257C" w:rsidP="00041B43">
      <w:pPr>
        <w:pStyle w:val="NoSpacing"/>
        <w:spacing w:before="120" w:after="120"/>
        <w:rPr>
          <w:rFonts w:ascii="Times New Roman" w:hAnsi="Times New Roman" w:cs="Times New Roman"/>
          <w:szCs w:val="24"/>
          <w:lang w:val="es-ES"/>
        </w:rPr>
      </w:pPr>
      <w:r>
        <w:rPr>
          <w:lang w:val="es"/>
        </w:rPr>
        <w:t xml:space="preserve">El </w:t>
      </w:r>
      <w:r>
        <w:rPr>
          <w:sz w:val="22"/>
          <w:lang w:val="es"/>
        </w:rPr>
        <w:t xml:space="preserve">Indicador 8 </w:t>
      </w:r>
      <w:r>
        <w:rPr>
          <w:rStyle w:val="normaltextrun"/>
          <w:rFonts w:ascii="Calibri" w:hAnsi="Calibri" w:cs="Calibri"/>
          <w:sz w:val="22"/>
          <w:shd w:val="clear" w:color="auto" w:fill="FFFFFF"/>
          <w:lang w:val="es"/>
        </w:rPr>
        <w:t>informa el porcentaje de padres que tienen un hijo que recibe servicios de educación especial que informan que las escuelas facilitaron la participación de los padres como una forma de mejorar los servicios y los resultados de los niños con discapacidades</w:t>
      </w:r>
      <w:r>
        <w:rPr>
          <w:lang w:val="es"/>
        </w:rPr>
        <w:t>.</w:t>
      </w:r>
    </w:p>
    <w:p w14:paraId="2EF7866D" w14:textId="64DEC20F" w:rsidR="00AF4254" w:rsidRPr="00011E15" w:rsidRDefault="00C81DA0" w:rsidP="00041B43">
      <w:pPr>
        <w:pStyle w:val="NoSpacing"/>
        <w:spacing w:before="120" w:after="120"/>
        <w:rPr>
          <w:b/>
          <w:bCs/>
          <w:sz w:val="22"/>
          <w:lang w:val="es-ES"/>
        </w:rPr>
      </w:pPr>
      <w:r>
        <w:rPr>
          <w:b/>
          <w:bCs/>
          <w:sz w:val="22"/>
          <w:lang w:val="es"/>
        </w:rPr>
        <w:t>¿Qué significa el término “padre” para el Indicador 8?</w:t>
      </w:r>
    </w:p>
    <w:p w14:paraId="799CEB1F" w14:textId="467501DD" w:rsidR="003C660B" w:rsidRPr="00011E15" w:rsidRDefault="001541D3" w:rsidP="00041B43">
      <w:pPr>
        <w:pStyle w:val="NoSpacing"/>
        <w:spacing w:before="120" w:after="120"/>
        <w:rPr>
          <w:rStyle w:val="normaltextrun"/>
          <w:rFonts w:ascii="Calibri" w:hAnsi="Calibri" w:cs="Calibri"/>
          <w:sz w:val="22"/>
          <w:shd w:val="clear" w:color="auto" w:fill="FFFFFF"/>
          <w:lang w:val="es-ES"/>
        </w:rPr>
      </w:pPr>
      <w:r>
        <w:rPr>
          <w:sz w:val="22"/>
          <w:lang w:val="es"/>
        </w:rPr>
        <w:t>Para el Indicador 8, el término “</w:t>
      </w:r>
      <w:r>
        <w:rPr>
          <w:rStyle w:val="normaltextrun"/>
          <w:rFonts w:ascii="Calibri" w:hAnsi="Calibri" w:cs="Calibri"/>
          <w:sz w:val="22"/>
          <w:shd w:val="clear" w:color="auto" w:fill="FFFFFF"/>
          <w:lang w:val="es"/>
        </w:rPr>
        <w:t>padre” incluye al padre, la madre, el tutor legal, cualquier persona que tenga el rol de padre del niño, un padre de crianza o un padre sustituto designado para la educación.</w:t>
      </w:r>
    </w:p>
    <w:p w14:paraId="249846B8" w14:textId="6DF3D008" w:rsidR="00D21037" w:rsidRPr="00011E15" w:rsidRDefault="00F25B47" w:rsidP="00041B43">
      <w:pPr>
        <w:pStyle w:val="NoSpacing"/>
        <w:spacing w:before="120" w:after="120"/>
        <w:rPr>
          <w:b/>
          <w:bCs/>
          <w:sz w:val="22"/>
          <w:lang w:val="es-ES"/>
        </w:rPr>
      </w:pPr>
      <w:r>
        <w:rPr>
          <w:b/>
          <w:bCs/>
          <w:sz w:val="22"/>
          <w:lang w:val="es"/>
        </w:rPr>
        <w:t>¿Por qué el Indicador 8 es importante?</w:t>
      </w:r>
    </w:p>
    <w:p w14:paraId="070EB11A" w14:textId="162B7C91" w:rsidR="00053D56" w:rsidRPr="00011E15" w:rsidRDefault="00F516C7" w:rsidP="00041B43">
      <w:pPr>
        <w:pStyle w:val="NoSpacing"/>
        <w:numPr>
          <w:ilvl w:val="0"/>
          <w:numId w:val="3"/>
        </w:numPr>
        <w:spacing w:before="120" w:after="120"/>
        <w:rPr>
          <w:rStyle w:val="normaltextrun"/>
          <w:rFonts w:ascii="Calibri" w:hAnsi="Calibri" w:cs="Calibri"/>
          <w:sz w:val="22"/>
          <w:shd w:val="clear" w:color="auto" w:fill="FFFFFF"/>
          <w:lang w:val="es-ES"/>
        </w:rPr>
      </w:pPr>
      <w:r>
        <w:rPr>
          <w:rStyle w:val="normaltextrun"/>
          <w:rFonts w:ascii="Calibri" w:hAnsi="Calibri" w:cs="Calibri"/>
          <w:sz w:val="22"/>
          <w:shd w:val="clear" w:color="auto" w:fill="FFFFFF"/>
          <w:lang w:val="es"/>
        </w:rPr>
        <w:t>La participación de los padres afecta los siguientes aspectos del niño:</w:t>
      </w:r>
    </w:p>
    <w:p w14:paraId="1162D09D" w14:textId="2D5CAE82" w:rsidR="00053D56" w:rsidRPr="00D30DF1" w:rsidRDefault="00A63317" w:rsidP="00041B43">
      <w:pPr>
        <w:pStyle w:val="NoSpacing"/>
        <w:numPr>
          <w:ilvl w:val="1"/>
          <w:numId w:val="3"/>
        </w:numPr>
        <w:spacing w:before="120" w:after="120"/>
        <w:contextualSpacing/>
        <w:rPr>
          <w:rStyle w:val="normaltextrun"/>
          <w:rFonts w:ascii="Calibri" w:hAnsi="Calibri" w:cs="Calibri"/>
          <w:sz w:val="22"/>
          <w:shd w:val="clear" w:color="auto" w:fill="FFFFFF"/>
        </w:rPr>
      </w:pPr>
      <w:r>
        <w:rPr>
          <w:rStyle w:val="normaltextrun"/>
          <w:rFonts w:ascii="Calibri" w:hAnsi="Calibri" w:cs="Calibri"/>
          <w:sz w:val="22"/>
          <w:shd w:val="clear" w:color="auto" w:fill="FFFFFF"/>
          <w:lang w:val="es"/>
        </w:rPr>
        <w:t>La salud socioemocional y física</w:t>
      </w:r>
    </w:p>
    <w:p w14:paraId="2E214CE5" w14:textId="523D1C05" w:rsidR="00053D56" w:rsidRPr="00D30DF1" w:rsidRDefault="00A63317" w:rsidP="00041B43">
      <w:pPr>
        <w:pStyle w:val="NoSpacing"/>
        <w:numPr>
          <w:ilvl w:val="1"/>
          <w:numId w:val="3"/>
        </w:numPr>
        <w:spacing w:before="120" w:after="120"/>
        <w:contextualSpacing/>
        <w:rPr>
          <w:rStyle w:val="normaltextrun"/>
          <w:rFonts w:ascii="Calibri" w:hAnsi="Calibri" w:cs="Calibri"/>
          <w:sz w:val="22"/>
          <w:shd w:val="clear" w:color="auto" w:fill="FFFFFF"/>
        </w:rPr>
      </w:pPr>
      <w:r>
        <w:rPr>
          <w:rStyle w:val="normaltextrun"/>
          <w:rFonts w:ascii="Calibri" w:hAnsi="Calibri" w:cs="Calibri"/>
          <w:sz w:val="22"/>
          <w:shd w:val="clear" w:color="auto" w:fill="FFFFFF"/>
          <w:lang w:val="es"/>
        </w:rPr>
        <w:t>La preparación escolar</w:t>
      </w:r>
    </w:p>
    <w:p w14:paraId="19561F95" w14:textId="1AAE1035" w:rsidR="00053D56" w:rsidRPr="00D30DF1" w:rsidRDefault="001517C9" w:rsidP="00041B43">
      <w:pPr>
        <w:pStyle w:val="NoSpacing"/>
        <w:numPr>
          <w:ilvl w:val="1"/>
          <w:numId w:val="3"/>
        </w:numPr>
        <w:spacing w:before="120" w:after="120"/>
        <w:contextualSpacing/>
        <w:rPr>
          <w:rStyle w:val="normaltextrun"/>
          <w:rFonts w:ascii="Calibri" w:hAnsi="Calibri" w:cs="Calibri"/>
          <w:sz w:val="22"/>
          <w:shd w:val="clear" w:color="auto" w:fill="FFFFFF"/>
        </w:rPr>
      </w:pPr>
      <w:r>
        <w:rPr>
          <w:rStyle w:val="normaltextrun"/>
          <w:rFonts w:ascii="Calibri" w:hAnsi="Calibri" w:cs="Calibri"/>
          <w:sz w:val="22"/>
          <w:shd w:val="clear" w:color="auto" w:fill="FFFFFF"/>
          <w:lang w:val="es"/>
        </w:rPr>
        <w:t>El buen desempeño escolar</w:t>
      </w:r>
    </w:p>
    <w:p w14:paraId="048093FF" w14:textId="7F2E5247" w:rsidR="00B45D93" w:rsidRPr="00D30DF1" w:rsidRDefault="00A63317" w:rsidP="00041B43">
      <w:pPr>
        <w:pStyle w:val="NoSpacing"/>
        <w:numPr>
          <w:ilvl w:val="1"/>
          <w:numId w:val="3"/>
        </w:numPr>
        <w:spacing w:before="120" w:after="120"/>
        <w:rPr>
          <w:rStyle w:val="normaltextrun"/>
          <w:rFonts w:ascii="Calibri" w:hAnsi="Calibri" w:cs="Calibri"/>
          <w:sz w:val="22"/>
          <w:shd w:val="clear" w:color="auto" w:fill="FFFFFF"/>
        </w:rPr>
      </w:pPr>
      <w:r>
        <w:rPr>
          <w:rStyle w:val="normaltextrun"/>
          <w:rFonts w:ascii="Calibri" w:hAnsi="Calibri" w:cs="Calibri"/>
          <w:sz w:val="22"/>
          <w:shd w:val="clear" w:color="auto" w:fill="FFFFFF"/>
          <w:lang w:val="es"/>
        </w:rPr>
        <w:t xml:space="preserve">El éxito en la vida </w:t>
      </w:r>
    </w:p>
    <w:p w14:paraId="54DC06BB" w14:textId="7655C84A" w:rsidR="00371DC9" w:rsidRPr="00011E15" w:rsidRDefault="008F1D03" w:rsidP="00041B43">
      <w:pPr>
        <w:pStyle w:val="NoSpacing"/>
        <w:numPr>
          <w:ilvl w:val="0"/>
          <w:numId w:val="3"/>
        </w:numPr>
        <w:spacing w:before="120" w:after="120"/>
        <w:rPr>
          <w:rStyle w:val="normaltextrun"/>
          <w:rFonts w:ascii="Calibri" w:hAnsi="Calibri" w:cs="Calibri"/>
          <w:sz w:val="22"/>
          <w:shd w:val="clear" w:color="auto" w:fill="FFFFFF"/>
          <w:lang w:val="es-ES"/>
        </w:rPr>
      </w:pPr>
      <w:r>
        <w:rPr>
          <w:rStyle w:val="normaltextrun"/>
          <w:rFonts w:ascii="Calibri" w:hAnsi="Calibri" w:cs="Calibri"/>
          <w:sz w:val="22"/>
          <w:shd w:val="clear" w:color="auto" w:fill="FFFFFF"/>
          <w:lang w:val="es"/>
        </w:rPr>
        <w:t>La participación de los padres puede ayudar a los educadores a ver nuevas formas de construir entornos seguros, acogedores y de confianza.</w:t>
      </w:r>
    </w:p>
    <w:p w14:paraId="182C157F" w14:textId="05355D5B" w:rsidR="00371DC9" w:rsidRPr="00011E15" w:rsidRDefault="00371DC9" w:rsidP="00041B43">
      <w:pPr>
        <w:pStyle w:val="NoSpacing"/>
        <w:spacing w:before="120" w:after="120"/>
        <w:rPr>
          <w:b/>
          <w:bCs/>
          <w:sz w:val="22"/>
          <w:lang w:val="es-ES"/>
        </w:rPr>
      </w:pPr>
      <w:r>
        <w:rPr>
          <w:b/>
          <w:bCs/>
          <w:sz w:val="22"/>
          <w:lang w:val="es"/>
        </w:rPr>
        <w:t>¿Cómo hace Massachusetts para recopilar los comentarios de los padres?</w:t>
      </w:r>
    </w:p>
    <w:p w14:paraId="23A3CB50" w14:textId="53F1B079" w:rsidR="00B6018F" w:rsidRPr="00011E15" w:rsidRDefault="00B6018F" w:rsidP="00041B43">
      <w:pPr>
        <w:pStyle w:val="paragraph"/>
        <w:numPr>
          <w:ilvl w:val="0"/>
          <w:numId w:val="4"/>
        </w:numPr>
        <w:spacing w:before="120" w:beforeAutospacing="0" w:after="120" w:afterAutospacing="0"/>
        <w:textAlignment w:val="baseline"/>
        <w:rPr>
          <w:rStyle w:val="normaltextrun"/>
          <w:rFonts w:ascii="Calibri" w:eastAsiaTheme="majorEastAsia" w:hAnsi="Calibri" w:cs="Calibri"/>
          <w:sz w:val="22"/>
          <w:szCs w:val="22"/>
          <w:lang w:val="es-ES"/>
        </w:rPr>
      </w:pPr>
      <w:r>
        <w:rPr>
          <w:rStyle w:val="normaltextrun"/>
          <w:rFonts w:ascii="Calibri" w:eastAsiaTheme="majorEastAsia" w:hAnsi="Calibri" w:cs="Calibri"/>
          <w:sz w:val="22"/>
          <w:szCs w:val="22"/>
          <w:lang w:val="es"/>
        </w:rPr>
        <w:t>El departamento les pide a los distritos escolares que compartan los correos electrónicos de los padres que tienen hijos que reciben servicios de educación especial para que puedan comunicarse con ellos.</w:t>
      </w:r>
    </w:p>
    <w:p w14:paraId="49485088" w14:textId="4409ED47" w:rsidR="004C6E7D" w:rsidRPr="00D30DF1" w:rsidRDefault="0031308E" w:rsidP="00041B43">
      <w:pPr>
        <w:pStyle w:val="paragraph"/>
        <w:numPr>
          <w:ilvl w:val="0"/>
          <w:numId w:val="4"/>
        </w:numPr>
        <w:spacing w:before="120" w:beforeAutospacing="0" w:after="12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lang w:val="es"/>
        </w:rPr>
        <w:t xml:space="preserve">Una encuesta para padres se comparte con los padres como parte del proceso de revisión del distrito. Este proceso también se denomina </w:t>
      </w:r>
      <w:hyperlink r:id="rId11" w:history="1">
        <w:r>
          <w:rPr>
            <w:rStyle w:val="Hyperlink"/>
            <w:rFonts w:ascii="Calibri" w:eastAsiaTheme="majorEastAsia" w:hAnsi="Calibri" w:cs="Calibri"/>
            <w:color w:val="auto"/>
            <w:sz w:val="22"/>
            <w:szCs w:val="22"/>
            <w:lang w:val="es"/>
          </w:rPr>
          <w:t>Control específico por niveles</w:t>
        </w:r>
      </w:hyperlink>
      <w:r>
        <w:rPr>
          <w:rStyle w:val="normaltextrun"/>
          <w:rFonts w:ascii="Calibri" w:eastAsiaTheme="majorEastAsia" w:hAnsi="Calibri" w:cs="Calibri"/>
          <w:sz w:val="22"/>
          <w:szCs w:val="22"/>
          <w:lang w:val="es"/>
        </w:rPr>
        <w:t xml:space="preserve">. </w:t>
      </w:r>
    </w:p>
    <w:p w14:paraId="173C9B01" w14:textId="7BEAE82D" w:rsidR="009C0B2B" w:rsidRPr="00011E15" w:rsidRDefault="00E90722" w:rsidP="00041B43">
      <w:pPr>
        <w:pStyle w:val="paragraph"/>
        <w:spacing w:before="120" w:beforeAutospacing="0" w:after="120" w:afterAutospacing="0"/>
        <w:textAlignment w:val="baseline"/>
        <w:rPr>
          <w:rFonts w:ascii="Calibri" w:eastAsiaTheme="majorEastAsia" w:hAnsi="Calibri" w:cs="Calibri"/>
          <w:sz w:val="22"/>
          <w:szCs w:val="22"/>
          <w:lang w:val="es-ES"/>
        </w:rPr>
      </w:pPr>
      <w:r>
        <w:rPr>
          <w:rStyle w:val="normaltextrun"/>
          <w:rFonts w:ascii="Calibri" w:eastAsiaTheme="majorEastAsia" w:hAnsi="Calibri" w:cs="Calibri"/>
          <w:sz w:val="22"/>
          <w:szCs w:val="22"/>
          <w:lang w:val="es"/>
        </w:rPr>
        <w:t>*Esto se aplica en todos los distritos, excepto en Boston. Todos los años, Boston comparte los resultados de la encuesta para padres con los padres en algunas de sus escuelas. Las respuestas de la encuesta se usan para encontrar la tasa de concordancia para el Indicador 8.</w:t>
      </w:r>
      <w:r>
        <w:rPr>
          <w:rStyle w:val="eop"/>
          <w:rFonts w:ascii="Calibri" w:hAnsi="Calibri" w:cs="Calibri"/>
          <w:sz w:val="22"/>
          <w:szCs w:val="22"/>
          <w:lang w:val="es"/>
        </w:rPr>
        <w:t> </w:t>
      </w:r>
    </w:p>
    <w:p w14:paraId="7C4855D6" w14:textId="39A1FD3F" w:rsidR="009D49A0" w:rsidRPr="00011E15" w:rsidRDefault="003E776F" w:rsidP="00041B43">
      <w:pPr>
        <w:pStyle w:val="paragraph"/>
        <w:spacing w:before="120" w:beforeAutospacing="0" w:after="120" w:afterAutospacing="0"/>
        <w:textAlignment w:val="baseline"/>
        <w:rPr>
          <w:rFonts w:asciiTheme="minorHAnsi" w:hAnsiTheme="minorHAnsi" w:cstheme="minorHAnsi"/>
          <w:b/>
          <w:bCs/>
          <w:sz w:val="22"/>
          <w:lang w:val="es-ES"/>
        </w:rPr>
      </w:pPr>
      <w:r>
        <w:rPr>
          <w:rFonts w:asciiTheme="minorHAnsi" w:hAnsiTheme="minorHAnsi" w:cstheme="minorHAnsi"/>
          <w:b/>
          <w:bCs/>
          <w:sz w:val="22"/>
          <w:lang w:val="es"/>
        </w:rPr>
        <w:t>Objetivos:</w:t>
      </w:r>
    </w:p>
    <w:p w14:paraId="7D275723" w14:textId="4D8B9FD2" w:rsidR="003E776F" w:rsidRPr="00011E15" w:rsidRDefault="005613CB" w:rsidP="00041B43">
      <w:pPr>
        <w:pStyle w:val="NoSpacing"/>
        <w:spacing w:before="120" w:after="120"/>
        <w:rPr>
          <w:rStyle w:val="normaltextrun"/>
          <w:rFonts w:ascii="Calibri" w:eastAsiaTheme="majorEastAsia" w:hAnsi="Calibri" w:cs="Calibri"/>
          <w:sz w:val="22"/>
          <w:lang w:val="es-ES"/>
        </w:rPr>
      </w:pPr>
      <w:r>
        <w:rPr>
          <w:rStyle w:val="normaltextrun"/>
          <w:rFonts w:ascii="Calibri" w:eastAsiaTheme="majorEastAsia" w:hAnsi="Calibri" w:cs="Calibri"/>
          <w:sz w:val="22"/>
          <w:lang w:val="es"/>
        </w:rPr>
        <w:t>Todos los años, tenemos un objetivo que esperamos lograr para la tasa de concordancia. Los objetivos se establecen después de recibir los comentarios de los padres, los defensores y los educadores. El departamento debe establecer objetivos al menos cada 5 años. Estos objetivos deben mostrar mejoras con el tiempo.</w:t>
      </w:r>
    </w:p>
    <w:p w14:paraId="4EB2A7BE" w14:textId="756D9FFE" w:rsidR="00A306E6" w:rsidRPr="00011E15" w:rsidRDefault="00516403" w:rsidP="00041B43">
      <w:pPr>
        <w:pStyle w:val="NoSpacing"/>
        <w:spacing w:before="120" w:after="120"/>
        <w:rPr>
          <w:sz w:val="22"/>
          <w:lang w:val="es-ES"/>
        </w:rPr>
      </w:pPr>
      <w:r>
        <w:rPr>
          <w:sz w:val="22"/>
          <w:lang w:val="es"/>
        </w:rPr>
        <w:t xml:space="preserve">Los objetivos y los resultados son para cada año fiscal federal (Federal Fiscal </w:t>
      </w:r>
      <w:proofErr w:type="spellStart"/>
      <w:r>
        <w:rPr>
          <w:sz w:val="22"/>
          <w:lang w:val="es"/>
        </w:rPr>
        <w:t>Year</w:t>
      </w:r>
      <w:proofErr w:type="spellEnd"/>
      <w:r>
        <w:rPr>
          <w:sz w:val="22"/>
          <w:lang w:val="es"/>
        </w:rPr>
        <w:t>, FFY), que comienza el 1 de octubre y se extiende hasta el 30 de septiembre de cada año. En la siguiente tabla se muestran los objetivos que se establecieron y la tasa de concordancia real para cada año desde el FFY 2013 hasta el FFY 2019.</w:t>
      </w:r>
      <w:r w:rsidR="00011E15">
        <w:rPr>
          <w:sz w:val="22"/>
          <w:lang w:val="es"/>
        </w:rPr>
        <w:t xml:space="preserve"> </w:t>
      </w:r>
    </w:p>
    <w:p w14:paraId="2FC251FB" w14:textId="254882B1" w:rsidR="00433329" w:rsidRPr="00011E15" w:rsidRDefault="00506B9E" w:rsidP="00041B43">
      <w:pPr>
        <w:pStyle w:val="NoSpacing"/>
        <w:spacing w:before="120" w:after="120"/>
        <w:rPr>
          <w:sz w:val="22"/>
          <w:lang w:val="es-ES"/>
        </w:rPr>
      </w:pPr>
      <w:r>
        <w:rPr>
          <w:sz w:val="22"/>
          <w:lang w:val="es"/>
        </w:rPr>
        <w:t xml:space="preserve">La tasa de concordancia ha estado cerca del objetivo cada año. Esto significa que la mayoría de los padres de niños que reciben servicios de educación especial creen que las escuelas incluyen a los padres de una forma que mejora los servicios y los resultados de los niños con discapacidades. </w:t>
      </w:r>
    </w:p>
    <w:p w14:paraId="164338C5" w14:textId="76EDF43A" w:rsidR="008F1860" w:rsidRPr="00D30DF1" w:rsidRDefault="00CA1076" w:rsidP="00041B43">
      <w:pPr>
        <w:pStyle w:val="NoSpacing"/>
        <w:spacing w:before="120" w:after="120"/>
        <w:rPr>
          <w:sz w:val="22"/>
        </w:rPr>
      </w:pPr>
      <w:r>
        <w:rPr>
          <w:noProof/>
          <w:szCs w:val="24"/>
        </w:rPr>
        <w:lastRenderedPageBreak/>
        <mc:AlternateContent>
          <mc:Choice Requires="wps">
            <w:drawing>
              <wp:anchor distT="0" distB="0" distL="114300" distR="114300" simplePos="0" relativeHeight="251663360" behindDoc="0" locked="0" layoutInCell="1" allowOverlap="1" wp14:anchorId="26837E2B" wp14:editId="66CDF9BD">
                <wp:simplePos x="0" y="0"/>
                <wp:positionH relativeFrom="margin">
                  <wp:posOffset>3248025</wp:posOffset>
                </wp:positionH>
                <wp:positionV relativeFrom="paragraph">
                  <wp:posOffset>2355215</wp:posOffset>
                </wp:positionV>
                <wp:extent cx="476250" cy="2095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chemeClr val="lt1"/>
                        </a:solidFill>
                        <a:ln w="6350">
                          <a:solidFill>
                            <a:prstClr val="black"/>
                          </a:solidFill>
                        </a:ln>
                      </wps:spPr>
                      <wps:txbx>
                        <w:txbxContent>
                          <w:p w14:paraId="214780C1" w14:textId="7D38CD22" w:rsidR="00CA1076" w:rsidRPr="00CA1076" w:rsidRDefault="00CA1076" w:rsidP="00CA1076">
                            <w:pPr>
                              <w:rPr>
                                <w:color w:val="1F4E79" w:themeColor="accent5" w:themeShade="80"/>
                                <w:sz w:val="18"/>
                                <w:szCs w:val="18"/>
                                <w:lang w:val="es-ES"/>
                              </w:rPr>
                            </w:pPr>
                            <w:r w:rsidRPr="00CA1076">
                              <w:rPr>
                                <w:b/>
                                <w:color w:val="1F4E79" w:themeColor="accent5" w:themeShade="80"/>
                                <w:sz w:val="18"/>
                                <w:szCs w:val="18"/>
                                <w:lang w:val="es-ES"/>
                              </w:rPr>
                              <w:t>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37E2B" id="_x0000_t202" coordsize="21600,21600" o:spt="202" path="m,l,21600r21600,l21600,xe">
                <v:stroke joinstyle="miter"/>
                <v:path gradientshapeok="t" o:connecttype="rect"/>
              </v:shapetype>
              <v:shape id="Cuadro de texto 3" o:spid="_x0000_s1026" type="#_x0000_t202" style="position:absolute;margin-left:255.75pt;margin-top:185.45pt;width:37.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" fillcolor="white [3201]" strokeweight=".5pt">
                <v:textbox>
                  <w:txbxContent>
                    <w:p w14:paraId="214780C1" w14:textId="7D38CD22" w:rsidR="00CA1076" w:rsidRPr="00CA1076" w:rsidRDefault="00CA1076" w:rsidP="00CA1076">
                      <w:pPr>
                        <w:rPr>
                          <w:color w:val="1F4E79" w:themeColor="accent5" w:themeShade="80"/>
                          <w:sz w:val="18"/>
                          <w:szCs w:val="18"/>
                          <w:lang w:val="es-ES"/>
                        </w:rPr>
                      </w:pPr>
                      <w:r w:rsidRPr="00CA1076">
                        <w:rPr>
                          <w:b/>
                          <w:color w:val="1F4E79" w:themeColor="accent5" w:themeShade="80"/>
                          <w:sz w:val="18"/>
                          <w:szCs w:val="18"/>
                          <w:lang w:val="es-ES"/>
                        </w:rPr>
                        <w:t>Real</w:t>
                      </w:r>
                    </w:p>
                  </w:txbxContent>
                </v:textbox>
                <w10:wrap anchorx="margin"/>
              </v:shape>
            </w:pict>
          </mc:Fallback>
        </mc:AlternateContent>
      </w:r>
      <w:r>
        <w:rPr>
          <w:noProof/>
          <w:szCs w:val="24"/>
        </w:rPr>
        <mc:AlternateContent>
          <mc:Choice Requires="wps">
            <w:drawing>
              <wp:anchor distT="0" distB="0" distL="114300" distR="114300" simplePos="0" relativeHeight="251661312" behindDoc="0" locked="0" layoutInCell="1" allowOverlap="1" wp14:anchorId="240BAB3C" wp14:editId="21BF5B6B">
                <wp:simplePos x="0" y="0"/>
                <wp:positionH relativeFrom="margin">
                  <wp:posOffset>2514600</wp:posOffset>
                </wp:positionH>
                <wp:positionV relativeFrom="paragraph">
                  <wp:posOffset>2345690</wp:posOffset>
                </wp:positionV>
                <wp:extent cx="609600" cy="218440"/>
                <wp:effectExtent l="0" t="0" r="19050" b="10160"/>
                <wp:wrapNone/>
                <wp:docPr id="2" name="Cuadro de texto 2"/>
                <wp:cNvGraphicFramePr/>
                <a:graphic xmlns:a="http://schemas.openxmlformats.org/drawingml/2006/main">
                  <a:graphicData uri="http://schemas.microsoft.com/office/word/2010/wordprocessingShape">
                    <wps:wsp>
                      <wps:cNvSpPr txBox="1"/>
                      <wps:spPr>
                        <a:xfrm>
                          <a:off x="0" y="0"/>
                          <a:ext cx="609600" cy="218440"/>
                        </a:xfrm>
                        <a:prstGeom prst="rect">
                          <a:avLst/>
                        </a:prstGeom>
                        <a:solidFill>
                          <a:schemeClr val="lt1"/>
                        </a:solidFill>
                        <a:ln w="6350">
                          <a:solidFill>
                            <a:prstClr val="black"/>
                          </a:solidFill>
                        </a:ln>
                      </wps:spPr>
                      <wps:txbx>
                        <w:txbxContent>
                          <w:p w14:paraId="3041FC82" w14:textId="77777777" w:rsidR="00CA1076" w:rsidRPr="00CA1076" w:rsidRDefault="00CA1076" w:rsidP="00CA1076">
                            <w:pPr>
                              <w:rPr>
                                <w:color w:val="1F4E79" w:themeColor="accent5" w:themeShade="80"/>
                                <w:sz w:val="18"/>
                                <w:szCs w:val="18"/>
                                <w:lang w:val="es-ES"/>
                              </w:rPr>
                            </w:pPr>
                            <w:r w:rsidRPr="00CA1076">
                              <w:rPr>
                                <w:b/>
                                <w:color w:val="1F4E79" w:themeColor="accent5" w:themeShade="80"/>
                                <w:sz w:val="18"/>
                                <w:szCs w:val="18"/>
                                <w:lang w:val="es-ES"/>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BAB3C" id="Cuadro de texto 2" o:spid="_x0000_s1027" type="#_x0000_t202" style="position:absolute;margin-left:198pt;margin-top:184.7pt;width:48pt;height:1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" fillcolor="white [3201]" strokeweight=".5pt">
                <v:textbox>
                  <w:txbxContent>
                    <w:p w14:paraId="3041FC82" w14:textId="77777777" w:rsidR="00CA1076" w:rsidRPr="00CA1076" w:rsidRDefault="00CA1076" w:rsidP="00CA1076">
                      <w:pPr>
                        <w:rPr>
                          <w:color w:val="1F4E79" w:themeColor="accent5" w:themeShade="80"/>
                          <w:sz w:val="18"/>
                          <w:szCs w:val="18"/>
                          <w:lang w:val="es-ES"/>
                        </w:rPr>
                      </w:pPr>
                      <w:r w:rsidRPr="00CA1076">
                        <w:rPr>
                          <w:b/>
                          <w:color w:val="1F4E79" w:themeColor="accent5" w:themeShade="80"/>
                          <w:sz w:val="18"/>
                          <w:szCs w:val="18"/>
                          <w:lang w:val="es-ES"/>
                        </w:rPr>
                        <w:t>Objetivo</w:t>
                      </w:r>
                    </w:p>
                  </w:txbxContent>
                </v:textbox>
                <w10:wrap anchorx="margin"/>
              </v:shape>
            </w:pict>
          </mc:Fallback>
        </mc:AlternateContent>
      </w:r>
      <w:r>
        <w:rPr>
          <w:noProof/>
          <w:szCs w:val="24"/>
        </w:rPr>
        <mc:AlternateContent>
          <mc:Choice Requires="wps">
            <w:drawing>
              <wp:anchor distT="0" distB="0" distL="114300" distR="114300" simplePos="0" relativeHeight="251659264" behindDoc="0" locked="0" layoutInCell="1" allowOverlap="1" wp14:anchorId="4604F6BE" wp14:editId="37D0249F">
                <wp:simplePos x="0" y="0"/>
                <wp:positionH relativeFrom="margin">
                  <wp:posOffset>1971675</wp:posOffset>
                </wp:positionH>
                <wp:positionV relativeFrom="paragraph">
                  <wp:posOffset>2155190</wp:posOffset>
                </wp:positionV>
                <wp:extent cx="2276475" cy="2095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solidFill>
                            <a:prstClr val="black"/>
                          </a:solidFill>
                        </a:ln>
                      </wps:spPr>
                      <wps:txbx>
                        <w:txbxContent>
                          <w:p w14:paraId="774FC3BC" w14:textId="77777777" w:rsidR="00CA1076" w:rsidRPr="00CA1076" w:rsidRDefault="00CA1076" w:rsidP="00CA1076">
                            <w:pPr>
                              <w:rPr>
                                <w:b/>
                                <w:color w:val="1F4E79" w:themeColor="accent5" w:themeShade="80"/>
                                <w:sz w:val="20"/>
                                <w:szCs w:val="20"/>
                                <w:lang w:val="es-ES"/>
                              </w:rPr>
                            </w:pPr>
                            <w:r w:rsidRPr="00CA1076">
                              <w:rPr>
                                <w:b/>
                                <w:color w:val="1F4E79" w:themeColor="accent5" w:themeShade="80"/>
                                <w:sz w:val="20"/>
                                <w:szCs w:val="20"/>
                                <w:lang w:val="es-ES"/>
                              </w:rPr>
                              <w:t>DATOS HISTÓRICOS DEL INDICADOR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4F6BE" id="Cuadro de texto 1" o:spid="_x0000_s1028" type="#_x0000_t202" style="position:absolute;margin-left:155.25pt;margin-top:169.7pt;width:179.2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" fillcolor="white [3201]" strokeweight=".5pt">
                <v:textbox>
                  <w:txbxContent>
                    <w:p w14:paraId="774FC3BC" w14:textId="77777777" w:rsidR="00CA1076" w:rsidRPr="00CA1076" w:rsidRDefault="00CA1076" w:rsidP="00CA1076">
                      <w:pPr>
                        <w:rPr>
                          <w:b/>
                          <w:color w:val="1F4E79" w:themeColor="accent5" w:themeShade="80"/>
                          <w:sz w:val="20"/>
                          <w:szCs w:val="20"/>
                          <w:lang w:val="es-ES"/>
                        </w:rPr>
                      </w:pPr>
                      <w:r w:rsidRPr="00CA1076">
                        <w:rPr>
                          <w:b/>
                          <w:color w:val="1F4E79" w:themeColor="accent5" w:themeShade="80"/>
                          <w:sz w:val="20"/>
                          <w:szCs w:val="20"/>
                          <w:lang w:val="es-ES"/>
                        </w:rPr>
                        <w:t>DATOS HISTÓRICOS DEL INDICADOR 8</w:t>
                      </w:r>
                    </w:p>
                  </w:txbxContent>
                </v:textbox>
                <w10:wrap anchorx="margin"/>
              </v:shape>
            </w:pict>
          </mc:Fallback>
        </mc:AlternateContent>
      </w:r>
      <w:r w:rsidR="00E74CB4">
        <w:rPr>
          <w:noProof/>
          <w:lang w:bidi="ar-SA"/>
        </w:rPr>
        <w:drawing>
          <wp:inline distT="0" distB="0" distL="0" distR="0" wp14:anchorId="040C2CF4" wp14:editId="5A84748D">
            <wp:extent cx="6099175" cy="2562147"/>
            <wp:effectExtent l="0" t="0" r="0" b="0"/>
            <wp:doc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pic:cNvPicPr/>
                  </pic:nvPicPr>
                  <pic:blipFill>
                    <a:blip r:embed="rId12">
                      <a:extLst>
                        <a:ext uri="{28A0092B-C50C-407E-A947-70E740481C1C}">
                          <a14:useLocalDpi xmlns:a14="http://schemas.microsoft.com/office/drawing/2010/main" val="0"/>
                        </a:ext>
                      </a:extLst>
                    </a:blip>
                    <a:stretch>
                      <a:fillRect/>
                    </a:stretch>
                  </pic:blipFill>
                  <pic:spPr>
                    <a:xfrm>
                      <a:off x="0" y="0"/>
                      <a:ext cx="6181448" cy="2596709"/>
                    </a:xfrm>
                    <a:prstGeom prst="rect">
                      <a:avLst/>
                    </a:prstGeom>
                  </pic:spPr>
                </pic:pic>
              </a:graphicData>
            </a:graphic>
          </wp:inline>
        </w:drawing>
      </w:r>
    </w:p>
    <w:p w14:paraId="3AA33C6D" w14:textId="68200F48" w:rsidR="00744751" w:rsidRPr="00011E15" w:rsidRDefault="00D6799A" w:rsidP="00041B43">
      <w:pPr>
        <w:pStyle w:val="NoSpacing"/>
        <w:spacing w:before="120" w:after="120"/>
        <w:rPr>
          <w:b/>
          <w:bCs/>
          <w:sz w:val="22"/>
          <w:lang w:val="es-ES"/>
        </w:rPr>
      </w:pPr>
      <w:r>
        <w:rPr>
          <w:b/>
          <w:bCs/>
          <w:sz w:val="22"/>
          <w:lang w:val="es"/>
        </w:rPr>
        <w:t>Massachusetts necesita establecer nuevos objetivos:</w:t>
      </w:r>
    </w:p>
    <w:p w14:paraId="45367C0D" w14:textId="54277991" w:rsidR="000B52A2" w:rsidRPr="00011E15" w:rsidRDefault="64EEFD4D" w:rsidP="399D30EB">
      <w:pPr>
        <w:spacing w:before="120" w:after="120" w:line="240" w:lineRule="exact"/>
        <w:rPr>
          <w:sz w:val="22"/>
          <w:lang w:val="es-ES"/>
        </w:rPr>
      </w:pPr>
      <w:r>
        <w:rPr>
          <w:sz w:val="22"/>
          <w:lang w:val="es"/>
        </w:rPr>
        <w:t>En el FFY 2018, la tasa de concordancia fue del 89 %.</w:t>
      </w:r>
      <w:r w:rsidR="00011E15">
        <w:rPr>
          <w:sz w:val="22"/>
          <w:lang w:val="es"/>
        </w:rPr>
        <w:t xml:space="preserve"> </w:t>
      </w:r>
      <w:r>
        <w:rPr>
          <w:sz w:val="22"/>
          <w:lang w:val="es"/>
        </w:rPr>
        <w:t>El 89 % es la referencia. La referencia es un punto de partida. Se usa para medir el progreso en los próximos años.</w:t>
      </w:r>
    </w:p>
    <w:p w14:paraId="3288FDBB" w14:textId="2F8F982A" w:rsidR="000B52A2" w:rsidRPr="00011E15" w:rsidRDefault="007A59C6" w:rsidP="399D30EB">
      <w:pPr>
        <w:spacing w:before="120" w:after="120" w:line="240" w:lineRule="exact"/>
        <w:rPr>
          <w:sz w:val="22"/>
          <w:lang w:val="es-ES"/>
        </w:rPr>
      </w:pPr>
      <w:r>
        <w:rPr>
          <w:sz w:val="22"/>
          <w:lang w:val="es"/>
        </w:rPr>
        <w:t xml:space="preserve">Deberán mejorar los nuevos objetivos con el tiempo. </w:t>
      </w:r>
    </w:p>
    <w:p w14:paraId="4819071D" w14:textId="78BC98A0" w:rsidR="00806BF7" w:rsidRPr="00011E15" w:rsidRDefault="00806BF7" w:rsidP="00041B43">
      <w:pPr>
        <w:pStyle w:val="NoSpacing"/>
        <w:spacing w:before="120" w:after="120"/>
        <w:rPr>
          <w:sz w:val="22"/>
          <w:lang w:val="es-ES"/>
        </w:rPr>
      </w:pPr>
    </w:p>
    <w:tbl>
      <w:tblPr>
        <w:tblStyle w:val="TableGrid"/>
        <w:tblW w:w="0" w:type="auto"/>
        <w:tblLook w:val="04A0" w:firstRow="1" w:lastRow="0" w:firstColumn="1" w:lastColumn="0" w:noHBand="0" w:noVBand="1"/>
      </w:tblPr>
      <w:tblGrid>
        <w:gridCol w:w="4675"/>
        <w:gridCol w:w="4675"/>
      </w:tblGrid>
      <w:tr w:rsidR="00D30DF1" w:rsidRPr="00D30DF1" w14:paraId="7350B49E" w14:textId="77777777" w:rsidTr="410FDA87">
        <w:tc>
          <w:tcPr>
            <w:tcW w:w="4675" w:type="dxa"/>
          </w:tcPr>
          <w:p w14:paraId="5B9C0417" w14:textId="30F4D918" w:rsidR="00B815A1" w:rsidRPr="00D30DF1" w:rsidRDefault="000E3E2D" w:rsidP="00041B43">
            <w:pPr>
              <w:pStyle w:val="NoSpacing"/>
              <w:spacing w:before="120" w:after="120"/>
              <w:jc w:val="center"/>
              <w:rPr>
                <w:b/>
                <w:bCs/>
                <w:sz w:val="22"/>
              </w:rPr>
            </w:pPr>
            <w:r>
              <w:rPr>
                <w:b/>
                <w:bCs/>
                <w:sz w:val="22"/>
                <w:lang w:val="es"/>
              </w:rPr>
              <w:t>Año fiscal federal (FFY)</w:t>
            </w:r>
          </w:p>
        </w:tc>
        <w:tc>
          <w:tcPr>
            <w:tcW w:w="4675" w:type="dxa"/>
          </w:tcPr>
          <w:p w14:paraId="0B55BD6D" w14:textId="5E9DAE38" w:rsidR="00B815A1" w:rsidRPr="00D30DF1" w:rsidRDefault="000E3E2D" w:rsidP="00041B43">
            <w:pPr>
              <w:pStyle w:val="NoSpacing"/>
              <w:spacing w:before="120" w:after="120"/>
              <w:jc w:val="center"/>
              <w:rPr>
                <w:b/>
                <w:bCs/>
                <w:sz w:val="22"/>
              </w:rPr>
            </w:pPr>
            <w:r>
              <w:rPr>
                <w:b/>
                <w:bCs/>
                <w:sz w:val="22"/>
                <w:lang w:val="es"/>
              </w:rPr>
              <w:t>Nuevo objetivo</w:t>
            </w:r>
          </w:p>
        </w:tc>
      </w:tr>
      <w:tr w:rsidR="00D30DF1" w:rsidRPr="00D30DF1" w14:paraId="046B1753" w14:textId="77777777" w:rsidTr="410FDA87">
        <w:tc>
          <w:tcPr>
            <w:tcW w:w="4675" w:type="dxa"/>
          </w:tcPr>
          <w:p w14:paraId="4A950D27" w14:textId="4A8D66DE" w:rsidR="002420EC" w:rsidRPr="00D30DF1" w:rsidRDefault="00151765" w:rsidP="00041B43">
            <w:pPr>
              <w:pStyle w:val="NoSpacing"/>
              <w:spacing w:before="120" w:after="120"/>
              <w:rPr>
                <w:sz w:val="22"/>
              </w:rPr>
            </w:pPr>
            <w:r>
              <w:rPr>
                <w:sz w:val="22"/>
                <w:lang w:val="es"/>
              </w:rPr>
              <w:t>FFY 2020 (año escolar 2020-2021)</w:t>
            </w:r>
          </w:p>
        </w:tc>
        <w:tc>
          <w:tcPr>
            <w:tcW w:w="4675" w:type="dxa"/>
          </w:tcPr>
          <w:p w14:paraId="53266E87" w14:textId="3CE776F4" w:rsidR="002420EC" w:rsidRPr="00D30DF1" w:rsidRDefault="0011724E" w:rsidP="00041B43">
            <w:pPr>
              <w:pStyle w:val="NoSpacing"/>
              <w:spacing w:before="120" w:after="120"/>
              <w:rPr>
                <w:sz w:val="22"/>
              </w:rPr>
            </w:pPr>
            <w:r>
              <w:rPr>
                <w:sz w:val="22"/>
                <w:lang w:val="es"/>
              </w:rPr>
              <w:t>89 %</w:t>
            </w:r>
          </w:p>
        </w:tc>
      </w:tr>
      <w:tr w:rsidR="00D30DF1" w:rsidRPr="00D30DF1" w14:paraId="408703AC" w14:textId="77777777" w:rsidTr="410FDA87">
        <w:tc>
          <w:tcPr>
            <w:tcW w:w="4675" w:type="dxa"/>
          </w:tcPr>
          <w:p w14:paraId="1B6A7C4F" w14:textId="095B2293" w:rsidR="002420EC" w:rsidRPr="00D30DF1" w:rsidRDefault="00151765" w:rsidP="00041B43">
            <w:pPr>
              <w:pStyle w:val="NoSpacing"/>
              <w:spacing w:before="120" w:after="120"/>
              <w:rPr>
                <w:sz w:val="22"/>
              </w:rPr>
            </w:pPr>
            <w:r>
              <w:rPr>
                <w:sz w:val="22"/>
                <w:lang w:val="es"/>
              </w:rPr>
              <w:t>FFY 2021 (año escolar 2021-2022)</w:t>
            </w:r>
          </w:p>
        </w:tc>
        <w:tc>
          <w:tcPr>
            <w:tcW w:w="4675" w:type="dxa"/>
          </w:tcPr>
          <w:p w14:paraId="5F2F9C2B" w14:textId="15AC1049" w:rsidR="002420EC" w:rsidRPr="00D30DF1" w:rsidRDefault="0011724E" w:rsidP="00041B43">
            <w:pPr>
              <w:pStyle w:val="NoSpacing"/>
              <w:spacing w:before="120" w:after="120"/>
              <w:rPr>
                <w:sz w:val="22"/>
              </w:rPr>
            </w:pPr>
            <w:r>
              <w:rPr>
                <w:sz w:val="22"/>
                <w:lang w:val="es"/>
              </w:rPr>
              <w:t>89 %</w:t>
            </w:r>
          </w:p>
        </w:tc>
      </w:tr>
      <w:tr w:rsidR="00D30DF1" w:rsidRPr="00D30DF1" w14:paraId="21FD51F5" w14:textId="77777777" w:rsidTr="410FDA87">
        <w:tc>
          <w:tcPr>
            <w:tcW w:w="4675" w:type="dxa"/>
          </w:tcPr>
          <w:p w14:paraId="16A4C676" w14:textId="4A050623" w:rsidR="002420EC" w:rsidRPr="00D30DF1" w:rsidRDefault="00151765" w:rsidP="00041B43">
            <w:pPr>
              <w:pStyle w:val="NoSpacing"/>
              <w:spacing w:before="120" w:after="120"/>
              <w:rPr>
                <w:sz w:val="22"/>
              </w:rPr>
            </w:pPr>
            <w:r>
              <w:rPr>
                <w:sz w:val="22"/>
                <w:lang w:val="es"/>
              </w:rPr>
              <w:t>FFY 2022 (año escolar 2022-2023)</w:t>
            </w:r>
          </w:p>
        </w:tc>
        <w:tc>
          <w:tcPr>
            <w:tcW w:w="4675" w:type="dxa"/>
          </w:tcPr>
          <w:p w14:paraId="4A5E62B3" w14:textId="6F8D556D" w:rsidR="002420EC" w:rsidRPr="00D30DF1" w:rsidRDefault="576F5DD4" w:rsidP="00041B43">
            <w:pPr>
              <w:pStyle w:val="NoSpacing"/>
              <w:spacing w:before="120" w:after="120"/>
              <w:rPr>
                <w:sz w:val="22"/>
              </w:rPr>
            </w:pPr>
            <w:r>
              <w:rPr>
                <w:sz w:val="22"/>
                <w:lang w:val="es"/>
              </w:rPr>
              <w:t>89.5 %</w:t>
            </w:r>
          </w:p>
        </w:tc>
      </w:tr>
      <w:tr w:rsidR="00D30DF1" w:rsidRPr="00D30DF1" w14:paraId="18956BF3" w14:textId="77777777" w:rsidTr="410FDA87">
        <w:tc>
          <w:tcPr>
            <w:tcW w:w="4675" w:type="dxa"/>
          </w:tcPr>
          <w:p w14:paraId="0E3DF12F" w14:textId="32C9E788" w:rsidR="002420EC" w:rsidRPr="00D30DF1" w:rsidRDefault="00151765" w:rsidP="00041B43">
            <w:pPr>
              <w:pStyle w:val="NoSpacing"/>
              <w:spacing w:before="120" w:after="120"/>
              <w:rPr>
                <w:sz w:val="22"/>
              </w:rPr>
            </w:pPr>
            <w:r>
              <w:rPr>
                <w:sz w:val="22"/>
                <w:lang w:val="es"/>
              </w:rPr>
              <w:t>FFY 2023 (año escolar 2023-2024)</w:t>
            </w:r>
          </w:p>
        </w:tc>
        <w:tc>
          <w:tcPr>
            <w:tcW w:w="4675" w:type="dxa"/>
          </w:tcPr>
          <w:p w14:paraId="795A4EFE" w14:textId="5F9D6BB2" w:rsidR="002420EC" w:rsidRPr="00D30DF1" w:rsidRDefault="0011724E" w:rsidP="00041B43">
            <w:pPr>
              <w:pStyle w:val="NoSpacing"/>
              <w:spacing w:before="120" w:after="120"/>
              <w:rPr>
                <w:sz w:val="22"/>
              </w:rPr>
            </w:pPr>
            <w:r>
              <w:rPr>
                <w:sz w:val="22"/>
                <w:lang w:val="es"/>
              </w:rPr>
              <w:t>90 %</w:t>
            </w:r>
          </w:p>
        </w:tc>
      </w:tr>
      <w:tr w:rsidR="00D30DF1" w:rsidRPr="00D30DF1" w14:paraId="148FDF0D" w14:textId="77777777" w:rsidTr="410FDA87">
        <w:trPr>
          <w:trHeight w:val="300"/>
        </w:trPr>
        <w:tc>
          <w:tcPr>
            <w:tcW w:w="4675" w:type="dxa"/>
          </w:tcPr>
          <w:p w14:paraId="2C1256F9" w14:textId="2D9A1C1B" w:rsidR="64E7B9CE" w:rsidRPr="00D30DF1" w:rsidRDefault="64E7B9CE" w:rsidP="00041B43">
            <w:pPr>
              <w:pStyle w:val="NoSpacing"/>
              <w:spacing w:before="120" w:after="120"/>
              <w:rPr>
                <w:rFonts w:ascii="Calibri" w:hAnsi="Calibri"/>
              </w:rPr>
            </w:pPr>
            <w:r>
              <w:rPr>
                <w:sz w:val="22"/>
                <w:lang w:val="es"/>
              </w:rPr>
              <w:t>FFY 2024 (año escolar 2024-2025)</w:t>
            </w:r>
          </w:p>
        </w:tc>
        <w:tc>
          <w:tcPr>
            <w:tcW w:w="4675" w:type="dxa"/>
          </w:tcPr>
          <w:p w14:paraId="45C8C17C" w14:textId="1551B5BE" w:rsidR="64E7B9CE" w:rsidRPr="00D30DF1" w:rsidRDefault="64E7B9CE" w:rsidP="00041B43">
            <w:pPr>
              <w:pStyle w:val="NoSpacing"/>
              <w:spacing w:before="120" w:after="120"/>
              <w:rPr>
                <w:sz w:val="22"/>
              </w:rPr>
            </w:pPr>
            <w:r>
              <w:rPr>
                <w:sz w:val="22"/>
                <w:lang w:val="es"/>
              </w:rPr>
              <w:t>90.5 %</w:t>
            </w:r>
          </w:p>
        </w:tc>
      </w:tr>
      <w:tr w:rsidR="6A0731D3" w14:paraId="19390716" w14:textId="77777777" w:rsidTr="6A0731D3">
        <w:trPr>
          <w:trHeight w:val="495"/>
        </w:trPr>
        <w:tc>
          <w:tcPr>
            <w:tcW w:w="4675" w:type="dxa"/>
          </w:tcPr>
          <w:p w14:paraId="209DCE7F" w14:textId="6CBC2818" w:rsidR="283FA1EE" w:rsidRDefault="283FA1EE" w:rsidP="6A0731D3">
            <w:pPr>
              <w:pStyle w:val="NoSpacing"/>
              <w:rPr>
                <w:sz w:val="22"/>
              </w:rPr>
            </w:pPr>
            <w:r>
              <w:rPr>
                <w:sz w:val="22"/>
                <w:lang w:val="es"/>
              </w:rPr>
              <w:t>FFY 2025 (año escolar 2025-2026)</w:t>
            </w:r>
          </w:p>
        </w:tc>
        <w:tc>
          <w:tcPr>
            <w:tcW w:w="4675" w:type="dxa"/>
          </w:tcPr>
          <w:p w14:paraId="745EFA7B" w14:textId="59ED8B1C" w:rsidR="283FA1EE" w:rsidRDefault="283FA1EE" w:rsidP="6A0731D3">
            <w:pPr>
              <w:pStyle w:val="NoSpacing"/>
              <w:rPr>
                <w:sz w:val="22"/>
              </w:rPr>
            </w:pPr>
            <w:r>
              <w:rPr>
                <w:sz w:val="22"/>
                <w:lang w:val="es"/>
              </w:rPr>
              <w:t>91 %</w:t>
            </w:r>
          </w:p>
        </w:tc>
      </w:tr>
    </w:tbl>
    <w:p w14:paraId="012FFB39" w14:textId="5CFF16D0" w:rsidR="00180BBE" w:rsidRDefault="00180BBE" w:rsidP="00041B43">
      <w:pPr>
        <w:pStyle w:val="NoSpacing"/>
        <w:spacing w:before="120" w:after="120"/>
        <w:rPr>
          <w:b/>
          <w:sz w:val="22"/>
        </w:rPr>
      </w:pPr>
    </w:p>
    <w:p w14:paraId="316E7C4D" w14:textId="1CECD4E3" w:rsidR="00745779" w:rsidRDefault="00932EB5" w:rsidP="00745779">
      <w:pPr>
        <w:rPr>
          <w:rFonts w:cstheme="minorHAnsi"/>
          <w:b/>
          <w:bCs/>
          <w:szCs w:val="24"/>
          <w:lang w:val="es"/>
        </w:rPr>
      </w:pPr>
      <w:r w:rsidRPr="00932EB5">
        <w:rPr>
          <w:rFonts w:cstheme="minorHAnsi"/>
          <w:b/>
          <w:bCs/>
          <w:szCs w:val="24"/>
          <w:lang w:val="es"/>
        </w:rPr>
        <w:t>Conozca más sobre el indicador # 8:</w:t>
      </w:r>
    </w:p>
    <w:p w14:paraId="6FB00082" w14:textId="7F0E40AF" w:rsidR="008B0410" w:rsidRDefault="00891680" w:rsidP="008B0410">
      <w:pPr>
        <w:pStyle w:val="NormalWeb"/>
        <w:numPr>
          <w:ilvl w:val="0"/>
          <w:numId w:val="5"/>
        </w:numPr>
        <w:shd w:val="clear" w:color="auto" w:fill="FFFFFF"/>
        <w:spacing w:before="0" w:beforeAutospacing="0" w:afterAutospacing="0"/>
        <w:rPr>
          <w:rFonts w:ascii="Segoe UI" w:hAnsi="Segoe UI" w:cs="Segoe UI"/>
          <w:color w:val="0070C0"/>
          <w:u w:val="single"/>
        </w:rPr>
      </w:pPr>
      <w:hyperlink r:id="rId13" w:history="1">
        <w:r w:rsidR="00932EB5">
          <w:rPr>
            <w:rStyle w:val="Hyperlink"/>
            <w:rFonts w:ascii="Segoe UI" w:hAnsi="Segoe UI" w:cs="Segoe UI"/>
          </w:rPr>
          <w:t xml:space="preserve">PowerPoint de </w:t>
        </w:r>
        <w:proofErr w:type="spellStart"/>
        <w:r w:rsidR="00932EB5">
          <w:rPr>
            <w:rStyle w:val="Hyperlink"/>
            <w:rFonts w:ascii="Segoe UI" w:hAnsi="Segoe UI" w:cs="Segoe UI"/>
          </w:rPr>
          <w:t>Indicador</w:t>
        </w:r>
        <w:proofErr w:type="spellEnd"/>
        <w:r w:rsidR="00932EB5">
          <w:rPr>
            <w:rStyle w:val="Hyperlink"/>
            <w:rFonts w:ascii="Segoe UI" w:hAnsi="Segoe UI" w:cs="Segoe UI"/>
          </w:rPr>
          <w:t xml:space="preserve"> 8</w:t>
        </w:r>
      </w:hyperlink>
    </w:p>
    <w:p w14:paraId="76A36FCF" w14:textId="3580C0FE" w:rsidR="00745779" w:rsidRPr="00011E15" w:rsidRDefault="00745779" w:rsidP="00745779">
      <w:pPr>
        <w:spacing w:after="0"/>
        <w:rPr>
          <w:rFonts w:cstheme="minorHAnsi"/>
          <w:b/>
          <w:bCs/>
          <w:szCs w:val="24"/>
          <w:lang w:val="es-ES"/>
        </w:rPr>
      </w:pPr>
    </w:p>
    <w:p w14:paraId="411B23FF" w14:textId="77777777" w:rsidR="00745779" w:rsidRPr="00CA1076" w:rsidRDefault="00745779" w:rsidP="00041B43">
      <w:pPr>
        <w:pStyle w:val="NoSpacing"/>
        <w:spacing w:before="120" w:after="120"/>
        <w:rPr>
          <w:b/>
          <w:sz w:val="22"/>
          <w:lang w:val="es-ES"/>
        </w:rPr>
      </w:pPr>
    </w:p>
    <w:sectPr w:rsidR="00745779" w:rsidRPr="00CA1076" w:rsidSect="00C11F67">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4FCA6" w14:textId="77777777" w:rsidR="00891680" w:rsidRDefault="00891680">
      <w:pPr>
        <w:spacing w:after="0"/>
      </w:pPr>
      <w:r>
        <w:separator/>
      </w:r>
    </w:p>
  </w:endnote>
  <w:endnote w:type="continuationSeparator" w:id="0">
    <w:p w14:paraId="66A635F5" w14:textId="77777777" w:rsidR="00891680" w:rsidRDefault="00891680">
      <w:pPr>
        <w:spacing w:after="0"/>
      </w:pPr>
      <w:r>
        <w:continuationSeparator/>
      </w:r>
    </w:p>
  </w:endnote>
  <w:endnote w:type="continuationNotice" w:id="1">
    <w:p w14:paraId="350045A9" w14:textId="77777777" w:rsidR="00891680" w:rsidRDefault="00891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09941"/>
      <w:docPartObj>
        <w:docPartGallery w:val="Page Numbers (Bottom of Page)"/>
        <w:docPartUnique/>
      </w:docPartObj>
    </w:sdtPr>
    <w:sdtEndPr/>
    <w:sdtContent>
      <w:p w14:paraId="67240C85" w14:textId="2684B6E0" w:rsidR="00974DC2" w:rsidRDefault="00B4024B">
        <w:pPr>
          <w:pStyle w:val="Footer"/>
          <w:jc w:val="right"/>
        </w:pPr>
        <w:r>
          <w:rPr>
            <w:lang w:val="es"/>
          </w:rPr>
          <w:fldChar w:fldCharType="begin"/>
        </w:r>
        <w:r>
          <w:rPr>
            <w:lang w:val="es"/>
          </w:rPr>
          <w:instrText xml:space="preserve"> PAGE   \* MERGEFORMAT </w:instrText>
        </w:r>
        <w:r>
          <w:rPr>
            <w:lang w:val="es"/>
          </w:rPr>
          <w:fldChar w:fldCharType="separate"/>
        </w:r>
        <w:r w:rsidR="000855CC">
          <w:rPr>
            <w:noProof/>
            <w:lang w:val="es"/>
          </w:rPr>
          <w:t>3</w:t>
        </w:r>
        <w:r>
          <w:rPr>
            <w:noProof/>
            <w:lang w:val="es"/>
          </w:rPr>
          <w:fldChar w:fldCharType="end"/>
        </w:r>
      </w:p>
    </w:sdtContent>
  </w:sdt>
  <w:p w14:paraId="6D0148A5" w14:textId="77777777" w:rsidR="00974DC2" w:rsidRDefault="0097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8670" w14:textId="77777777" w:rsidR="00891680" w:rsidRDefault="00891680">
      <w:pPr>
        <w:spacing w:after="0"/>
      </w:pPr>
      <w:r>
        <w:separator/>
      </w:r>
    </w:p>
  </w:footnote>
  <w:footnote w:type="continuationSeparator" w:id="0">
    <w:p w14:paraId="2CD7FB8D" w14:textId="77777777" w:rsidR="00891680" w:rsidRDefault="00891680">
      <w:pPr>
        <w:spacing w:after="0"/>
      </w:pPr>
      <w:r>
        <w:continuationSeparator/>
      </w:r>
    </w:p>
  </w:footnote>
  <w:footnote w:type="continuationNotice" w:id="1">
    <w:p w14:paraId="70AC2F10" w14:textId="77777777" w:rsidR="00891680" w:rsidRDefault="008916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EA3"/>
    <w:multiLevelType w:val="hybridMultilevel"/>
    <w:tmpl w:val="8B2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9050C170"/>
    <w:lvl w:ilvl="0" w:tplc="04090001">
      <w:start w:val="1"/>
      <w:numFmt w:val="bullet"/>
      <w:lvlText w:val=""/>
      <w:lvlJc w:val="left"/>
      <w:pPr>
        <w:ind w:left="720" w:hanging="360"/>
      </w:pPr>
      <w:rPr>
        <w:rFonts w:ascii="Symbol" w:hAnsi="Symbol" w:hint="default"/>
      </w:rPr>
    </w:lvl>
    <w:lvl w:ilvl="1" w:tplc="A1629634">
      <w:numFmt w:val="bullet"/>
      <w:lvlText w:val="•"/>
      <w:lvlJc w:val="left"/>
      <w:pPr>
        <w:ind w:left="1440" w:hanging="360"/>
      </w:pPr>
      <w:rPr>
        <w:rFonts w:ascii="Segoe UI" w:eastAsia="Times New Roman" w:hAnsi="Segoe UI" w:cs="Segoe UI" w:hint="default"/>
        <w:b w:val="0"/>
        <w:color w:val="0070C0"/>
        <w:sz w:val="24"/>
        <w:u w:val="singl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655EB5"/>
    <w:multiLevelType w:val="hybridMultilevel"/>
    <w:tmpl w:val="09F2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F09F2"/>
    <w:multiLevelType w:val="hybridMultilevel"/>
    <w:tmpl w:val="52F6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0674F"/>
    <w:multiLevelType w:val="hybridMultilevel"/>
    <w:tmpl w:val="9EF6DE1E"/>
    <w:lvl w:ilvl="0" w:tplc="E356EA5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7"/>
    <w:rsid w:val="00011E15"/>
    <w:rsid w:val="00021BB6"/>
    <w:rsid w:val="00041B43"/>
    <w:rsid w:val="00053D56"/>
    <w:rsid w:val="00077D66"/>
    <w:rsid w:val="000813D7"/>
    <w:rsid w:val="000855CC"/>
    <w:rsid w:val="00091CCF"/>
    <w:rsid w:val="000924F8"/>
    <w:rsid w:val="000A203E"/>
    <w:rsid w:val="000A2FD2"/>
    <w:rsid w:val="000B2574"/>
    <w:rsid w:val="000B52A2"/>
    <w:rsid w:val="000D47D0"/>
    <w:rsid w:val="000E2149"/>
    <w:rsid w:val="000E2A19"/>
    <w:rsid w:val="000E2CA2"/>
    <w:rsid w:val="000E3E2D"/>
    <w:rsid w:val="000F5FE8"/>
    <w:rsid w:val="00100660"/>
    <w:rsid w:val="0010717C"/>
    <w:rsid w:val="0011724E"/>
    <w:rsid w:val="00120D50"/>
    <w:rsid w:val="001317D4"/>
    <w:rsid w:val="00151765"/>
    <w:rsid w:val="001517C9"/>
    <w:rsid w:val="00151D0E"/>
    <w:rsid w:val="001541D3"/>
    <w:rsid w:val="0017385F"/>
    <w:rsid w:val="00180BBE"/>
    <w:rsid w:val="001837B2"/>
    <w:rsid w:val="00191400"/>
    <w:rsid w:val="00196B0F"/>
    <w:rsid w:val="001B10CE"/>
    <w:rsid w:val="001D78A1"/>
    <w:rsid w:val="002037AE"/>
    <w:rsid w:val="00203F0E"/>
    <w:rsid w:val="00220F3C"/>
    <w:rsid w:val="0022610C"/>
    <w:rsid w:val="00232EF2"/>
    <w:rsid w:val="00241A78"/>
    <w:rsid w:val="002420EC"/>
    <w:rsid w:val="002440A9"/>
    <w:rsid w:val="00247A0A"/>
    <w:rsid w:val="00252AED"/>
    <w:rsid w:val="00255C36"/>
    <w:rsid w:val="00257AFA"/>
    <w:rsid w:val="0026003D"/>
    <w:rsid w:val="002746B1"/>
    <w:rsid w:val="00295593"/>
    <w:rsid w:val="002A3283"/>
    <w:rsid w:val="002A561D"/>
    <w:rsid w:val="002B2638"/>
    <w:rsid w:val="002B6BD2"/>
    <w:rsid w:val="002D04E0"/>
    <w:rsid w:val="002D45BC"/>
    <w:rsid w:val="002E04DD"/>
    <w:rsid w:val="002E3DB9"/>
    <w:rsid w:val="002E76DC"/>
    <w:rsid w:val="002F28E3"/>
    <w:rsid w:val="002F2FCC"/>
    <w:rsid w:val="002F62BC"/>
    <w:rsid w:val="00303D81"/>
    <w:rsid w:val="0031308E"/>
    <w:rsid w:val="00321810"/>
    <w:rsid w:val="00332AAA"/>
    <w:rsid w:val="0033487F"/>
    <w:rsid w:val="00346BA1"/>
    <w:rsid w:val="00371DC9"/>
    <w:rsid w:val="00391251"/>
    <w:rsid w:val="003A3251"/>
    <w:rsid w:val="003A6401"/>
    <w:rsid w:val="003A7F39"/>
    <w:rsid w:val="003B168E"/>
    <w:rsid w:val="003C660B"/>
    <w:rsid w:val="003C7D16"/>
    <w:rsid w:val="003D747D"/>
    <w:rsid w:val="003E351D"/>
    <w:rsid w:val="003E776F"/>
    <w:rsid w:val="00400D94"/>
    <w:rsid w:val="00405BC9"/>
    <w:rsid w:val="00433329"/>
    <w:rsid w:val="004359B2"/>
    <w:rsid w:val="004A106C"/>
    <w:rsid w:val="004B1C99"/>
    <w:rsid w:val="004C0B60"/>
    <w:rsid w:val="004C51AC"/>
    <w:rsid w:val="004C5CD5"/>
    <w:rsid w:val="004C6E7D"/>
    <w:rsid w:val="004D57B7"/>
    <w:rsid w:val="004E4913"/>
    <w:rsid w:val="004F4FAD"/>
    <w:rsid w:val="00506B9E"/>
    <w:rsid w:val="00506C96"/>
    <w:rsid w:val="005159CF"/>
    <w:rsid w:val="00516403"/>
    <w:rsid w:val="00530AC9"/>
    <w:rsid w:val="00531711"/>
    <w:rsid w:val="005613CB"/>
    <w:rsid w:val="005729C7"/>
    <w:rsid w:val="0057400C"/>
    <w:rsid w:val="00583AD3"/>
    <w:rsid w:val="005A1781"/>
    <w:rsid w:val="005A1B44"/>
    <w:rsid w:val="005A5E17"/>
    <w:rsid w:val="005C36C1"/>
    <w:rsid w:val="005C6364"/>
    <w:rsid w:val="005E1805"/>
    <w:rsid w:val="005E6654"/>
    <w:rsid w:val="00623E69"/>
    <w:rsid w:val="00644ECE"/>
    <w:rsid w:val="00645BF6"/>
    <w:rsid w:val="00653F96"/>
    <w:rsid w:val="006559CA"/>
    <w:rsid w:val="00684E9D"/>
    <w:rsid w:val="00694143"/>
    <w:rsid w:val="006B1E40"/>
    <w:rsid w:val="006B3EC7"/>
    <w:rsid w:val="006C5464"/>
    <w:rsid w:val="006F27C5"/>
    <w:rsid w:val="00707C15"/>
    <w:rsid w:val="007236C8"/>
    <w:rsid w:val="00733312"/>
    <w:rsid w:val="00744751"/>
    <w:rsid w:val="00745779"/>
    <w:rsid w:val="00750338"/>
    <w:rsid w:val="007515D1"/>
    <w:rsid w:val="00757A43"/>
    <w:rsid w:val="00762E5C"/>
    <w:rsid w:val="00780B68"/>
    <w:rsid w:val="00793BCB"/>
    <w:rsid w:val="007A59C6"/>
    <w:rsid w:val="007B7C42"/>
    <w:rsid w:val="007E5027"/>
    <w:rsid w:val="007F1E44"/>
    <w:rsid w:val="007F32BA"/>
    <w:rsid w:val="007F569C"/>
    <w:rsid w:val="00805F5D"/>
    <w:rsid w:val="00806BF7"/>
    <w:rsid w:val="00811B43"/>
    <w:rsid w:val="0082161E"/>
    <w:rsid w:val="0082329B"/>
    <w:rsid w:val="008418FA"/>
    <w:rsid w:val="0086338A"/>
    <w:rsid w:val="00891680"/>
    <w:rsid w:val="008A0CEC"/>
    <w:rsid w:val="008B0410"/>
    <w:rsid w:val="008B14E3"/>
    <w:rsid w:val="008D2FBA"/>
    <w:rsid w:val="008D7391"/>
    <w:rsid w:val="008D7FE1"/>
    <w:rsid w:val="008E218B"/>
    <w:rsid w:val="008E7E02"/>
    <w:rsid w:val="008F1860"/>
    <w:rsid w:val="008F1D03"/>
    <w:rsid w:val="00925E4A"/>
    <w:rsid w:val="00932EB5"/>
    <w:rsid w:val="00934695"/>
    <w:rsid w:val="00934A7E"/>
    <w:rsid w:val="00941685"/>
    <w:rsid w:val="00952DAF"/>
    <w:rsid w:val="00954401"/>
    <w:rsid w:val="0096138E"/>
    <w:rsid w:val="00967BB5"/>
    <w:rsid w:val="00970679"/>
    <w:rsid w:val="0097286F"/>
    <w:rsid w:val="00974DC2"/>
    <w:rsid w:val="009904CE"/>
    <w:rsid w:val="00995EF2"/>
    <w:rsid w:val="009C0B2B"/>
    <w:rsid w:val="009D0AD3"/>
    <w:rsid w:val="009D200A"/>
    <w:rsid w:val="009D4323"/>
    <w:rsid w:val="009D49A0"/>
    <w:rsid w:val="009D7C48"/>
    <w:rsid w:val="009E38B2"/>
    <w:rsid w:val="00A1272E"/>
    <w:rsid w:val="00A139F4"/>
    <w:rsid w:val="00A306E6"/>
    <w:rsid w:val="00A50C42"/>
    <w:rsid w:val="00A56927"/>
    <w:rsid w:val="00A63317"/>
    <w:rsid w:val="00A808A4"/>
    <w:rsid w:val="00A8236A"/>
    <w:rsid w:val="00A84D1A"/>
    <w:rsid w:val="00A97844"/>
    <w:rsid w:val="00AA005A"/>
    <w:rsid w:val="00AA68DA"/>
    <w:rsid w:val="00AA7C70"/>
    <w:rsid w:val="00AB5324"/>
    <w:rsid w:val="00AB71BF"/>
    <w:rsid w:val="00AF4254"/>
    <w:rsid w:val="00B04AD6"/>
    <w:rsid w:val="00B058F0"/>
    <w:rsid w:val="00B1642C"/>
    <w:rsid w:val="00B22FF3"/>
    <w:rsid w:val="00B279DB"/>
    <w:rsid w:val="00B37A49"/>
    <w:rsid w:val="00B4024B"/>
    <w:rsid w:val="00B45D93"/>
    <w:rsid w:val="00B4759A"/>
    <w:rsid w:val="00B56D2D"/>
    <w:rsid w:val="00B6018F"/>
    <w:rsid w:val="00B70209"/>
    <w:rsid w:val="00B74C02"/>
    <w:rsid w:val="00B80CBE"/>
    <w:rsid w:val="00B815A1"/>
    <w:rsid w:val="00B81ECD"/>
    <w:rsid w:val="00BD2871"/>
    <w:rsid w:val="00BD4406"/>
    <w:rsid w:val="00BD7216"/>
    <w:rsid w:val="00BD73A1"/>
    <w:rsid w:val="00BD73F5"/>
    <w:rsid w:val="00BF1BE4"/>
    <w:rsid w:val="00C02E9E"/>
    <w:rsid w:val="00C04F5A"/>
    <w:rsid w:val="00C05AAA"/>
    <w:rsid w:val="00C07A9E"/>
    <w:rsid w:val="00C11F67"/>
    <w:rsid w:val="00C13A78"/>
    <w:rsid w:val="00C16AFB"/>
    <w:rsid w:val="00C2669C"/>
    <w:rsid w:val="00C26823"/>
    <w:rsid w:val="00C40110"/>
    <w:rsid w:val="00C43417"/>
    <w:rsid w:val="00C6321A"/>
    <w:rsid w:val="00C642C3"/>
    <w:rsid w:val="00C70F32"/>
    <w:rsid w:val="00C74128"/>
    <w:rsid w:val="00C8197E"/>
    <w:rsid w:val="00C81DA0"/>
    <w:rsid w:val="00C97A90"/>
    <w:rsid w:val="00CA1076"/>
    <w:rsid w:val="00CA1933"/>
    <w:rsid w:val="00CB0B8E"/>
    <w:rsid w:val="00CB6E59"/>
    <w:rsid w:val="00CE508E"/>
    <w:rsid w:val="00CE6E17"/>
    <w:rsid w:val="00D057CA"/>
    <w:rsid w:val="00D21037"/>
    <w:rsid w:val="00D26B43"/>
    <w:rsid w:val="00D3043C"/>
    <w:rsid w:val="00D30DF1"/>
    <w:rsid w:val="00D43FDF"/>
    <w:rsid w:val="00D462E1"/>
    <w:rsid w:val="00D56650"/>
    <w:rsid w:val="00D61B24"/>
    <w:rsid w:val="00D651A8"/>
    <w:rsid w:val="00D6799A"/>
    <w:rsid w:val="00D84385"/>
    <w:rsid w:val="00D921ED"/>
    <w:rsid w:val="00DA1E92"/>
    <w:rsid w:val="00DB55BD"/>
    <w:rsid w:val="00DD3F6C"/>
    <w:rsid w:val="00DD647C"/>
    <w:rsid w:val="00DE257C"/>
    <w:rsid w:val="00DF052D"/>
    <w:rsid w:val="00E028A0"/>
    <w:rsid w:val="00E10928"/>
    <w:rsid w:val="00E1280F"/>
    <w:rsid w:val="00E2506D"/>
    <w:rsid w:val="00E31B7B"/>
    <w:rsid w:val="00E6201F"/>
    <w:rsid w:val="00E73EF4"/>
    <w:rsid w:val="00E74CB4"/>
    <w:rsid w:val="00E77F34"/>
    <w:rsid w:val="00E90722"/>
    <w:rsid w:val="00EA669F"/>
    <w:rsid w:val="00ED1E75"/>
    <w:rsid w:val="00EE26FD"/>
    <w:rsid w:val="00EE4312"/>
    <w:rsid w:val="00EE4FAE"/>
    <w:rsid w:val="00F03329"/>
    <w:rsid w:val="00F10139"/>
    <w:rsid w:val="00F156A8"/>
    <w:rsid w:val="00F16DE0"/>
    <w:rsid w:val="00F2142A"/>
    <w:rsid w:val="00F21E0C"/>
    <w:rsid w:val="00F25B47"/>
    <w:rsid w:val="00F516C7"/>
    <w:rsid w:val="00F5175A"/>
    <w:rsid w:val="00F64BAE"/>
    <w:rsid w:val="00F67134"/>
    <w:rsid w:val="00F71B86"/>
    <w:rsid w:val="00F914C9"/>
    <w:rsid w:val="00FB0B21"/>
    <w:rsid w:val="00FC0168"/>
    <w:rsid w:val="00FC4651"/>
    <w:rsid w:val="00FD2ADE"/>
    <w:rsid w:val="00FE430D"/>
    <w:rsid w:val="00FF0234"/>
    <w:rsid w:val="00FF1C39"/>
    <w:rsid w:val="05205253"/>
    <w:rsid w:val="07DB567D"/>
    <w:rsid w:val="095DFE81"/>
    <w:rsid w:val="0C959F43"/>
    <w:rsid w:val="0D896236"/>
    <w:rsid w:val="0F275152"/>
    <w:rsid w:val="0FDDC91F"/>
    <w:rsid w:val="108B8B9B"/>
    <w:rsid w:val="174ED3D6"/>
    <w:rsid w:val="197C0FD1"/>
    <w:rsid w:val="1A6388F4"/>
    <w:rsid w:val="1CB3B093"/>
    <w:rsid w:val="1CC22225"/>
    <w:rsid w:val="1D9F8600"/>
    <w:rsid w:val="211A3F3C"/>
    <w:rsid w:val="256EF155"/>
    <w:rsid w:val="2622153E"/>
    <w:rsid w:val="283FA1EE"/>
    <w:rsid w:val="28618551"/>
    <w:rsid w:val="29327D95"/>
    <w:rsid w:val="2EC81BB5"/>
    <w:rsid w:val="33D1B2BA"/>
    <w:rsid w:val="383726A6"/>
    <w:rsid w:val="38DC798E"/>
    <w:rsid w:val="399D30EB"/>
    <w:rsid w:val="3A1E1B8F"/>
    <w:rsid w:val="3A6FDDFB"/>
    <w:rsid w:val="3C910221"/>
    <w:rsid w:val="3E516554"/>
    <w:rsid w:val="410FDA87"/>
    <w:rsid w:val="420485A9"/>
    <w:rsid w:val="4660B041"/>
    <w:rsid w:val="46CB4155"/>
    <w:rsid w:val="49F10857"/>
    <w:rsid w:val="542EBD34"/>
    <w:rsid w:val="54651292"/>
    <w:rsid w:val="555CC04B"/>
    <w:rsid w:val="576F5DD4"/>
    <w:rsid w:val="59182BAF"/>
    <w:rsid w:val="595467E8"/>
    <w:rsid w:val="61169F98"/>
    <w:rsid w:val="61240640"/>
    <w:rsid w:val="632911F9"/>
    <w:rsid w:val="64E7B9CE"/>
    <w:rsid w:val="64EEFD4D"/>
    <w:rsid w:val="6714A39C"/>
    <w:rsid w:val="68571C56"/>
    <w:rsid w:val="68D7DE6D"/>
    <w:rsid w:val="69F90114"/>
    <w:rsid w:val="6A0731D3"/>
    <w:rsid w:val="6B7C3F59"/>
    <w:rsid w:val="6D22FED7"/>
    <w:rsid w:val="6D38FF0B"/>
    <w:rsid w:val="6D4D703A"/>
    <w:rsid w:val="7130A45D"/>
    <w:rsid w:val="71A85336"/>
    <w:rsid w:val="71FDFE9C"/>
    <w:rsid w:val="73C08603"/>
    <w:rsid w:val="77D3A444"/>
    <w:rsid w:val="7825A49F"/>
    <w:rsid w:val="7DA910B6"/>
    <w:rsid w:val="7E2F6BFA"/>
    <w:rsid w:val="7EE46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7D2E"/>
  <w15:chartTrackingRefBased/>
  <w15:docId w15:val="{25CD1E92-6948-48BE-9839-5E795FC9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67"/>
    <w:pPr>
      <w:spacing w:after="240" w:line="240" w:lineRule="auto"/>
    </w:pPr>
    <w:rPr>
      <w:rFonts w:eastAsiaTheme="minorEastAsia"/>
      <w:sz w:val="24"/>
      <w:lang w:bidi="en-US"/>
    </w:rPr>
  </w:style>
  <w:style w:type="paragraph" w:styleId="Heading1">
    <w:name w:val="heading 1"/>
    <w:basedOn w:val="Normal"/>
    <w:next w:val="Normal"/>
    <w:link w:val="Heading1Char"/>
    <w:uiPriority w:val="9"/>
    <w:qFormat/>
    <w:rsid w:val="00C11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F6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C11F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67"/>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C11F67"/>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C11F67"/>
    <w:rPr>
      <w:rFonts w:asciiTheme="majorHAnsi" w:eastAsiaTheme="majorEastAsia" w:hAnsiTheme="majorHAnsi" w:cstheme="majorBidi"/>
      <w:color w:val="1F3763" w:themeColor="accent1" w:themeShade="7F"/>
      <w:sz w:val="24"/>
      <w:szCs w:val="24"/>
      <w:lang w:bidi="en-US"/>
    </w:rPr>
  </w:style>
  <w:style w:type="character" w:customStyle="1" w:styleId="Heading4Char">
    <w:name w:val="Heading 4 Char"/>
    <w:basedOn w:val="DefaultParagraphFont"/>
    <w:link w:val="Heading4"/>
    <w:uiPriority w:val="9"/>
    <w:rsid w:val="00C11F67"/>
    <w:rPr>
      <w:rFonts w:asciiTheme="majorHAnsi" w:eastAsiaTheme="majorEastAsia" w:hAnsiTheme="majorHAnsi" w:cstheme="majorBidi"/>
      <w:i/>
      <w:iCs/>
      <w:color w:val="2F5496" w:themeColor="accent1" w:themeShade="BF"/>
      <w:sz w:val="24"/>
      <w:lang w:bidi="en-US"/>
    </w:rPr>
  </w:style>
  <w:style w:type="paragraph" w:styleId="Footer">
    <w:name w:val="footer"/>
    <w:basedOn w:val="Normal"/>
    <w:link w:val="FooterChar"/>
    <w:uiPriority w:val="99"/>
    <w:unhideWhenUsed/>
    <w:rsid w:val="00C11F67"/>
    <w:pPr>
      <w:tabs>
        <w:tab w:val="center" w:pos="4680"/>
        <w:tab w:val="right" w:pos="9360"/>
      </w:tabs>
      <w:spacing w:after="0"/>
    </w:pPr>
  </w:style>
  <w:style w:type="character" w:customStyle="1" w:styleId="FooterChar">
    <w:name w:val="Footer Char"/>
    <w:basedOn w:val="DefaultParagraphFont"/>
    <w:link w:val="Footer"/>
    <w:uiPriority w:val="99"/>
    <w:rsid w:val="00C11F67"/>
    <w:rPr>
      <w:rFonts w:eastAsiaTheme="minorEastAsia"/>
      <w:sz w:val="24"/>
      <w:lang w:bidi="en-US"/>
    </w:rPr>
  </w:style>
  <w:style w:type="paragraph" w:customStyle="1" w:styleId="Default">
    <w:name w:val="Default"/>
    <w:rsid w:val="00C11F6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11F67"/>
    <w:pPr>
      <w:spacing w:after="0" w:line="240" w:lineRule="auto"/>
    </w:pPr>
    <w:rPr>
      <w:rFonts w:eastAsiaTheme="minorEastAsia"/>
      <w:sz w:val="24"/>
      <w:lang w:bidi="en-US"/>
    </w:rPr>
  </w:style>
  <w:style w:type="table" w:styleId="TableGrid">
    <w:name w:val="Table Grid"/>
    <w:basedOn w:val="TableNormal"/>
    <w:uiPriority w:val="39"/>
    <w:rsid w:val="00C1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C42"/>
    <w:pPr>
      <w:ind w:left="720"/>
      <w:contextualSpacing/>
    </w:pPr>
  </w:style>
  <w:style w:type="paragraph" w:styleId="Header">
    <w:name w:val="header"/>
    <w:basedOn w:val="Normal"/>
    <w:link w:val="HeaderChar"/>
    <w:uiPriority w:val="99"/>
    <w:semiHidden/>
    <w:unhideWhenUsed/>
    <w:rsid w:val="007515D1"/>
    <w:pPr>
      <w:tabs>
        <w:tab w:val="center" w:pos="4680"/>
        <w:tab w:val="right" w:pos="9360"/>
      </w:tabs>
      <w:spacing w:after="0"/>
    </w:pPr>
  </w:style>
  <w:style w:type="character" w:customStyle="1" w:styleId="HeaderChar">
    <w:name w:val="Header Char"/>
    <w:basedOn w:val="DefaultParagraphFont"/>
    <w:link w:val="Header"/>
    <w:uiPriority w:val="99"/>
    <w:semiHidden/>
    <w:rsid w:val="007515D1"/>
    <w:rPr>
      <w:rFonts w:eastAsiaTheme="minorEastAsia"/>
      <w:sz w:val="24"/>
      <w:lang w:bidi="en-US"/>
    </w:rPr>
  </w:style>
  <w:style w:type="paragraph" w:customStyle="1" w:styleId="paragraph">
    <w:name w:val="paragraph"/>
    <w:basedOn w:val="Normal"/>
    <w:rsid w:val="009C0B2B"/>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9C0B2B"/>
  </w:style>
  <w:style w:type="character" w:customStyle="1" w:styleId="eop">
    <w:name w:val="eop"/>
    <w:basedOn w:val="DefaultParagraphFont"/>
    <w:rsid w:val="009C0B2B"/>
  </w:style>
  <w:style w:type="character" w:styleId="Hyperlink">
    <w:name w:val="Hyperlink"/>
    <w:basedOn w:val="DefaultParagraphFont"/>
    <w:uiPriority w:val="99"/>
    <w:unhideWhenUsed/>
    <w:rsid w:val="00303D81"/>
    <w:rPr>
      <w:color w:val="0563C1" w:themeColor="hyperlink"/>
      <w:u w:val="single"/>
    </w:rPr>
  </w:style>
  <w:style w:type="character" w:customStyle="1" w:styleId="UnresolvedMention1">
    <w:name w:val="Unresolved Mention1"/>
    <w:basedOn w:val="DefaultParagraphFont"/>
    <w:uiPriority w:val="99"/>
    <w:semiHidden/>
    <w:unhideWhenUsed/>
    <w:rsid w:val="00303D81"/>
    <w:rPr>
      <w:color w:val="605E5C"/>
      <w:shd w:val="clear" w:color="auto" w:fill="E1DFDD"/>
    </w:rPr>
  </w:style>
  <w:style w:type="character" w:styleId="CommentReference">
    <w:name w:val="annotation reference"/>
    <w:basedOn w:val="DefaultParagraphFont"/>
    <w:uiPriority w:val="99"/>
    <w:semiHidden/>
    <w:unhideWhenUsed/>
    <w:rsid w:val="00295593"/>
    <w:rPr>
      <w:sz w:val="16"/>
      <w:szCs w:val="16"/>
    </w:rPr>
  </w:style>
  <w:style w:type="paragraph" w:styleId="CommentText">
    <w:name w:val="annotation text"/>
    <w:link w:val="CommentTextChar"/>
    <w:autoRedefine/>
    <w:uiPriority w:val="99"/>
    <w:semiHidden/>
    <w:unhideWhenUsed/>
    <w:qFormat/>
    <w:rsid w:val="00295593"/>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295593"/>
    <w:rPr>
      <w:sz w:val="20"/>
      <w:szCs w:val="20"/>
    </w:rPr>
  </w:style>
  <w:style w:type="paragraph" w:styleId="NormalWeb">
    <w:name w:val="Normal (Web)"/>
    <w:basedOn w:val="Normal"/>
    <w:uiPriority w:val="99"/>
    <w:semiHidden/>
    <w:unhideWhenUsed/>
    <w:rsid w:val="008B0410"/>
    <w:pPr>
      <w:spacing w:before="100" w:beforeAutospacing="1" w:after="100" w:afterAutospacing="1"/>
    </w:pPr>
    <w:rPr>
      <w:rFonts w:ascii="Times New Roman" w:eastAsia="Times New Roman" w:hAnsi="Times New Roman" w:cs="Times New Roman"/>
      <w:szCs w:val="24"/>
      <w:lang w:bidi="ar-SA"/>
    </w:rPr>
  </w:style>
  <w:style w:type="character" w:styleId="UnresolvedMention">
    <w:name w:val="Unresolved Mention"/>
    <w:basedOn w:val="DefaultParagraphFont"/>
    <w:uiPriority w:val="99"/>
    <w:semiHidden/>
    <w:unhideWhenUsed/>
    <w:rsid w:val="00220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6861">
      <w:bodyDiv w:val="1"/>
      <w:marLeft w:val="0"/>
      <w:marRight w:val="0"/>
      <w:marTop w:val="0"/>
      <w:marBottom w:val="0"/>
      <w:divBdr>
        <w:top w:val="none" w:sz="0" w:space="0" w:color="auto"/>
        <w:left w:val="none" w:sz="0" w:space="0" w:color="auto"/>
        <w:bottom w:val="none" w:sz="0" w:space="0" w:color="auto"/>
        <w:right w:val="none" w:sz="0" w:space="0" w:color="auto"/>
      </w:divBdr>
    </w:div>
    <w:div w:id="716852360">
      <w:bodyDiv w:val="1"/>
      <w:marLeft w:val="0"/>
      <w:marRight w:val="0"/>
      <w:marTop w:val="0"/>
      <w:marBottom w:val="0"/>
      <w:divBdr>
        <w:top w:val="none" w:sz="0" w:space="0" w:color="auto"/>
        <w:left w:val="none" w:sz="0" w:space="0" w:color="auto"/>
        <w:bottom w:val="none" w:sz="0" w:space="0" w:color="auto"/>
        <w:right w:val="none" w:sz="0" w:space="0" w:color="auto"/>
      </w:divBdr>
    </w:div>
    <w:div w:id="1212613106">
      <w:bodyDiv w:val="1"/>
      <w:marLeft w:val="0"/>
      <w:marRight w:val="0"/>
      <w:marTop w:val="0"/>
      <w:marBottom w:val="0"/>
      <w:divBdr>
        <w:top w:val="none" w:sz="0" w:space="0" w:color="auto"/>
        <w:left w:val="none" w:sz="0" w:space="0" w:color="auto"/>
        <w:bottom w:val="none" w:sz="0" w:space="0" w:color="auto"/>
        <w:right w:val="none" w:sz="0" w:space="0" w:color="auto"/>
      </w:divBdr>
    </w:div>
    <w:div w:id="1447653615">
      <w:bodyDiv w:val="1"/>
      <w:marLeft w:val="0"/>
      <w:marRight w:val="0"/>
      <w:marTop w:val="0"/>
      <w:marBottom w:val="0"/>
      <w:divBdr>
        <w:top w:val="none" w:sz="0" w:space="0" w:color="auto"/>
        <w:left w:val="none" w:sz="0" w:space="0" w:color="auto"/>
        <w:bottom w:val="none" w:sz="0" w:space="0" w:color="auto"/>
        <w:right w:val="none" w:sz="0" w:space="0" w:color="auto"/>
      </w:divBdr>
      <w:divsChild>
        <w:div w:id="14624968">
          <w:marLeft w:val="0"/>
          <w:marRight w:val="0"/>
          <w:marTop w:val="0"/>
          <w:marBottom w:val="0"/>
          <w:divBdr>
            <w:top w:val="none" w:sz="0" w:space="0" w:color="auto"/>
            <w:left w:val="none" w:sz="0" w:space="0" w:color="auto"/>
            <w:bottom w:val="none" w:sz="0" w:space="0" w:color="auto"/>
            <w:right w:val="none" w:sz="0" w:space="0" w:color="auto"/>
          </w:divBdr>
        </w:div>
        <w:div w:id="238491702">
          <w:marLeft w:val="0"/>
          <w:marRight w:val="0"/>
          <w:marTop w:val="0"/>
          <w:marBottom w:val="0"/>
          <w:divBdr>
            <w:top w:val="none" w:sz="0" w:space="0" w:color="auto"/>
            <w:left w:val="none" w:sz="0" w:space="0" w:color="auto"/>
            <w:bottom w:val="none" w:sz="0" w:space="0" w:color="auto"/>
            <w:right w:val="none" w:sz="0" w:space="0" w:color="auto"/>
          </w:divBdr>
        </w:div>
        <w:div w:id="448427516">
          <w:marLeft w:val="0"/>
          <w:marRight w:val="0"/>
          <w:marTop w:val="0"/>
          <w:marBottom w:val="0"/>
          <w:divBdr>
            <w:top w:val="none" w:sz="0" w:space="0" w:color="auto"/>
            <w:left w:val="none" w:sz="0" w:space="0" w:color="auto"/>
            <w:bottom w:val="none" w:sz="0" w:space="0" w:color="auto"/>
            <w:right w:val="none" w:sz="0" w:space="0" w:color="auto"/>
          </w:divBdr>
        </w:div>
        <w:div w:id="147930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8/indicator8-slides-spanish.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psm/resources/tfm-toolkit.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0AF9F-C2F2-47AE-8F72-89ADC09559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F6B8F-EB56-48B9-9A40-45AF34EBAC08}">
  <ds:schemaRefs>
    <ds:schemaRef ds:uri="http://schemas.openxmlformats.org/officeDocument/2006/bibliography"/>
  </ds:schemaRefs>
</ds:datastoreItem>
</file>

<file path=customXml/itemProps3.xml><?xml version="1.0" encoding="utf-8"?>
<ds:datastoreItem xmlns:ds="http://schemas.openxmlformats.org/officeDocument/2006/customXml" ds:itemID="{5E47D713-CE6C-4583-98AD-5355EDE3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0A552-EF42-4437-A831-F34D76067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Indicator 8: Parent Involvement — Students with IEPs — Spanish</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8: Parent Involvement — Students with IEPs — Spanish</dc:title>
  <dc:subject/>
  <dc:creator>DESE</dc:creator>
  <cp:keywords/>
  <dc:description/>
  <cp:lastModifiedBy>Zou, Dong (EOE)</cp:lastModifiedBy>
  <cp:revision>245</cp:revision>
  <dcterms:created xsi:type="dcterms:W3CDTF">2021-08-31T15:39:00Z</dcterms:created>
  <dcterms:modified xsi:type="dcterms:W3CDTF">2023-02-13T20:18:00Z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2023 12:00AM</vt:lpwstr>
  </property>
</Properties>
</file>