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14BBB" w14:textId="2C71F598" w:rsidR="00D459C1" w:rsidRPr="006670A1" w:rsidRDefault="00734DB5" w:rsidP="00D459C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hyperlink r:id="rId9" w:history="1">
        <w:r w:rsidR="00D459C1" w:rsidRPr="002824C5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English</w:t>
        </w:r>
      </w:hyperlink>
      <w:r w:rsidR="00D459C1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0" w:history="1">
        <w:r w:rsidR="00D459C1" w:rsidRPr="002824C5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</w:hyperlink>
      <w:r w:rsidR="00D459C1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1" w:history="1">
        <w:r w:rsidR="00D459C1" w:rsidRPr="002824C5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Kreyòl Ayisyen</w:t>
        </w:r>
      </w:hyperlink>
      <w:r w:rsidR="00D459C1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r w:rsidR="00D459C1" w:rsidRPr="00D459C1">
        <w:rPr>
          <w:rFonts w:ascii="SimSun" w:eastAsia="SimSun" w:hAnsi="SimSun" w:cs="SimSun"/>
          <w:b/>
          <w:bCs/>
          <w:shd w:val="clear" w:color="auto" w:fill="FFFFFF"/>
        </w:rPr>
        <w:t>português</w:t>
      </w:r>
      <w:r w:rsidR="00D459C1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hyperlink r:id="rId12" w:history="1">
        <w:r w:rsidR="00D459C1" w:rsidRPr="002824C5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español</w:t>
        </w:r>
      </w:hyperlink>
      <w:r w:rsidR="00D459C1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3" w:history="1">
        <w:r w:rsidR="00D459C1" w:rsidRPr="002824C5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D459C1" w:rsidRPr="002824C5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D459C1" w:rsidRPr="002824C5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p w14:paraId="4310ADA8" w14:textId="7DA9CC70" w:rsidR="004D7235" w:rsidRPr="009B4C10" w:rsidRDefault="00BB2899" w:rsidP="270B6239">
      <w:pPr>
        <w:pStyle w:val="Heading1"/>
        <w:spacing w:line="240" w:lineRule="auto"/>
        <w:rPr>
          <w:lang w:val="pt-PT"/>
        </w:rPr>
      </w:pPr>
      <w:r w:rsidRPr="009B4C10">
        <w:rPr>
          <w:lang w:val="pt-PT"/>
        </w:rPr>
        <w:t>Indica</w:t>
      </w:r>
      <w:r w:rsidR="00E956E0" w:rsidRPr="009B4C10">
        <w:rPr>
          <w:lang w:val="pt-PT"/>
        </w:rPr>
        <w:t>d</w:t>
      </w:r>
      <w:r w:rsidRPr="009B4C10">
        <w:rPr>
          <w:lang w:val="pt-PT"/>
        </w:rPr>
        <w:t xml:space="preserve">or 9: </w:t>
      </w:r>
      <w:r w:rsidR="00E956E0" w:rsidRPr="009B4C10">
        <w:rPr>
          <w:lang w:val="pt-PT"/>
        </w:rPr>
        <w:t>Representação Desproporcionada</w:t>
      </w:r>
    </w:p>
    <w:p w14:paraId="5B37F5E7" w14:textId="3D255C3E" w:rsidR="00D14FCC" w:rsidRPr="009B4C10" w:rsidRDefault="00E956E0" w:rsidP="270B6239">
      <w:pPr>
        <w:pStyle w:val="Heading1"/>
        <w:spacing w:line="240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</w:pPr>
      <w:r w:rsidRPr="009B4C1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 xml:space="preserve">O que é o </w:t>
      </w:r>
      <w:r w:rsidR="00D14FCC" w:rsidRPr="009B4C1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>Indica</w:t>
      </w:r>
      <w:r w:rsidRPr="009B4C1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>d</w:t>
      </w:r>
      <w:r w:rsidR="00D14FCC" w:rsidRPr="009B4C1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 xml:space="preserve">or 9? </w:t>
      </w:r>
    </w:p>
    <w:p w14:paraId="68E9C28D" w14:textId="01270764" w:rsidR="270B6239" w:rsidRPr="009B4C10" w:rsidRDefault="00E956E0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Os distritos são assinalados por uma representação desproporcionada se, durante três anos consecutivos, apresentarem uma relação de risco ponderada ou alternativa de 3,0 ou superior p</w:t>
      </w:r>
      <w:r w:rsidR="009B4C10">
        <w:rPr>
          <w:rFonts w:ascii="Calibri" w:eastAsia="Calibri" w:hAnsi="Calibri" w:cs="Calibri"/>
          <w:lang w:val="pt-PT"/>
        </w:rPr>
        <w:t>or</w:t>
      </w:r>
      <w:r w:rsidRPr="009B4C10">
        <w:rPr>
          <w:rFonts w:ascii="Calibri" w:eastAsia="Calibri" w:hAnsi="Calibri" w:cs="Calibri"/>
          <w:lang w:val="pt-PT"/>
        </w:rPr>
        <w:t xml:space="preserve"> um possível </w:t>
      </w:r>
      <w:r w:rsidR="009B4C10">
        <w:rPr>
          <w:rFonts w:ascii="Calibri" w:eastAsia="Calibri" w:hAnsi="Calibri" w:cs="Calibri"/>
          <w:lang w:val="pt-PT"/>
        </w:rPr>
        <w:t xml:space="preserve">excesso </w:t>
      </w:r>
      <w:r w:rsidR="009B4C10" w:rsidRPr="009B4C10">
        <w:rPr>
          <w:rFonts w:ascii="Calibri" w:eastAsia="Calibri" w:hAnsi="Calibri" w:cs="Calibri"/>
          <w:lang w:val="pt-PT"/>
        </w:rPr>
        <w:t>representativo</w:t>
      </w:r>
      <w:r w:rsidRPr="009B4C10">
        <w:rPr>
          <w:rFonts w:ascii="Calibri" w:eastAsia="Calibri" w:hAnsi="Calibri" w:cs="Calibri"/>
          <w:lang w:val="pt-PT"/>
        </w:rPr>
        <w:t>. Qualquer distrito assinalado por representação desproporcionada, com base nesta análise quantitativa, receberá uma carta do Departamento do Ensino Primário e Secundário (o Departamento) dando-lhes conhecimento do seu estatuto e exigindo que enviem políticas, práticas e procedimentos (PPPs) ao Departamento para análise</w:t>
      </w:r>
      <w:r w:rsidR="270B6239" w:rsidRPr="009B4C10">
        <w:rPr>
          <w:rFonts w:ascii="Calibri" w:eastAsia="Calibri" w:hAnsi="Calibri" w:cs="Calibri"/>
          <w:lang w:val="pt-PT"/>
        </w:rPr>
        <w:t xml:space="preserve">. </w:t>
      </w:r>
    </w:p>
    <w:p w14:paraId="7D9F533B" w14:textId="34465D41" w:rsidR="270B6239" w:rsidRPr="009B4C10" w:rsidRDefault="270B6239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0A147BCE" w14:textId="25B1EFDE" w:rsidR="270B6239" w:rsidRPr="009B4C10" w:rsidRDefault="00E956E0" w:rsidP="270B6239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  <w:r w:rsidRPr="009B4C10">
        <w:rPr>
          <w:rFonts w:ascii="Calibri" w:eastAsia="Calibri" w:hAnsi="Calibri" w:cs="Calibri"/>
          <w:i/>
          <w:iCs/>
          <w:lang w:val="pt-PT"/>
        </w:rPr>
        <w:t>Se, nesta análise, o Departamento determinar que as PPP</w:t>
      </w:r>
      <w:r w:rsidR="009B4C10">
        <w:rPr>
          <w:rFonts w:ascii="Calibri" w:eastAsia="Calibri" w:hAnsi="Calibri" w:cs="Calibri"/>
          <w:i/>
          <w:iCs/>
          <w:lang w:val="pt-PT"/>
        </w:rPr>
        <w:t>s</w:t>
      </w:r>
      <w:r w:rsidRPr="009B4C10">
        <w:rPr>
          <w:rFonts w:ascii="Calibri" w:eastAsia="Calibri" w:hAnsi="Calibri" w:cs="Calibri"/>
          <w:i/>
          <w:iCs/>
          <w:lang w:val="pt-PT"/>
        </w:rPr>
        <w:t xml:space="preserve"> são inadequadas ou inconsistentes com os regulamentos federais e estatais e concluir que as PPP</w:t>
      </w:r>
      <w:r w:rsidR="009B4C10">
        <w:rPr>
          <w:rFonts w:ascii="Calibri" w:eastAsia="Calibri" w:hAnsi="Calibri" w:cs="Calibri"/>
          <w:i/>
          <w:iCs/>
          <w:lang w:val="pt-PT"/>
        </w:rPr>
        <w:t>s</w:t>
      </w:r>
      <w:r w:rsidRPr="009B4C10">
        <w:rPr>
          <w:rFonts w:ascii="Calibri" w:eastAsia="Calibri" w:hAnsi="Calibri" w:cs="Calibri"/>
          <w:i/>
          <w:iCs/>
          <w:lang w:val="pt-PT"/>
        </w:rPr>
        <w:t xml:space="preserve"> provavelmente causaram a representação desproporcionada, </w:t>
      </w:r>
      <w:r w:rsidR="009B4C10">
        <w:rPr>
          <w:rFonts w:ascii="Calibri" w:eastAsia="Calibri" w:hAnsi="Calibri" w:cs="Calibri"/>
          <w:i/>
          <w:iCs/>
          <w:lang w:val="pt-PT"/>
        </w:rPr>
        <w:t xml:space="preserve">neste acaso a </w:t>
      </w:r>
      <w:r w:rsidRPr="009B4C10">
        <w:rPr>
          <w:rFonts w:ascii="Calibri" w:eastAsia="Calibri" w:hAnsi="Calibri" w:cs="Calibri"/>
          <w:i/>
          <w:iCs/>
          <w:lang w:val="pt-PT"/>
        </w:rPr>
        <w:t>LEA é identificada como tendo uma representação desproporcionada devido a uma identificação inadequada e é obrigada a tomar medidas de correção</w:t>
      </w:r>
      <w:r w:rsidR="270B6239" w:rsidRPr="009B4C10">
        <w:rPr>
          <w:rFonts w:ascii="Calibri" w:eastAsia="Calibri" w:hAnsi="Calibri" w:cs="Calibri"/>
          <w:i/>
          <w:iCs/>
          <w:lang w:val="pt-PT"/>
        </w:rPr>
        <w:t>.</w:t>
      </w:r>
    </w:p>
    <w:p w14:paraId="38A2D032" w14:textId="77777777" w:rsidR="00E956E0" w:rsidRPr="009B4C10" w:rsidRDefault="00E956E0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340D403C" w14:textId="71BBFC63" w:rsidR="270B6239" w:rsidRPr="009B4C10" w:rsidRDefault="00E956E0" w:rsidP="270B6239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9B4C10">
        <w:rPr>
          <w:b/>
          <w:bCs/>
          <w:color w:val="000000" w:themeColor="text1"/>
          <w:sz w:val="24"/>
          <w:szCs w:val="24"/>
          <w:lang w:val="pt-PT"/>
        </w:rPr>
        <w:t xml:space="preserve">Dados </w:t>
      </w:r>
      <w:r w:rsidR="00D14FCC" w:rsidRPr="009B4C10">
        <w:rPr>
          <w:b/>
          <w:bCs/>
          <w:color w:val="000000" w:themeColor="text1"/>
          <w:sz w:val="24"/>
          <w:szCs w:val="24"/>
          <w:lang w:val="pt-PT"/>
        </w:rPr>
        <w:t>Indica</w:t>
      </w:r>
      <w:r w:rsidRPr="009B4C10">
        <w:rPr>
          <w:b/>
          <w:bCs/>
          <w:color w:val="000000" w:themeColor="text1"/>
          <w:sz w:val="24"/>
          <w:szCs w:val="24"/>
          <w:lang w:val="pt-PT"/>
        </w:rPr>
        <w:t>d</w:t>
      </w:r>
      <w:r w:rsidR="00D14FCC" w:rsidRPr="009B4C10">
        <w:rPr>
          <w:b/>
          <w:bCs/>
          <w:color w:val="000000" w:themeColor="text1"/>
          <w:sz w:val="24"/>
          <w:szCs w:val="24"/>
          <w:lang w:val="pt-PT"/>
        </w:rPr>
        <w:t>or 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1785"/>
      </w:tblGrid>
      <w:tr w:rsidR="270B6239" w:rsidRPr="009B4C10" w14:paraId="00E89536" w14:textId="77777777" w:rsidTr="270B6239">
        <w:trPr>
          <w:trHeight w:val="300"/>
        </w:trPr>
        <w:tc>
          <w:tcPr>
            <w:tcW w:w="1785" w:type="dxa"/>
          </w:tcPr>
          <w:p w14:paraId="5718C44D" w14:textId="14FCB569" w:rsidR="270B6239" w:rsidRPr="009B4C10" w:rsidRDefault="00E956E0" w:rsidP="270B6239">
            <w:pPr>
              <w:spacing w:before="60" w:after="60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Ano</w:t>
            </w:r>
          </w:p>
        </w:tc>
        <w:tc>
          <w:tcPr>
            <w:tcW w:w="1785" w:type="dxa"/>
          </w:tcPr>
          <w:p w14:paraId="78A2E14F" w14:textId="77173112" w:rsidR="270B6239" w:rsidRPr="009B4C10" w:rsidRDefault="00E956E0" w:rsidP="270B6239">
            <w:pPr>
              <w:spacing w:before="60" w:after="60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Dados</w:t>
            </w:r>
          </w:p>
        </w:tc>
      </w:tr>
      <w:tr w:rsidR="270B6239" w:rsidRPr="009B4C10" w14:paraId="38DF9DF2" w14:textId="77777777" w:rsidTr="270B6239">
        <w:trPr>
          <w:trHeight w:val="300"/>
        </w:trPr>
        <w:tc>
          <w:tcPr>
            <w:tcW w:w="1785" w:type="dxa"/>
            <w:vAlign w:val="center"/>
          </w:tcPr>
          <w:p w14:paraId="570EC9C6" w14:textId="568F5CDB" w:rsidR="270B6239" w:rsidRPr="009B4C10" w:rsidRDefault="270B6239" w:rsidP="270B6239">
            <w:pPr>
              <w:spacing w:before="60" w:after="60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2016</w:t>
            </w:r>
          </w:p>
        </w:tc>
        <w:tc>
          <w:tcPr>
            <w:tcW w:w="1785" w:type="dxa"/>
            <w:vAlign w:val="center"/>
          </w:tcPr>
          <w:p w14:paraId="4AA6F9AA" w14:textId="03E0B0EA" w:rsidR="270B6239" w:rsidRPr="009B4C10" w:rsidRDefault="270B6239" w:rsidP="270B6239">
            <w:pPr>
              <w:spacing w:before="60" w:after="60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</w:tr>
    </w:tbl>
    <w:p w14:paraId="14C3AB0C" w14:textId="5B9CAB27" w:rsidR="270B6239" w:rsidRPr="009B4C10" w:rsidRDefault="270B6239" w:rsidP="270B6239">
      <w:pPr>
        <w:spacing w:before="60" w:after="60" w:line="240" w:lineRule="auto"/>
        <w:rPr>
          <w:rFonts w:ascii="Calibri" w:eastAsia="Calibri" w:hAnsi="Calibri" w:cs="Calibri"/>
          <w:color w:val="000000" w:themeColor="text1"/>
          <w:lang w:val="pt-PT"/>
        </w:rPr>
      </w:pPr>
    </w:p>
    <w:p w14:paraId="2FC2DD05" w14:textId="12C7FF55" w:rsidR="270B6239" w:rsidRPr="009B4C10" w:rsidRDefault="00E956E0" w:rsidP="270B6239">
      <w:pPr>
        <w:spacing w:before="60" w:after="60" w:line="240" w:lineRule="auto"/>
        <w:rPr>
          <w:rFonts w:ascii="Calibri" w:eastAsia="Calibri" w:hAnsi="Calibri" w:cs="Calibri"/>
          <w:color w:val="000000" w:themeColor="text1"/>
          <w:lang w:val="pt-PT"/>
        </w:rPr>
      </w:pPr>
      <w:r w:rsidRPr="009B4C10">
        <w:rPr>
          <w:rFonts w:ascii="Calibri" w:eastAsia="Calibri" w:hAnsi="Calibri" w:cs="Calibri"/>
          <w:color w:val="000000" w:themeColor="text1"/>
          <w:lang w:val="pt-PT"/>
        </w:rPr>
        <w:t>Dados Históricos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1558"/>
        <w:gridCol w:w="1558"/>
        <w:gridCol w:w="1558"/>
        <w:gridCol w:w="1571"/>
      </w:tblGrid>
      <w:tr w:rsidR="270B6239" w:rsidRPr="009B4C10" w14:paraId="605B6772" w14:textId="77777777" w:rsidTr="0E80A931">
        <w:trPr>
          <w:trHeight w:val="34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EB8B" w14:textId="4A1AC882" w:rsidR="270B6239" w:rsidRPr="009B4C10" w:rsidRDefault="270B6239" w:rsidP="270B623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FFY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ADA8" w14:textId="194D9070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2308" w14:textId="639A329D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DADA0" w14:textId="6309ACF7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94FE" w14:textId="41CEE169" w:rsidR="270B6239" w:rsidRPr="009B4C10" w:rsidRDefault="270B6239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</w:t>
            </w:r>
            <w:r w:rsidR="537B4E61"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19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3E47" w14:textId="177B2092" w:rsidR="270B6239" w:rsidRPr="009B4C10" w:rsidRDefault="270B6239" w:rsidP="270B623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</w:t>
            </w:r>
            <w:r w:rsidR="65BE4021"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</w:t>
            </w:r>
          </w:p>
        </w:tc>
      </w:tr>
      <w:tr w:rsidR="270B6239" w:rsidRPr="009B4C10" w14:paraId="4C68AB1D" w14:textId="77777777" w:rsidTr="0E80A931">
        <w:trPr>
          <w:trHeight w:val="34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7ED7" w14:textId="11D54FC8" w:rsidR="270B6239" w:rsidRPr="009B4C10" w:rsidRDefault="00E956E0" w:rsidP="270B6239">
            <w:pPr>
              <w:spacing w:before="60" w:after="60" w:line="240" w:lineRule="auto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Objetivo</w:t>
            </w:r>
            <w:r w:rsidR="270B6239"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145E" w14:textId="7CE031B2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58EE" w14:textId="1AEC2051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D817" w14:textId="5FDED409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5585" w14:textId="1AEC2051" w:rsidR="270B6239" w:rsidRPr="009B4C10" w:rsidRDefault="270B6239" w:rsidP="270B623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BACF" w14:textId="5FDED409" w:rsidR="270B6239" w:rsidRPr="009B4C10" w:rsidRDefault="270B6239" w:rsidP="270B623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</w:tr>
      <w:tr w:rsidR="270B6239" w:rsidRPr="009B4C10" w14:paraId="4990C00E" w14:textId="77777777" w:rsidTr="0E80A931">
        <w:trPr>
          <w:trHeight w:val="7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644D" w14:textId="7934DFCB" w:rsidR="270B6239" w:rsidRPr="009B4C10" w:rsidRDefault="270B6239" w:rsidP="270B6239">
            <w:pPr>
              <w:spacing w:before="60" w:after="60" w:line="240" w:lineRule="auto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Da</w:t>
            </w:r>
            <w:r w:rsidR="00E956E0"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dos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C111" w14:textId="4BD3E66A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1715" w14:textId="3BF940C6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2078" w14:textId="57AD4507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5E3D" w14:textId="3BF940C6" w:rsidR="270B6239" w:rsidRPr="009B4C10" w:rsidRDefault="270B6239" w:rsidP="270B623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6A28" w14:textId="57AD4507" w:rsidR="270B6239" w:rsidRPr="009B4C10" w:rsidRDefault="270B6239" w:rsidP="270B623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</w:tr>
    </w:tbl>
    <w:p w14:paraId="4E14EC01" w14:textId="77777777" w:rsidR="00E956E0" w:rsidRPr="009B4C10" w:rsidRDefault="00E956E0" w:rsidP="0E80A931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p w14:paraId="72A2AFC0" w14:textId="6CD6C3DD" w:rsidR="27173190" w:rsidRPr="009B4C10" w:rsidRDefault="00E956E0" w:rsidP="0E80A931">
      <w:pPr>
        <w:spacing w:before="60" w:after="60" w:line="240" w:lineRule="auto"/>
        <w:rPr>
          <w:rFonts w:ascii="Calibri" w:eastAsia="Calibri" w:hAnsi="Calibri" w:cs="Calibri"/>
          <w:i/>
          <w:iCs/>
          <w:color w:val="000000" w:themeColor="text1"/>
          <w:lang w:val="pt-PT"/>
        </w:rPr>
      </w:pPr>
      <w:r w:rsidRPr="009B4C10">
        <w:rPr>
          <w:rFonts w:ascii="Calibri" w:eastAsia="Calibri" w:hAnsi="Calibri" w:cs="Calibri"/>
          <w:i/>
          <w:iCs/>
          <w:color w:val="000000" w:themeColor="text1"/>
          <w:lang w:val="pt-PT"/>
        </w:rPr>
        <w:t>Objetivos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58"/>
        <w:gridCol w:w="1558"/>
        <w:gridCol w:w="1558"/>
        <w:gridCol w:w="1558"/>
        <w:gridCol w:w="1558"/>
        <w:gridCol w:w="1571"/>
      </w:tblGrid>
      <w:tr w:rsidR="0E80A931" w:rsidRPr="009B4C10" w14:paraId="3DB4467C" w14:textId="77777777" w:rsidTr="0E80A931">
        <w:trPr>
          <w:trHeight w:val="34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876F" w14:textId="4A1AC882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FFY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6FDB" w14:textId="62483254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</w:t>
            </w:r>
            <w:r w:rsidR="14BF0B70"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B8D2" w14:textId="35C873D2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</w:t>
            </w:r>
            <w:r w:rsidR="591B9732"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757F" w14:textId="262E3218" w:rsidR="591B9732" w:rsidRPr="009B4C10" w:rsidRDefault="591B9732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D58B" w14:textId="47A1057C" w:rsidR="591B9732" w:rsidRPr="009B4C10" w:rsidRDefault="591B9732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2024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00E9" w14:textId="169F1516" w:rsidR="591B9732" w:rsidRPr="009B4C10" w:rsidRDefault="591B9732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2025</w:t>
            </w:r>
          </w:p>
        </w:tc>
      </w:tr>
      <w:tr w:rsidR="0E80A931" w:rsidRPr="009B4C10" w14:paraId="52F364C8" w14:textId="77777777" w:rsidTr="0E80A931">
        <w:trPr>
          <w:trHeight w:val="34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9A3F" w14:textId="6751B3CD" w:rsidR="0E80A931" w:rsidRPr="009B4C10" w:rsidRDefault="00E956E0" w:rsidP="0E80A931">
            <w:pPr>
              <w:spacing w:before="60" w:after="60" w:line="240" w:lineRule="auto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Objetivo</w:t>
            </w:r>
            <w:r w:rsidR="0E80A931"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1D48" w14:textId="7CE031B2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8861" w14:textId="1AEC2051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E0F0" w14:textId="5FDED409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2CF7" w14:textId="1AEC2051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EF91" w14:textId="5FDED409" w:rsidR="0E80A931" w:rsidRPr="009B4C10" w:rsidRDefault="0E80A931" w:rsidP="0E80A93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9B4C10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</w:tr>
    </w:tbl>
    <w:p w14:paraId="3C366BDD" w14:textId="13AECFD6" w:rsidR="0E80A931" w:rsidRPr="009B4C10" w:rsidRDefault="0E80A931" w:rsidP="0E80A931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p w14:paraId="115626C5" w14:textId="50FE7586" w:rsidR="270B6239" w:rsidRPr="009B4C10" w:rsidRDefault="270B6239" w:rsidP="0E80A931">
      <w:pPr>
        <w:spacing w:after="0" w:line="240" w:lineRule="auto"/>
        <w:rPr>
          <w:color w:val="000000" w:themeColor="text1"/>
          <w:lang w:val="pt-PT"/>
        </w:rPr>
      </w:pPr>
      <w:r w:rsidRPr="009B4C10">
        <w:rPr>
          <w:color w:val="000000" w:themeColor="text1"/>
          <w:lang w:val="pt-PT"/>
        </w:rPr>
        <w:t>FFY</w:t>
      </w:r>
      <w:r w:rsidR="562386B5" w:rsidRPr="009B4C10">
        <w:rPr>
          <w:color w:val="000000" w:themeColor="text1"/>
          <w:lang w:val="pt-PT"/>
        </w:rPr>
        <w:t>21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1730"/>
        <w:gridCol w:w="1730"/>
        <w:gridCol w:w="1974"/>
        <w:gridCol w:w="1240"/>
        <w:gridCol w:w="1887"/>
        <w:gridCol w:w="1118"/>
      </w:tblGrid>
      <w:tr w:rsidR="270B6239" w:rsidRPr="009B4C10" w14:paraId="282096DE" w14:textId="77777777" w:rsidTr="00E956E0">
        <w:trPr>
          <w:trHeight w:val="373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4C65DB" w14:textId="282B386E" w:rsidR="270B6239" w:rsidRPr="009B4C10" w:rsidRDefault="00E956E0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pt-PT"/>
              </w:rPr>
              <w:t>N.º de distritos com representação desproporcionada de grupos raciais e étnicos na educação especial e serviços afins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03FE8F" w14:textId="6A3FBAAC" w:rsidR="270B6239" w:rsidRPr="009B4C10" w:rsidRDefault="00E956E0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pt-PT"/>
              </w:rPr>
              <w:t>N.º de distritos com representação desproporcionada de grupos raciais e étnicos na educação especial e serviços afins resultante de uma identificação inadequada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D76B5" w14:textId="0261D1F1" w:rsidR="270B6239" w:rsidRPr="009B4C10" w:rsidRDefault="00E956E0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pt-PT"/>
              </w:rPr>
              <w:t>N.º de Distritos que atingiram o "n" mínimo do Estado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D651D8" w14:textId="083D58CB" w:rsidR="270B6239" w:rsidRPr="009B4C10" w:rsidRDefault="00E956E0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pt-PT"/>
              </w:rPr>
              <w:t xml:space="preserve">Dados </w:t>
            </w:r>
            <w:r w:rsidR="270B6239" w:rsidRPr="009B4C10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pt-PT"/>
              </w:rPr>
              <w:t>FFY 2018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D39FA" w14:textId="3B5D7FCA" w:rsidR="270B6239" w:rsidRPr="009B4C10" w:rsidRDefault="00E956E0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pt-PT"/>
              </w:rPr>
              <w:t xml:space="preserve">Objetivo </w:t>
            </w:r>
            <w:r w:rsidR="270B6239" w:rsidRPr="009B4C10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pt-PT"/>
              </w:rPr>
              <w:t>FFY 2019t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0A6DD6" w14:textId="6FAE681F" w:rsidR="270B6239" w:rsidRPr="009B4C10" w:rsidRDefault="00E956E0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pt-PT"/>
              </w:rPr>
              <w:t xml:space="preserve">Dados </w:t>
            </w:r>
            <w:r w:rsidR="270B6239" w:rsidRPr="009B4C10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pt-PT"/>
              </w:rPr>
              <w:t>FFY 2019</w:t>
            </w:r>
          </w:p>
        </w:tc>
      </w:tr>
      <w:tr w:rsidR="270B6239" w:rsidRPr="009B4C10" w14:paraId="21E39EB6" w14:textId="77777777" w:rsidTr="00E956E0">
        <w:trPr>
          <w:trHeight w:val="3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95E6" w14:textId="32CC7838" w:rsidR="270B6239" w:rsidRPr="009B4C10" w:rsidRDefault="0BB2FE85" w:rsidP="0E80A931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AFC6" w14:textId="58605286" w:rsidR="270B6239" w:rsidRPr="009B4C10" w:rsidRDefault="270B6239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  <w:t>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5FDE" w14:textId="04AB8BB6" w:rsidR="270B6239" w:rsidRPr="009B4C10" w:rsidRDefault="2083709D" w:rsidP="0E80A931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  <w:t>396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EDED" w14:textId="384265A3" w:rsidR="270B6239" w:rsidRPr="009B4C10" w:rsidRDefault="270B6239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  <w:t>0.00%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6A36" w14:textId="2F47A7CF" w:rsidR="270B6239" w:rsidRPr="009B4C10" w:rsidRDefault="270B6239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  <w:t>0%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3305" w14:textId="2154D530" w:rsidR="270B6239" w:rsidRPr="009B4C10" w:rsidRDefault="270B6239" w:rsidP="2AFF7ECA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</w:pPr>
            <w:r w:rsidRPr="009B4C10">
              <w:rPr>
                <w:rFonts w:eastAsiaTheme="minorEastAsia"/>
                <w:color w:val="000000" w:themeColor="text1"/>
                <w:sz w:val="18"/>
                <w:szCs w:val="18"/>
                <w:lang w:val="pt-PT"/>
              </w:rPr>
              <w:t>0.00%</w:t>
            </w:r>
          </w:p>
        </w:tc>
      </w:tr>
    </w:tbl>
    <w:p w14:paraId="335B2131" w14:textId="744E2341" w:rsidR="270B6239" w:rsidRPr="009B4C10" w:rsidRDefault="270B6239" w:rsidP="270B6239">
      <w:pPr>
        <w:spacing w:after="0" w:line="240" w:lineRule="auto"/>
        <w:rPr>
          <w:color w:val="000000" w:themeColor="text1"/>
          <w:sz w:val="24"/>
          <w:szCs w:val="24"/>
          <w:lang w:val="pt-PT"/>
        </w:rPr>
      </w:pPr>
    </w:p>
    <w:p w14:paraId="00EF2B8E" w14:textId="783E3382" w:rsidR="270B6239" w:rsidRPr="009B4C10" w:rsidRDefault="270B6239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08A2AF18" w14:textId="1E001226" w:rsidR="270B6239" w:rsidRPr="009B4C10" w:rsidRDefault="00613436" w:rsidP="270B6239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9B4C10">
        <w:rPr>
          <w:b/>
          <w:bCs/>
          <w:color w:val="000000" w:themeColor="text1"/>
          <w:sz w:val="24"/>
          <w:szCs w:val="24"/>
          <w:lang w:val="pt-PT"/>
        </w:rPr>
        <w:lastRenderedPageBreak/>
        <w:t>O que significa se um distrito apresentar uma relação de risco ponderada ou alternativa de 3,0 ou superior</w:t>
      </w:r>
      <w:r w:rsidR="270B6239" w:rsidRPr="009B4C10">
        <w:rPr>
          <w:b/>
          <w:bCs/>
          <w:color w:val="000000" w:themeColor="text1"/>
          <w:sz w:val="24"/>
          <w:szCs w:val="24"/>
          <w:lang w:val="pt-PT"/>
        </w:rPr>
        <w:t>?</w:t>
      </w:r>
    </w:p>
    <w:p w14:paraId="0DB9F57D" w14:textId="7D21022E" w:rsidR="270B6239" w:rsidRPr="009B4C10" w:rsidRDefault="00D62B34" w:rsidP="270B6239">
      <w:pPr>
        <w:spacing w:after="0" w:line="240" w:lineRule="auto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S</w:t>
      </w:r>
      <w:r w:rsidR="00613436" w:rsidRPr="009B4C10">
        <w:rPr>
          <w:color w:val="000000" w:themeColor="text1"/>
          <w:lang w:val="pt-PT"/>
        </w:rPr>
        <w:t>ignifica que um estudante de um determinado grupo racial ou étnico parece ter três vezes mais probabilidades de ser identificado como elegível para educação especial do que o esperado com base na taxa de incidência global para esse grupo racial ou étnico</w:t>
      </w:r>
      <w:r w:rsidR="270B6239" w:rsidRPr="009B4C10">
        <w:rPr>
          <w:color w:val="000000" w:themeColor="text1"/>
          <w:lang w:val="pt-PT"/>
        </w:rPr>
        <w:t>.</w:t>
      </w:r>
    </w:p>
    <w:p w14:paraId="5EA7681E" w14:textId="768D5CC9" w:rsidR="270B6239" w:rsidRPr="009B4C10" w:rsidRDefault="270B6239" w:rsidP="270B6239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p w14:paraId="50250186" w14:textId="161B00B3" w:rsidR="270B6239" w:rsidRPr="009B4C10" w:rsidRDefault="00613436" w:rsidP="270B6239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9B4C10">
        <w:rPr>
          <w:b/>
          <w:bCs/>
          <w:color w:val="000000" w:themeColor="text1"/>
          <w:sz w:val="24"/>
          <w:szCs w:val="24"/>
          <w:lang w:val="pt-PT"/>
        </w:rPr>
        <w:t xml:space="preserve">Quando é utilizado um rácio de risco ponderado para um cálculo do </w:t>
      </w:r>
      <w:r w:rsidR="00F507A8">
        <w:rPr>
          <w:b/>
          <w:bCs/>
          <w:color w:val="000000" w:themeColor="text1"/>
          <w:sz w:val="24"/>
          <w:szCs w:val="24"/>
          <w:lang w:val="pt-PT"/>
        </w:rPr>
        <w:t>I</w:t>
      </w:r>
      <w:r w:rsidRPr="009B4C10">
        <w:rPr>
          <w:b/>
          <w:bCs/>
          <w:color w:val="000000" w:themeColor="text1"/>
          <w:sz w:val="24"/>
          <w:szCs w:val="24"/>
          <w:lang w:val="pt-PT"/>
        </w:rPr>
        <w:t xml:space="preserve">ndicador 9? Quando é utilizado um rácio de risco alternativo para um cálculo do </w:t>
      </w:r>
      <w:r w:rsidR="00F507A8">
        <w:rPr>
          <w:b/>
          <w:bCs/>
          <w:color w:val="000000" w:themeColor="text1"/>
          <w:sz w:val="24"/>
          <w:szCs w:val="24"/>
          <w:lang w:val="pt-PT"/>
        </w:rPr>
        <w:t>I</w:t>
      </w:r>
      <w:r w:rsidRPr="009B4C10">
        <w:rPr>
          <w:b/>
          <w:bCs/>
          <w:color w:val="000000" w:themeColor="text1"/>
          <w:sz w:val="24"/>
          <w:szCs w:val="24"/>
          <w:lang w:val="pt-PT"/>
        </w:rPr>
        <w:t>ndicador 9</w:t>
      </w:r>
      <w:r w:rsidR="270B6239" w:rsidRPr="009B4C10">
        <w:rPr>
          <w:b/>
          <w:bCs/>
          <w:color w:val="000000" w:themeColor="text1"/>
          <w:sz w:val="24"/>
          <w:szCs w:val="24"/>
          <w:lang w:val="pt-PT"/>
        </w:rPr>
        <w:t xml:space="preserve">? </w:t>
      </w:r>
    </w:p>
    <w:p w14:paraId="3FB685D2" w14:textId="49F34874" w:rsidR="270B6239" w:rsidRPr="009B4C10" w:rsidRDefault="00613436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É utilizado um método de rácio de risco ponderado para distritos nos quais há pelo menos 10 estudantes no grupo racial/étnico em questão elegíveis para o ensino especial em geral (para o indicador SPP 9) e pelo menos 10 estudantes no grupo de comparação (estudantes de todos os outros grupos raciais/étnicos elegíveis para o ensino especial em geral ou dentro de uma determinada categoria de deficiência)</w:t>
      </w:r>
      <w:r w:rsidR="270B6239" w:rsidRPr="009B4C10">
        <w:rPr>
          <w:rFonts w:ascii="Calibri" w:eastAsia="Calibri" w:hAnsi="Calibri" w:cs="Calibri"/>
          <w:lang w:val="pt-PT"/>
        </w:rPr>
        <w:t xml:space="preserve">. </w:t>
      </w:r>
    </w:p>
    <w:p w14:paraId="6180DA00" w14:textId="4E697E30" w:rsidR="270B6239" w:rsidRPr="009B4C10" w:rsidRDefault="270B6239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585A6180" w14:textId="6E576F52" w:rsidR="270B6239" w:rsidRPr="009B4C10" w:rsidRDefault="00613436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É utilizado um método alternativo de rácio de risco para distritos nos quais há pelo menos 10 estudantes no grupo racial/étnico em questão elegíveis para o ensino especial global (para o indicador SPP 9) mas menos de 10 estudantes no grupo de comparação (estudantes de todos os outros grupos raciais/étnicos elegíveis para o ensino especial global ou dentro de uma determinada categoria de deficiência)</w:t>
      </w:r>
      <w:r w:rsidR="270B6239" w:rsidRPr="009B4C10">
        <w:rPr>
          <w:rFonts w:ascii="Calibri" w:eastAsia="Calibri" w:hAnsi="Calibri" w:cs="Calibri"/>
          <w:lang w:val="pt-PT"/>
        </w:rPr>
        <w:t>.</w:t>
      </w:r>
    </w:p>
    <w:p w14:paraId="5BBC1764" w14:textId="49C60B22" w:rsidR="270B6239" w:rsidRPr="009B4C10" w:rsidRDefault="270B6239" w:rsidP="270B6239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p w14:paraId="1E738649" w14:textId="46AB539A" w:rsidR="270B6239" w:rsidRPr="009B4C10" w:rsidRDefault="00613436" w:rsidP="270B6239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9B4C10">
        <w:rPr>
          <w:b/>
          <w:bCs/>
          <w:color w:val="000000" w:themeColor="text1"/>
          <w:sz w:val="24"/>
          <w:szCs w:val="24"/>
          <w:lang w:val="pt-PT"/>
        </w:rPr>
        <w:t>Qual é a fórmula para calcular o rácio de risco ponderado e o rácio de risco alternativo</w:t>
      </w:r>
      <w:r w:rsidR="270B6239" w:rsidRPr="009B4C10">
        <w:rPr>
          <w:b/>
          <w:bCs/>
          <w:color w:val="000000" w:themeColor="text1"/>
          <w:sz w:val="24"/>
          <w:szCs w:val="24"/>
          <w:lang w:val="pt-PT"/>
        </w:rPr>
        <w:t>?</w:t>
      </w:r>
    </w:p>
    <w:p w14:paraId="146C6E7F" w14:textId="0035C758" w:rsidR="270B6239" w:rsidRPr="009B4C10" w:rsidRDefault="270B6239" w:rsidP="270B6239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lang w:val="pt-PT"/>
        </w:rPr>
      </w:pPr>
    </w:p>
    <w:p w14:paraId="44ACA53F" w14:textId="0222F701" w:rsidR="270B6239" w:rsidRPr="009B4C10" w:rsidRDefault="00613436" w:rsidP="270B6239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lang w:val="pt-PT"/>
        </w:rPr>
      </w:pPr>
      <w:r w:rsidRPr="009B4C10">
        <w:rPr>
          <w:rFonts w:ascii="Calibri" w:eastAsia="Calibri" w:hAnsi="Calibri" w:cs="Calibri"/>
          <w:i/>
          <w:iCs/>
          <w:sz w:val="24"/>
          <w:szCs w:val="24"/>
          <w:lang w:val="pt-PT"/>
        </w:rPr>
        <w:t>Rácio de risco ponderado</w:t>
      </w:r>
      <w:r w:rsidR="270B6239" w:rsidRPr="009B4C10">
        <w:rPr>
          <w:rFonts w:ascii="Calibri" w:eastAsia="Calibri" w:hAnsi="Calibri" w:cs="Calibri"/>
          <w:i/>
          <w:iCs/>
          <w:sz w:val="24"/>
          <w:szCs w:val="24"/>
          <w:lang w:val="pt-PT"/>
        </w:rPr>
        <w:t xml:space="preserve"> </w:t>
      </w:r>
    </w:p>
    <w:p w14:paraId="406DACE2" w14:textId="085651B8" w:rsidR="270B6239" w:rsidRPr="009B4C10" w:rsidRDefault="00613436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 xml:space="preserve">Quantas vezes maior é o risco </w:t>
      </w:r>
      <w:r w:rsidRPr="00F507A8">
        <w:rPr>
          <w:rFonts w:ascii="Calibri" w:eastAsia="Calibri" w:hAnsi="Calibri" w:cs="Calibri"/>
          <w:lang w:val="pt-PT"/>
        </w:rPr>
        <w:t xml:space="preserve">de um </w:t>
      </w:r>
      <w:r w:rsidRPr="00F507A8">
        <w:rPr>
          <w:rFonts w:ascii="Calibri" w:eastAsia="Calibri" w:hAnsi="Calibri" w:cs="Calibri"/>
          <w:u w:val="single"/>
          <w:lang w:val="pt-PT"/>
        </w:rPr>
        <w:t>estudante hispânico</w:t>
      </w:r>
      <w:r w:rsidRPr="00F507A8">
        <w:rPr>
          <w:rFonts w:ascii="Calibri" w:eastAsia="Calibri" w:hAnsi="Calibri" w:cs="Calibri"/>
          <w:lang w:val="pt-PT"/>
        </w:rPr>
        <w:t xml:space="preserve"> ser identificado como elegível para a educação especial e serviços afins em comparação com todos os outros grupos raciais/étnicos no distrito?</w:t>
      </w:r>
    </w:p>
    <w:p w14:paraId="0C8DCF89" w14:textId="32C322AE" w:rsidR="270B6239" w:rsidRPr="009B4C10" w:rsidRDefault="270B6239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0260EB97" w14:textId="1F5FE2B5" w:rsidR="270B6239" w:rsidRPr="009B4C10" w:rsidRDefault="270B6239" w:rsidP="002073A0">
      <w:pPr>
        <w:spacing w:after="0" w:line="240" w:lineRule="auto"/>
        <w:ind w:right="-563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[(1-</w:t>
      </w:r>
      <w:r w:rsidR="00613436" w:rsidRPr="009B4C10">
        <w:rPr>
          <w:lang w:val="pt-PT"/>
        </w:rPr>
        <w:t xml:space="preserve"> </w:t>
      </w:r>
      <w:r w:rsidR="00613436" w:rsidRPr="009B4C10">
        <w:rPr>
          <w:rFonts w:ascii="Calibri" w:eastAsia="Calibri" w:hAnsi="Calibri" w:cs="Calibri"/>
          <w:lang w:val="pt-PT"/>
        </w:rPr>
        <w:t xml:space="preserve">Composição Estatal dos </w:t>
      </w:r>
      <w:r w:rsidR="00F507A8">
        <w:rPr>
          <w:rFonts w:ascii="Calibri" w:eastAsia="Calibri" w:hAnsi="Calibri" w:cs="Calibri"/>
          <w:lang w:val="pt-PT"/>
        </w:rPr>
        <w:t>e</w:t>
      </w:r>
      <w:r w:rsidR="00613436" w:rsidRPr="009B4C10">
        <w:rPr>
          <w:rFonts w:ascii="Calibri" w:eastAsia="Calibri" w:hAnsi="Calibri" w:cs="Calibri"/>
          <w:lang w:val="pt-PT"/>
        </w:rPr>
        <w:t xml:space="preserve">studantes </w:t>
      </w:r>
      <w:r w:rsidR="00F507A8">
        <w:rPr>
          <w:rFonts w:ascii="Calibri" w:eastAsia="Calibri" w:hAnsi="Calibri" w:cs="Calibri"/>
          <w:lang w:val="pt-PT"/>
        </w:rPr>
        <w:t>h</w:t>
      </w:r>
      <w:r w:rsidR="00613436" w:rsidRPr="009B4C10">
        <w:rPr>
          <w:rFonts w:ascii="Calibri" w:eastAsia="Calibri" w:hAnsi="Calibri" w:cs="Calibri"/>
          <w:lang w:val="pt-PT"/>
        </w:rPr>
        <w:t xml:space="preserve">ispânicos e </w:t>
      </w:r>
      <w:r w:rsidR="00F507A8">
        <w:rPr>
          <w:rFonts w:ascii="Calibri" w:eastAsia="Calibri" w:hAnsi="Calibri" w:cs="Calibri"/>
          <w:lang w:val="pt-PT"/>
        </w:rPr>
        <w:t>l</w:t>
      </w:r>
      <w:r w:rsidR="00613436" w:rsidRPr="009B4C10">
        <w:rPr>
          <w:rFonts w:ascii="Calibri" w:eastAsia="Calibri" w:hAnsi="Calibri" w:cs="Calibri"/>
          <w:lang w:val="pt-PT"/>
        </w:rPr>
        <w:t>atinos</w:t>
      </w:r>
      <w:r w:rsidRPr="009B4C10">
        <w:rPr>
          <w:rFonts w:ascii="Calibri" w:eastAsia="Calibri" w:hAnsi="Calibri" w:cs="Calibri"/>
          <w:lang w:val="pt-PT"/>
        </w:rPr>
        <w:t xml:space="preserve">) * </w:t>
      </w:r>
      <w:r w:rsidR="00613436" w:rsidRPr="009B4C10">
        <w:rPr>
          <w:rFonts w:ascii="Calibri" w:eastAsia="Calibri" w:hAnsi="Calibri" w:cs="Calibri"/>
          <w:lang w:val="pt-PT"/>
        </w:rPr>
        <w:t xml:space="preserve">Risco </w:t>
      </w:r>
      <w:r w:rsidR="00F507A8">
        <w:rPr>
          <w:rFonts w:ascii="Calibri" w:eastAsia="Calibri" w:hAnsi="Calibri" w:cs="Calibri"/>
          <w:lang w:val="pt-PT"/>
        </w:rPr>
        <w:t>D</w:t>
      </w:r>
      <w:r w:rsidR="00613436" w:rsidRPr="009B4C10">
        <w:rPr>
          <w:rFonts w:ascii="Calibri" w:eastAsia="Calibri" w:hAnsi="Calibri" w:cs="Calibri"/>
          <w:lang w:val="pt-PT"/>
        </w:rPr>
        <w:t>istrital para a identificação de hispânicos</w:t>
      </w:r>
      <w:r w:rsidRPr="009B4C10">
        <w:rPr>
          <w:rFonts w:ascii="Calibri" w:eastAsia="Calibri" w:hAnsi="Calibri" w:cs="Calibri"/>
          <w:lang w:val="pt-PT"/>
        </w:rPr>
        <w:t xml:space="preserve">] </w:t>
      </w:r>
    </w:p>
    <w:p w14:paraId="3CB27EF1" w14:textId="3B8FD410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÷ (Divid</w:t>
      </w:r>
      <w:r w:rsidR="002073A0" w:rsidRPr="009B4C10">
        <w:rPr>
          <w:rFonts w:ascii="Calibri" w:eastAsia="Calibri" w:hAnsi="Calibri" w:cs="Calibri"/>
          <w:lang w:val="pt-PT"/>
        </w:rPr>
        <w:t>idos por</w:t>
      </w:r>
      <w:r w:rsidRPr="009B4C10">
        <w:rPr>
          <w:rFonts w:ascii="Calibri" w:eastAsia="Calibri" w:hAnsi="Calibri" w:cs="Calibri"/>
          <w:lang w:val="pt-PT"/>
        </w:rPr>
        <w:t>)</w:t>
      </w:r>
    </w:p>
    <w:p w14:paraId="04CB5C80" w14:textId="32BAC47C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 xml:space="preserve"> [(</w:t>
      </w:r>
      <w:r w:rsidR="00613436" w:rsidRPr="009B4C10">
        <w:rPr>
          <w:rFonts w:ascii="Calibri" w:eastAsia="Calibri" w:hAnsi="Calibri" w:cs="Calibri"/>
          <w:lang w:val="pt-PT"/>
        </w:rPr>
        <w:t xml:space="preserve">Composição Estatal dos </w:t>
      </w:r>
      <w:r w:rsidR="00F507A8">
        <w:rPr>
          <w:rFonts w:ascii="Calibri" w:eastAsia="Calibri" w:hAnsi="Calibri" w:cs="Calibri"/>
          <w:lang w:val="pt-PT"/>
        </w:rPr>
        <w:t>e</w:t>
      </w:r>
      <w:r w:rsidR="00613436" w:rsidRPr="009B4C10">
        <w:rPr>
          <w:rFonts w:ascii="Calibri" w:eastAsia="Calibri" w:hAnsi="Calibri" w:cs="Calibri"/>
          <w:lang w:val="pt-PT"/>
        </w:rPr>
        <w:t xml:space="preserve">studantes </w:t>
      </w:r>
      <w:r w:rsidR="00F507A8">
        <w:rPr>
          <w:rFonts w:ascii="Calibri" w:eastAsia="Calibri" w:hAnsi="Calibri" w:cs="Calibri"/>
          <w:lang w:val="pt-PT"/>
        </w:rPr>
        <w:t>a</w:t>
      </w:r>
      <w:r w:rsidR="00613436" w:rsidRPr="009B4C10">
        <w:rPr>
          <w:rFonts w:ascii="Calibri" w:eastAsia="Calibri" w:hAnsi="Calibri" w:cs="Calibri"/>
          <w:lang w:val="pt-PT"/>
        </w:rPr>
        <w:t>fro-americanos</w:t>
      </w:r>
      <w:r w:rsidRPr="009B4C10">
        <w:rPr>
          <w:rFonts w:ascii="Calibri" w:eastAsia="Calibri" w:hAnsi="Calibri" w:cs="Calibri"/>
          <w:lang w:val="pt-PT"/>
        </w:rPr>
        <w:t xml:space="preserve"> * </w:t>
      </w:r>
      <w:r w:rsidR="002073A0" w:rsidRPr="009B4C10">
        <w:rPr>
          <w:rFonts w:ascii="Calibri" w:eastAsia="Calibri" w:hAnsi="Calibri" w:cs="Calibri"/>
          <w:lang w:val="pt-PT"/>
        </w:rPr>
        <w:t>Risco Distrital para estudantes afro-americanos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79D3BB5D" w14:textId="0F543113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+ 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0D3D0A5E" w14:textId="22B4CC86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(</w:t>
      </w:r>
      <w:r w:rsidR="00613436" w:rsidRPr="009B4C10">
        <w:rPr>
          <w:rFonts w:ascii="Calibri" w:eastAsia="Calibri" w:hAnsi="Calibri" w:cs="Calibri"/>
          <w:lang w:val="pt-PT"/>
        </w:rPr>
        <w:t xml:space="preserve">Composição Estatal dos </w:t>
      </w:r>
      <w:r w:rsidR="00F507A8">
        <w:rPr>
          <w:rFonts w:ascii="Calibri" w:eastAsia="Calibri" w:hAnsi="Calibri" w:cs="Calibri"/>
          <w:lang w:val="pt-PT"/>
        </w:rPr>
        <w:t>e</w:t>
      </w:r>
      <w:r w:rsidR="00613436" w:rsidRPr="009B4C10">
        <w:rPr>
          <w:rFonts w:ascii="Calibri" w:eastAsia="Calibri" w:hAnsi="Calibri" w:cs="Calibri"/>
          <w:lang w:val="pt-PT"/>
        </w:rPr>
        <w:t xml:space="preserve">studantes </w:t>
      </w:r>
      <w:r w:rsidR="00F507A8">
        <w:rPr>
          <w:rFonts w:ascii="Calibri" w:eastAsia="Calibri" w:hAnsi="Calibri" w:cs="Calibri"/>
          <w:lang w:val="pt-PT"/>
        </w:rPr>
        <w:t>a</w:t>
      </w:r>
      <w:r w:rsidR="00613436" w:rsidRPr="009B4C10">
        <w:rPr>
          <w:rFonts w:ascii="Calibri" w:eastAsia="Calibri" w:hAnsi="Calibri" w:cs="Calibri"/>
          <w:lang w:val="pt-PT"/>
        </w:rPr>
        <w:t>siático</w:t>
      </w:r>
      <w:r w:rsidRPr="009B4C10">
        <w:rPr>
          <w:rFonts w:ascii="Calibri" w:eastAsia="Calibri" w:hAnsi="Calibri" w:cs="Calibri"/>
          <w:lang w:val="pt-PT"/>
        </w:rPr>
        <w:t xml:space="preserve">s* </w:t>
      </w:r>
      <w:r w:rsidR="002073A0" w:rsidRPr="009B4C10">
        <w:rPr>
          <w:rFonts w:ascii="Calibri" w:eastAsia="Calibri" w:hAnsi="Calibri" w:cs="Calibri"/>
          <w:lang w:val="pt-PT"/>
        </w:rPr>
        <w:t>Risco Distrital para estudantes asiáticos</w:t>
      </w:r>
      <w:r w:rsidRPr="009B4C10">
        <w:rPr>
          <w:rFonts w:ascii="Calibri" w:eastAsia="Calibri" w:hAnsi="Calibri" w:cs="Calibri"/>
          <w:lang w:val="pt-PT"/>
        </w:rPr>
        <w:t xml:space="preserve">) + </w:t>
      </w:r>
    </w:p>
    <w:p w14:paraId="7DBA84DB" w14:textId="7F57C9D4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>)</w:t>
      </w:r>
    </w:p>
    <w:p w14:paraId="109BC069" w14:textId="39FCA84F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 xml:space="preserve"> (</w:t>
      </w:r>
      <w:r w:rsidR="00613436" w:rsidRPr="009B4C10">
        <w:rPr>
          <w:rFonts w:ascii="Calibri" w:eastAsia="Calibri" w:hAnsi="Calibri" w:cs="Calibri"/>
          <w:lang w:val="pt-PT"/>
        </w:rPr>
        <w:t xml:space="preserve">Composição Estatal dos </w:t>
      </w:r>
      <w:r w:rsidR="00F507A8">
        <w:rPr>
          <w:rFonts w:ascii="Calibri" w:eastAsia="Calibri" w:hAnsi="Calibri" w:cs="Calibri"/>
          <w:lang w:val="pt-PT"/>
        </w:rPr>
        <w:t>e</w:t>
      </w:r>
      <w:r w:rsidR="00613436" w:rsidRPr="009B4C10">
        <w:rPr>
          <w:rFonts w:ascii="Calibri" w:eastAsia="Calibri" w:hAnsi="Calibri" w:cs="Calibri"/>
          <w:lang w:val="pt-PT"/>
        </w:rPr>
        <w:t xml:space="preserve">studantes </w:t>
      </w:r>
      <w:r w:rsidR="00F507A8">
        <w:rPr>
          <w:rFonts w:ascii="Calibri" w:eastAsia="Calibri" w:hAnsi="Calibri" w:cs="Calibri"/>
          <w:lang w:val="pt-PT"/>
        </w:rPr>
        <w:t>n</w:t>
      </w:r>
      <w:r w:rsidR="00613436" w:rsidRPr="009B4C10">
        <w:rPr>
          <w:rFonts w:ascii="Calibri" w:eastAsia="Calibri" w:hAnsi="Calibri" w:cs="Calibri"/>
          <w:lang w:val="pt-PT"/>
        </w:rPr>
        <w:t xml:space="preserve">ativos </w:t>
      </w:r>
      <w:r w:rsidR="00F507A8">
        <w:rPr>
          <w:rFonts w:ascii="Calibri" w:eastAsia="Calibri" w:hAnsi="Calibri" w:cs="Calibri"/>
          <w:lang w:val="pt-PT"/>
        </w:rPr>
        <w:t>a</w:t>
      </w:r>
      <w:r w:rsidR="00613436" w:rsidRPr="009B4C10">
        <w:rPr>
          <w:rFonts w:ascii="Calibri" w:eastAsia="Calibri" w:hAnsi="Calibri" w:cs="Calibri"/>
          <w:lang w:val="pt-PT"/>
        </w:rPr>
        <w:t>mericanos</w:t>
      </w:r>
      <w:r w:rsidRPr="009B4C10">
        <w:rPr>
          <w:rFonts w:ascii="Calibri" w:eastAsia="Calibri" w:hAnsi="Calibri" w:cs="Calibri"/>
          <w:lang w:val="pt-PT"/>
        </w:rPr>
        <w:t xml:space="preserve"> * </w:t>
      </w:r>
      <w:r w:rsidR="002073A0" w:rsidRPr="009B4C10">
        <w:rPr>
          <w:rFonts w:ascii="Calibri" w:eastAsia="Calibri" w:hAnsi="Calibri" w:cs="Calibri"/>
          <w:lang w:val="pt-PT"/>
        </w:rPr>
        <w:t>Risco Distrital para estudantes nativos americanos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76DC4F34" w14:textId="618F7C06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+ 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>)</w:t>
      </w:r>
    </w:p>
    <w:p w14:paraId="52AC2A77" w14:textId="2AC88C77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 xml:space="preserve"> (</w:t>
      </w:r>
      <w:r w:rsidR="00613436" w:rsidRPr="009B4C10">
        <w:rPr>
          <w:rFonts w:ascii="Calibri" w:eastAsia="Calibri" w:hAnsi="Calibri" w:cs="Calibri"/>
          <w:lang w:val="pt-PT"/>
        </w:rPr>
        <w:t xml:space="preserve">Composição Estatal dos Estudantes Nativos do Havai </w:t>
      </w:r>
      <w:r w:rsidRPr="009B4C10">
        <w:rPr>
          <w:rFonts w:ascii="Calibri" w:eastAsia="Calibri" w:hAnsi="Calibri" w:cs="Calibri"/>
          <w:lang w:val="pt-PT"/>
        </w:rPr>
        <w:t xml:space="preserve">* </w:t>
      </w:r>
      <w:r w:rsidR="002073A0" w:rsidRPr="009B4C10">
        <w:rPr>
          <w:rFonts w:ascii="Calibri" w:eastAsia="Calibri" w:hAnsi="Calibri" w:cs="Calibri"/>
          <w:lang w:val="pt-PT"/>
        </w:rPr>
        <w:t>Risco Distrital para estudantes nativos do Havai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1B685395" w14:textId="07953869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+ 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>)</w:t>
      </w:r>
    </w:p>
    <w:p w14:paraId="742A5D6C" w14:textId="143ED54E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(</w:t>
      </w:r>
      <w:r w:rsidR="00613436" w:rsidRPr="009B4C10">
        <w:rPr>
          <w:rFonts w:ascii="Calibri" w:eastAsia="Calibri" w:hAnsi="Calibri" w:cs="Calibri"/>
          <w:lang w:val="pt-PT"/>
        </w:rPr>
        <w:t xml:space="preserve">Composição Estatal dos </w:t>
      </w:r>
      <w:r w:rsidR="00F507A8">
        <w:rPr>
          <w:rFonts w:ascii="Calibri" w:eastAsia="Calibri" w:hAnsi="Calibri" w:cs="Calibri"/>
          <w:lang w:val="pt-PT"/>
        </w:rPr>
        <w:t>e</w:t>
      </w:r>
      <w:r w:rsidR="00613436" w:rsidRPr="009B4C10">
        <w:rPr>
          <w:rFonts w:ascii="Calibri" w:eastAsia="Calibri" w:hAnsi="Calibri" w:cs="Calibri"/>
          <w:lang w:val="pt-PT"/>
        </w:rPr>
        <w:t xml:space="preserve">studantes </w:t>
      </w:r>
      <w:r w:rsidR="00F507A8">
        <w:rPr>
          <w:rFonts w:ascii="Calibri" w:eastAsia="Calibri" w:hAnsi="Calibri" w:cs="Calibri"/>
          <w:lang w:val="pt-PT"/>
        </w:rPr>
        <w:t>m</w:t>
      </w:r>
      <w:r w:rsidR="002073A0" w:rsidRPr="009B4C10">
        <w:rPr>
          <w:rFonts w:ascii="Calibri" w:eastAsia="Calibri" w:hAnsi="Calibri" w:cs="Calibri"/>
          <w:lang w:val="pt-PT"/>
        </w:rPr>
        <w:t>ultirraciais</w:t>
      </w:r>
      <w:r w:rsidRPr="009B4C10">
        <w:rPr>
          <w:rFonts w:ascii="Calibri" w:eastAsia="Calibri" w:hAnsi="Calibri" w:cs="Calibri"/>
          <w:lang w:val="pt-PT"/>
        </w:rPr>
        <w:t xml:space="preserve"> * </w:t>
      </w:r>
      <w:r w:rsidR="002073A0" w:rsidRPr="009B4C10">
        <w:rPr>
          <w:rFonts w:ascii="Calibri" w:eastAsia="Calibri" w:hAnsi="Calibri" w:cs="Calibri"/>
          <w:lang w:val="pt-PT"/>
        </w:rPr>
        <w:t>Risco Distrital para estudantes multirraciais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559427E3" w14:textId="163430C0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+ 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1CFA7257" w14:textId="509EE309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(</w:t>
      </w:r>
      <w:r w:rsidR="00613436" w:rsidRPr="009B4C10">
        <w:rPr>
          <w:rFonts w:ascii="Calibri" w:eastAsia="Calibri" w:hAnsi="Calibri" w:cs="Calibri"/>
          <w:lang w:val="pt-PT"/>
        </w:rPr>
        <w:t xml:space="preserve">Composição Estatal dos </w:t>
      </w:r>
      <w:r w:rsidR="00F507A8">
        <w:rPr>
          <w:rFonts w:ascii="Calibri" w:eastAsia="Calibri" w:hAnsi="Calibri" w:cs="Calibri"/>
          <w:lang w:val="pt-PT"/>
        </w:rPr>
        <w:t>e</w:t>
      </w:r>
      <w:r w:rsidR="00613436" w:rsidRPr="009B4C10">
        <w:rPr>
          <w:rFonts w:ascii="Calibri" w:eastAsia="Calibri" w:hAnsi="Calibri" w:cs="Calibri"/>
          <w:lang w:val="pt-PT"/>
        </w:rPr>
        <w:t xml:space="preserve">studantes </w:t>
      </w:r>
      <w:r w:rsidR="00F507A8">
        <w:rPr>
          <w:rFonts w:ascii="Calibri" w:eastAsia="Calibri" w:hAnsi="Calibri" w:cs="Calibri"/>
          <w:lang w:val="pt-PT"/>
        </w:rPr>
        <w:t>b</w:t>
      </w:r>
      <w:r w:rsidR="00613436" w:rsidRPr="009B4C10">
        <w:rPr>
          <w:rFonts w:ascii="Calibri" w:eastAsia="Calibri" w:hAnsi="Calibri" w:cs="Calibri"/>
          <w:lang w:val="pt-PT"/>
        </w:rPr>
        <w:t>rancos</w:t>
      </w:r>
      <w:r w:rsidRPr="009B4C10">
        <w:rPr>
          <w:rFonts w:ascii="Calibri" w:eastAsia="Calibri" w:hAnsi="Calibri" w:cs="Calibri"/>
          <w:lang w:val="pt-PT"/>
        </w:rPr>
        <w:t xml:space="preserve"> * </w:t>
      </w:r>
      <w:r w:rsidR="002073A0" w:rsidRPr="009B4C10">
        <w:rPr>
          <w:rFonts w:ascii="Calibri" w:eastAsia="Calibri" w:hAnsi="Calibri" w:cs="Calibri"/>
          <w:lang w:val="pt-PT"/>
        </w:rPr>
        <w:t>Risco Distrital para estudantes brancos</w:t>
      </w:r>
      <w:r w:rsidRPr="009B4C10">
        <w:rPr>
          <w:rFonts w:ascii="Calibri" w:eastAsia="Calibri" w:hAnsi="Calibri" w:cs="Calibri"/>
          <w:lang w:val="pt-PT"/>
        </w:rPr>
        <w:t>)]</w:t>
      </w:r>
    </w:p>
    <w:p w14:paraId="2EA6982C" w14:textId="58153179" w:rsidR="270B6239" w:rsidRPr="009B4C10" w:rsidRDefault="270B6239" w:rsidP="270B6239">
      <w:pPr>
        <w:spacing w:after="0" w:line="240" w:lineRule="auto"/>
        <w:rPr>
          <w:b/>
          <w:bCs/>
          <w:color w:val="000000" w:themeColor="text1"/>
          <w:lang w:val="pt-PT"/>
        </w:rPr>
      </w:pPr>
    </w:p>
    <w:p w14:paraId="3DC8B1B9" w14:textId="6C781676" w:rsidR="270B6239" w:rsidRPr="009B4C10" w:rsidRDefault="002073A0" w:rsidP="270B6239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  <w:r w:rsidRPr="009B4C10">
        <w:rPr>
          <w:rFonts w:ascii="Calibri" w:eastAsia="Calibri" w:hAnsi="Calibri" w:cs="Calibri"/>
          <w:i/>
          <w:iCs/>
          <w:sz w:val="24"/>
          <w:szCs w:val="24"/>
          <w:lang w:val="pt-PT"/>
        </w:rPr>
        <w:t>Rácio de risco alternativo</w:t>
      </w:r>
    </w:p>
    <w:p w14:paraId="435C20BC" w14:textId="62CE8D24" w:rsidR="270B6239" w:rsidRPr="009B4C10" w:rsidRDefault="002073A0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 xml:space="preserve">Quantas vezes maior é o risco de um </w:t>
      </w:r>
      <w:r w:rsidRPr="00F507A8">
        <w:rPr>
          <w:rFonts w:ascii="Calibri" w:eastAsia="Calibri" w:hAnsi="Calibri" w:cs="Calibri"/>
          <w:u w:val="single"/>
          <w:lang w:val="pt-PT"/>
        </w:rPr>
        <w:t>estudante hispânico e latino</w:t>
      </w:r>
      <w:r w:rsidRPr="009B4C10">
        <w:rPr>
          <w:rFonts w:ascii="Calibri" w:eastAsia="Calibri" w:hAnsi="Calibri" w:cs="Calibri"/>
          <w:lang w:val="pt-PT"/>
        </w:rPr>
        <w:t xml:space="preserve"> ser identificado como elegível para a educação especial e serviços afins em comparação com todos os outros grupos raciais/étnicos do Estado</w:t>
      </w:r>
      <w:r w:rsidR="270B6239" w:rsidRPr="009B4C10">
        <w:rPr>
          <w:rFonts w:ascii="Calibri" w:eastAsia="Calibri" w:hAnsi="Calibri" w:cs="Calibri"/>
          <w:lang w:val="pt-PT"/>
        </w:rPr>
        <w:t>?</w:t>
      </w:r>
    </w:p>
    <w:p w14:paraId="7176DB47" w14:textId="2F72327C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</w:p>
    <w:p w14:paraId="0832EA30" w14:textId="030E7B3E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(</w:t>
      </w:r>
      <w:r w:rsidR="002073A0" w:rsidRPr="009B4C10">
        <w:rPr>
          <w:rFonts w:ascii="Calibri" w:eastAsia="Calibri" w:hAnsi="Calibri" w:cs="Calibri"/>
          <w:lang w:val="pt-PT"/>
        </w:rPr>
        <w:t xml:space="preserve">Risco </w:t>
      </w:r>
      <w:r w:rsidR="00F507A8">
        <w:rPr>
          <w:rFonts w:ascii="Calibri" w:eastAsia="Calibri" w:hAnsi="Calibri" w:cs="Calibri"/>
          <w:lang w:val="pt-PT"/>
        </w:rPr>
        <w:t>D</w:t>
      </w:r>
      <w:r w:rsidR="002073A0" w:rsidRPr="009B4C10">
        <w:rPr>
          <w:rFonts w:ascii="Calibri" w:eastAsia="Calibri" w:hAnsi="Calibri" w:cs="Calibri"/>
          <w:lang w:val="pt-PT"/>
        </w:rPr>
        <w:t>istrital para a identificação de estudantes hispânicos e latinos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7FEA5646" w14:textId="12F41EC7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÷ (Divid</w:t>
      </w:r>
      <w:r w:rsidR="002073A0" w:rsidRPr="009B4C10">
        <w:rPr>
          <w:rFonts w:ascii="Calibri" w:eastAsia="Calibri" w:hAnsi="Calibri" w:cs="Calibri"/>
          <w:lang w:val="pt-PT"/>
        </w:rPr>
        <w:t>ido por</w:t>
      </w:r>
      <w:r w:rsidRPr="009B4C10">
        <w:rPr>
          <w:rFonts w:ascii="Calibri" w:eastAsia="Calibri" w:hAnsi="Calibri" w:cs="Calibri"/>
          <w:lang w:val="pt-PT"/>
        </w:rPr>
        <w:t>) [(</w:t>
      </w:r>
      <w:r w:rsidR="002073A0" w:rsidRPr="009B4C10">
        <w:rPr>
          <w:rFonts w:ascii="Calibri" w:eastAsia="Calibri" w:hAnsi="Calibri" w:cs="Calibri"/>
          <w:lang w:val="pt-PT"/>
        </w:rPr>
        <w:t xml:space="preserve">Risco </w:t>
      </w:r>
      <w:r w:rsidR="00F507A8">
        <w:rPr>
          <w:rFonts w:ascii="Calibri" w:eastAsia="Calibri" w:hAnsi="Calibri" w:cs="Calibri"/>
          <w:lang w:val="pt-PT"/>
        </w:rPr>
        <w:t>D</w:t>
      </w:r>
      <w:r w:rsidR="002073A0" w:rsidRPr="009B4C10">
        <w:rPr>
          <w:rFonts w:ascii="Calibri" w:eastAsia="Calibri" w:hAnsi="Calibri" w:cs="Calibri"/>
          <w:lang w:val="pt-PT"/>
        </w:rPr>
        <w:t>istrital para estudantes afro-americanos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60C420BC" w14:textId="6B603262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+ 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009326F2" w14:textId="4B39E78D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(</w:t>
      </w:r>
      <w:r w:rsidR="002073A0" w:rsidRPr="009B4C10">
        <w:rPr>
          <w:rFonts w:ascii="Calibri" w:eastAsia="Calibri" w:hAnsi="Calibri" w:cs="Calibri"/>
          <w:lang w:val="pt-PT"/>
        </w:rPr>
        <w:t xml:space="preserve">Risco </w:t>
      </w:r>
      <w:r w:rsidR="00F507A8">
        <w:rPr>
          <w:rFonts w:ascii="Calibri" w:eastAsia="Calibri" w:hAnsi="Calibri" w:cs="Calibri"/>
          <w:lang w:val="pt-PT"/>
        </w:rPr>
        <w:t>D</w:t>
      </w:r>
      <w:r w:rsidR="002073A0" w:rsidRPr="009B4C10">
        <w:rPr>
          <w:rFonts w:ascii="Calibri" w:eastAsia="Calibri" w:hAnsi="Calibri" w:cs="Calibri"/>
          <w:lang w:val="pt-PT"/>
        </w:rPr>
        <w:t>istrital para estudantes asiáticos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49F0DACB" w14:textId="311B8BCB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lastRenderedPageBreak/>
        <w:t>+ 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>)</w:t>
      </w:r>
    </w:p>
    <w:p w14:paraId="62A515CC" w14:textId="2BDE57A6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 xml:space="preserve"> (</w:t>
      </w:r>
      <w:r w:rsidR="002073A0" w:rsidRPr="009B4C10">
        <w:rPr>
          <w:rFonts w:ascii="Calibri" w:eastAsia="Calibri" w:hAnsi="Calibri" w:cs="Calibri"/>
          <w:lang w:val="pt-PT"/>
        </w:rPr>
        <w:t xml:space="preserve">Risco </w:t>
      </w:r>
      <w:r w:rsidR="00F507A8">
        <w:rPr>
          <w:rFonts w:ascii="Calibri" w:eastAsia="Calibri" w:hAnsi="Calibri" w:cs="Calibri"/>
          <w:lang w:val="pt-PT"/>
        </w:rPr>
        <w:t>D</w:t>
      </w:r>
      <w:r w:rsidR="002073A0" w:rsidRPr="009B4C10">
        <w:rPr>
          <w:rFonts w:ascii="Calibri" w:eastAsia="Calibri" w:hAnsi="Calibri" w:cs="Calibri"/>
          <w:lang w:val="pt-PT"/>
        </w:rPr>
        <w:t>istrital para estudantes nativos americanos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7EDA8534" w14:textId="7B78CCC7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+ 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0F17A8DB" w14:textId="0F47BF9D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(</w:t>
      </w:r>
      <w:r w:rsidR="002073A0" w:rsidRPr="009B4C10">
        <w:rPr>
          <w:rFonts w:ascii="Calibri" w:eastAsia="Calibri" w:hAnsi="Calibri" w:cs="Calibri"/>
          <w:lang w:val="pt-PT"/>
        </w:rPr>
        <w:t xml:space="preserve">Risco </w:t>
      </w:r>
      <w:r w:rsidR="00F507A8">
        <w:rPr>
          <w:rFonts w:ascii="Calibri" w:eastAsia="Calibri" w:hAnsi="Calibri" w:cs="Calibri"/>
          <w:lang w:val="pt-PT"/>
        </w:rPr>
        <w:t>D</w:t>
      </w:r>
      <w:r w:rsidR="002073A0" w:rsidRPr="009B4C10">
        <w:rPr>
          <w:rFonts w:ascii="Calibri" w:eastAsia="Calibri" w:hAnsi="Calibri" w:cs="Calibri"/>
          <w:lang w:val="pt-PT"/>
        </w:rPr>
        <w:t>istrital para estudantes nativos do Havai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4B4D08FF" w14:textId="29962C94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+ 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>)</w:t>
      </w:r>
    </w:p>
    <w:p w14:paraId="43106625" w14:textId="4F26A8CE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(</w:t>
      </w:r>
      <w:r w:rsidR="002073A0" w:rsidRPr="009B4C10">
        <w:rPr>
          <w:rFonts w:ascii="Calibri" w:eastAsia="Calibri" w:hAnsi="Calibri" w:cs="Calibri"/>
          <w:lang w:val="pt-PT"/>
        </w:rPr>
        <w:t xml:space="preserve">Risco </w:t>
      </w:r>
      <w:r w:rsidR="00F507A8">
        <w:rPr>
          <w:rFonts w:ascii="Calibri" w:eastAsia="Calibri" w:hAnsi="Calibri" w:cs="Calibri"/>
          <w:lang w:val="pt-PT"/>
        </w:rPr>
        <w:t>D</w:t>
      </w:r>
      <w:r w:rsidR="002073A0" w:rsidRPr="009B4C10">
        <w:rPr>
          <w:rFonts w:ascii="Calibri" w:eastAsia="Calibri" w:hAnsi="Calibri" w:cs="Calibri"/>
          <w:lang w:val="pt-PT"/>
        </w:rPr>
        <w:t>istrital para estudantes multirraciais</w:t>
      </w:r>
      <w:r w:rsidRPr="009B4C10">
        <w:rPr>
          <w:rFonts w:ascii="Calibri" w:eastAsia="Calibri" w:hAnsi="Calibri" w:cs="Calibri"/>
          <w:lang w:val="pt-PT"/>
        </w:rPr>
        <w:t xml:space="preserve">) </w:t>
      </w:r>
    </w:p>
    <w:p w14:paraId="2C18934F" w14:textId="7F49F125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+ (</w:t>
      </w:r>
      <w:r w:rsidR="002073A0" w:rsidRPr="009B4C10">
        <w:rPr>
          <w:rFonts w:ascii="Calibri" w:eastAsia="Calibri" w:hAnsi="Calibri" w:cs="Calibri"/>
          <w:lang w:val="pt-PT"/>
        </w:rPr>
        <w:t>Somado a</w:t>
      </w:r>
      <w:r w:rsidRPr="009B4C10">
        <w:rPr>
          <w:rFonts w:ascii="Calibri" w:eastAsia="Calibri" w:hAnsi="Calibri" w:cs="Calibri"/>
          <w:lang w:val="pt-PT"/>
        </w:rPr>
        <w:t>)</w:t>
      </w:r>
    </w:p>
    <w:p w14:paraId="7C9DFB67" w14:textId="0113437F" w:rsidR="270B6239" w:rsidRPr="009B4C10" w:rsidRDefault="270B6239" w:rsidP="270B6239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(</w:t>
      </w:r>
      <w:r w:rsidR="002073A0" w:rsidRPr="009B4C10">
        <w:rPr>
          <w:rFonts w:ascii="Calibri" w:eastAsia="Calibri" w:hAnsi="Calibri" w:cs="Calibri"/>
          <w:lang w:val="pt-PT"/>
        </w:rPr>
        <w:t xml:space="preserve">Risco </w:t>
      </w:r>
      <w:r w:rsidR="00F507A8">
        <w:rPr>
          <w:rFonts w:ascii="Calibri" w:eastAsia="Calibri" w:hAnsi="Calibri" w:cs="Calibri"/>
          <w:lang w:val="pt-PT"/>
        </w:rPr>
        <w:t>D</w:t>
      </w:r>
      <w:r w:rsidR="002073A0" w:rsidRPr="009B4C10">
        <w:rPr>
          <w:rFonts w:ascii="Calibri" w:eastAsia="Calibri" w:hAnsi="Calibri" w:cs="Calibri"/>
          <w:lang w:val="pt-PT"/>
        </w:rPr>
        <w:t>istrital para estudantes brancos</w:t>
      </w:r>
      <w:r w:rsidRPr="009B4C10">
        <w:rPr>
          <w:rFonts w:ascii="Calibri" w:eastAsia="Calibri" w:hAnsi="Calibri" w:cs="Calibri"/>
          <w:lang w:val="pt-PT"/>
        </w:rPr>
        <w:t>)]</w:t>
      </w:r>
    </w:p>
    <w:p w14:paraId="4DF778F4" w14:textId="2A5D1D8C" w:rsidR="270B6239" w:rsidRPr="009B4C10" w:rsidRDefault="270B6239" w:rsidP="270B6239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p w14:paraId="15698BBB" w14:textId="434BE980" w:rsidR="270B6239" w:rsidRPr="009B4C10" w:rsidRDefault="007D53D3" w:rsidP="270B623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9B4C10">
        <w:rPr>
          <w:rFonts w:ascii="Calibri" w:eastAsia="Calibri" w:hAnsi="Calibri" w:cs="Calibri"/>
          <w:b/>
          <w:bCs/>
          <w:sz w:val="24"/>
          <w:szCs w:val="24"/>
          <w:lang w:val="pt-PT"/>
        </w:rPr>
        <w:t>Como se interpreta o rácio de risco ponderado e o rácio de risco alternativo</w:t>
      </w:r>
      <w:r w:rsidR="270B6239" w:rsidRPr="009B4C10"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? </w:t>
      </w:r>
    </w:p>
    <w:p w14:paraId="0D851928" w14:textId="687E999F" w:rsidR="270B6239" w:rsidRPr="009B4C10" w:rsidRDefault="007D53D3" w:rsidP="270B6239">
      <w:pPr>
        <w:spacing w:after="0"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Quando aplicada à elegibilidade geral da educação especial dentro de um distrito, </w:t>
      </w:r>
      <w:r w:rsidR="00EC1B85">
        <w:rPr>
          <w:rFonts w:ascii="Calibri" w:eastAsia="Calibri" w:hAnsi="Calibri" w:cs="Calibri"/>
          <w:sz w:val="24"/>
          <w:szCs w:val="24"/>
          <w:lang w:val="pt-PT"/>
        </w:rPr>
        <w:t>o rácio</w:t>
      </w: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 de risco ponderad</w:t>
      </w:r>
      <w:r w:rsidR="00EC1B85">
        <w:rPr>
          <w:rFonts w:ascii="Calibri" w:eastAsia="Calibri" w:hAnsi="Calibri" w:cs="Calibri"/>
          <w:sz w:val="24"/>
          <w:szCs w:val="24"/>
          <w:lang w:val="pt-PT"/>
        </w:rPr>
        <w:t>o</w:t>
      </w: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 (RRM) responde à pergunta: "Quantas vezes maior é o risco de um grupo racial/étnico específico ser identificado como elegível para a educação especial e serviços </w:t>
      </w:r>
      <w:r w:rsidR="00EC1B85">
        <w:rPr>
          <w:rFonts w:ascii="Calibri" w:eastAsia="Calibri" w:hAnsi="Calibri" w:cs="Calibri"/>
          <w:sz w:val="24"/>
          <w:szCs w:val="24"/>
          <w:lang w:val="pt-PT"/>
        </w:rPr>
        <w:t>afins</w:t>
      </w: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 em comparação com todos os outros grupos raciais/étnicos no distrito?</w:t>
      </w:r>
      <w:r w:rsidR="270B6239" w:rsidRPr="009B4C10">
        <w:rPr>
          <w:rFonts w:ascii="Calibri" w:eastAsia="Calibri" w:hAnsi="Calibri" w:cs="Calibri"/>
          <w:sz w:val="24"/>
          <w:szCs w:val="24"/>
          <w:lang w:val="pt-PT"/>
        </w:rPr>
        <w:t xml:space="preserve">” </w:t>
      </w:r>
    </w:p>
    <w:p w14:paraId="37373B66" w14:textId="5184AD07" w:rsidR="270B6239" w:rsidRPr="009B4C10" w:rsidRDefault="270B6239" w:rsidP="270B6239">
      <w:pPr>
        <w:spacing w:after="0"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14:paraId="56872673" w14:textId="2FD68E85" w:rsidR="270B6239" w:rsidRPr="009B4C10" w:rsidRDefault="007D53D3" w:rsidP="270B6239">
      <w:pPr>
        <w:spacing w:after="0"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Quando aplicada à elegibilidade geral da educação especial dentro de um distrito, </w:t>
      </w:r>
      <w:r w:rsidR="0002727F">
        <w:rPr>
          <w:rFonts w:ascii="Calibri" w:eastAsia="Calibri" w:hAnsi="Calibri" w:cs="Calibri"/>
          <w:sz w:val="24"/>
          <w:szCs w:val="24"/>
          <w:lang w:val="pt-PT"/>
        </w:rPr>
        <w:t xml:space="preserve">o rácio de </w:t>
      </w: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risco alternativo (ARR) responde à pergunta: "Quantas vezes maior é o risco de um grupo racial/étnico específico ser identificado como elegível para a educação especial e serviços </w:t>
      </w:r>
      <w:r w:rsidR="0002727F">
        <w:rPr>
          <w:rFonts w:ascii="Calibri" w:eastAsia="Calibri" w:hAnsi="Calibri" w:cs="Calibri"/>
          <w:sz w:val="24"/>
          <w:szCs w:val="24"/>
          <w:lang w:val="pt-PT"/>
        </w:rPr>
        <w:t>afins</w:t>
      </w: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 em comparação com todos os outros grupos raciais/étnicos no Estado?</w:t>
      </w:r>
      <w:r w:rsidR="270B6239" w:rsidRPr="009B4C10">
        <w:rPr>
          <w:rFonts w:ascii="Calibri" w:eastAsia="Calibri" w:hAnsi="Calibri" w:cs="Calibri"/>
          <w:sz w:val="24"/>
          <w:szCs w:val="24"/>
          <w:lang w:val="pt-PT"/>
        </w:rPr>
        <w:t xml:space="preserve">” </w:t>
      </w:r>
    </w:p>
    <w:p w14:paraId="37C6C0CC" w14:textId="532F3D12" w:rsidR="2612846C" w:rsidRPr="009B4C10" w:rsidRDefault="2612846C" w:rsidP="2612846C">
      <w:pPr>
        <w:spacing w:after="0"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14:paraId="0118D05E" w14:textId="433A104B" w:rsidR="270B6239" w:rsidRPr="009B4C10" w:rsidRDefault="005F591F" w:rsidP="270B6239">
      <w:pPr>
        <w:spacing w:after="0"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Em ambos os casos, um rácio de risco de 1,0 significa que os estudantes desse grupo são tão suscetíveis de serem identificados como elegíveis para o ensino especial como todos os outros estudantes. </w:t>
      </w:r>
      <w:r w:rsidR="0002727F">
        <w:rPr>
          <w:rFonts w:ascii="Calibri" w:eastAsia="Calibri" w:hAnsi="Calibri" w:cs="Calibri"/>
          <w:sz w:val="24"/>
          <w:szCs w:val="24"/>
          <w:lang w:val="pt-PT"/>
        </w:rPr>
        <w:t xml:space="preserve">Os rácios de </w:t>
      </w: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risco superiores a 1,0 indicam o grau em que os estudantes do grupo racial/étnico estão </w:t>
      </w:r>
      <w:r w:rsidR="0002727F">
        <w:rPr>
          <w:rFonts w:ascii="Calibri" w:eastAsia="Calibri" w:hAnsi="Calibri" w:cs="Calibri"/>
          <w:sz w:val="24"/>
          <w:szCs w:val="24"/>
          <w:lang w:val="pt-PT"/>
        </w:rPr>
        <w:t>excedidos</w:t>
      </w:r>
      <w:r w:rsidRPr="009B4C10">
        <w:rPr>
          <w:rFonts w:ascii="Calibri" w:eastAsia="Calibri" w:hAnsi="Calibri" w:cs="Calibri"/>
          <w:sz w:val="24"/>
          <w:szCs w:val="24"/>
          <w:lang w:val="pt-PT"/>
        </w:rPr>
        <w:t xml:space="preserve">. Por exemplo, um rácio de risco de 4,17 para estudantes afro-americanos na categoria de deficiência intelectual significa que os estudantes afro-americanos no distrito têm 4,17 vezes mais probabilidade de serem identificados na categoria de deficiência intelectual do que todos os outros estudantes no distrito (WRR) ou no </w:t>
      </w:r>
      <w:r w:rsidR="0002727F">
        <w:rPr>
          <w:rFonts w:ascii="Calibri" w:eastAsia="Calibri" w:hAnsi="Calibri" w:cs="Calibri"/>
          <w:sz w:val="24"/>
          <w:szCs w:val="24"/>
          <w:lang w:val="pt-PT"/>
        </w:rPr>
        <w:t>E</w:t>
      </w:r>
      <w:r w:rsidRPr="009B4C10">
        <w:rPr>
          <w:rFonts w:ascii="Calibri" w:eastAsia="Calibri" w:hAnsi="Calibri" w:cs="Calibri"/>
          <w:sz w:val="24"/>
          <w:szCs w:val="24"/>
          <w:lang w:val="pt-PT"/>
        </w:rPr>
        <w:t>stado (ARR)</w:t>
      </w:r>
      <w:r w:rsidR="270B6239" w:rsidRPr="009B4C10">
        <w:rPr>
          <w:rFonts w:ascii="Calibri" w:eastAsia="Calibri" w:hAnsi="Calibri" w:cs="Calibri"/>
          <w:sz w:val="24"/>
          <w:szCs w:val="24"/>
          <w:lang w:val="pt-PT"/>
        </w:rPr>
        <w:t>.</w:t>
      </w:r>
    </w:p>
    <w:p w14:paraId="1138C044" w14:textId="7BAC6A48" w:rsidR="270B6239" w:rsidRPr="009B4C10" w:rsidRDefault="270B6239" w:rsidP="270B6239">
      <w:pPr>
        <w:spacing w:after="0"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14:paraId="0AAE1FB2" w14:textId="56931727" w:rsidR="270B6239" w:rsidRPr="009B4C10" w:rsidRDefault="005F591F" w:rsidP="270B623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9B4C10">
        <w:rPr>
          <w:rFonts w:ascii="Calibri" w:eastAsia="Calibri" w:hAnsi="Calibri" w:cs="Calibri"/>
          <w:b/>
          <w:bCs/>
          <w:sz w:val="24"/>
          <w:szCs w:val="24"/>
          <w:lang w:val="pt-PT"/>
        </w:rPr>
        <w:t>O Departamento constatou que alguns distritos têm uma representação desproporcionada de grupos raciais e étnicos no ensino especial resultante de uma identificação inadequada</w:t>
      </w:r>
      <w:r w:rsidR="270B6239" w:rsidRPr="009B4C10"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? </w:t>
      </w:r>
    </w:p>
    <w:p w14:paraId="532ABF0A" w14:textId="70761370" w:rsidR="270B6239" w:rsidRPr="009B4C10" w:rsidRDefault="270B6239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06C7853B" w14:textId="4B755D23" w:rsidR="270B6239" w:rsidRPr="009B4C10" w:rsidRDefault="005F591F" w:rsidP="270B6239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9B4C10">
        <w:rPr>
          <w:rFonts w:ascii="Calibri" w:eastAsia="Calibri" w:hAnsi="Calibri" w:cs="Calibri"/>
          <w:lang w:val="pt-PT"/>
        </w:rPr>
        <w:t>Não, ao abrigo destas análises e procedimentos de verificação, o Departamento não constatou uma representação desproporcionada devido a políticas, práticas e procedimentos inadequados ou inconsistentes relativamente à determinação da deficiência e elegibilidade</w:t>
      </w:r>
      <w:r w:rsidR="270B6239" w:rsidRPr="009B4C10">
        <w:rPr>
          <w:rFonts w:ascii="Calibri" w:eastAsia="Calibri" w:hAnsi="Calibri" w:cs="Calibri"/>
          <w:lang w:val="pt-PT"/>
        </w:rPr>
        <w:t xml:space="preserve">. </w:t>
      </w:r>
      <w:r w:rsidRPr="009B4C10">
        <w:rPr>
          <w:rFonts w:ascii="Calibri" w:eastAsia="Calibri" w:hAnsi="Calibri" w:cs="Calibri"/>
          <w:lang w:val="pt-PT"/>
        </w:rPr>
        <w:t xml:space="preserve">Embora o Departamento não tenha emitido uma conclusão, pode exigir aos distritos escolares sinalizados </w:t>
      </w:r>
      <w:r w:rsidR="0002727F">
        <w:rPr>
          <w:rFonts w:ascii="Calibri" w:eastAsia="Calibri" w:hAnsi="Calibri" w:cs="Calibri"/>
          <w:lang w:val="pt-PT"/>
        </w:rPr>
        <w:t>por</w:t>
      </w:r>
      <w:r w:rsidRPr="009B4C10">
        <w:rPr>
          <w:rFonts w:ascii="Calibri" w:eastAsia="Calibri" w:hAnsi="Calibri" w:cs="Calibri"/>
          <w:lang w:val="pt-PT"/>
        </w:rPr>
        <w:t xml:space="preserve"> representação desproporcionada que tomem medidas específicas para rever os seus próprios dados e realizar autoavaliações destinadas a refletir sobre políticas, práticas e procedimentos e pressupostos subjacentes que possam estar a contribuir para tal representação</w:t>
      </w:r>
      <w:r w:rsidR="270B6239" w:rsidRPr="009B4C10">
        <w:rPr>
          <w:rFonts w:ascii="Calibri" w:eastAsia="Calibri" w:hAnsi="Calibri" w:cs="Calibri"/>
          <w:lang w:val="pt-PT"/>
        </w:rPr>
        <w:t>.</w:t>
      </w:r>
    </w:p>
    <w:p w14:paraId="2BCB35A5" w14:textId="713723BD" w:rsidR="270B6239" w:rsidRPr="009B4C10" w:rsidRDefault="270B6239" w:rsidP="270B6239">
      <w:pPr>
        <w:spacing w:after="0"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14:paraId="1913BEAF" w14:textId="3B1D5866" w:rsidR="00706708" w:rsidRPr="009B4C10" w:rsidRDefault="002073A0" w:rsidP="00706708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9B4C10">
        <w:rPr>
          <w:b/>
          <w:bCs/>
          <w:color w:val="000000" w:themeColor="text1"/>
          <w:sz w:val="24"/>
          <w:szCs w:val="24"/>
          <w:lang w:val="pt-PT"/>
        </w:rPr>
        <w:t>Fontes</w:t>
      </w:r>
    </w:p>
    <w:p w14:paraId="25870D0D" w14:textId="5A49997D" w:rsidR="00706708" w:rsidRPr="009B4C10" w:rsidRDefault="00C04209" w:rsidP="00706708">
      <w:pPr>
        <w:spacing w:after="0" w:line="240" w:lineRule="auto"/>
        <w:ind w:left="720"/>
        <w:rPr>
          <w:i/>
          <w:iCs/>
          <w:color w:val="000000" w:themeColor="text1"/>
          <w:sz w:val="24"/>
          <w:szCs w:val="24"/>
          <w:lang w:val="pt-PT"/>
        </w:rPr>
      </w:pPr>
      <w:hyperlink r:id="rId14" w:history="1">
        <w:r w:rsidR="00706708" w:rsidRPr="00734DB5">
          <w:rPr>
            <w:rStyle w:val="Hyperlink"/>
            <w:i/>
            <w:iCs/>
            <w:sz w:val="24"/>
            <w:szCs w:val="24"/>
            <w:lang w:val="pt-PT"/>
          </w:rPr>
          <w:t>PowerPoint</w:t>
        </w:r>
        <w:r w:rsidR="002073A0" w:rsidRPr="00734DB5">
          <w:rPr>
            <w:rStyle w:val="Hyperlink"/>
            <w:i/>
            <w:iCs/>
            <w:sz w:val="24"/>
            <w:szCs w:val="24"/>
            <w:lang w:val="pt-PT"/>
          </w:rPr>
          <w:t xml:space="preserve"> Indicador 9</w:t>
        </w:r>
      </w:hyperlink>
    </w:p>
    <w:p w14:paraId="7ACF147C" w14:textId="0CF9610B" w:rsidR="270B6239" w:rsidRPr="009B4C10" w:rsidRDefault="270B6239" w:rsidP="270B6239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sectPr w:rsidR="270B6239" w:rsidRPr="009B4C10" w:rsidSect="002073A0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891"/>
    <w:multiLevelType w:val="hybridMultilevel"/>
    <w:tmpl w:val="BA40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673"/>
    <w:multiLevelType w:val="hybridMultilevel"/>
    <w:tmpl w:val="1E3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E07"/>
    <w:multiLevelType w:val="hybridMultilevel"/>
    <w:tmpl w:val="8E306158"/>
    <w:lvl w:ilvl="0" w:tplc="C4822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0746"/>
    <w:multiLevelType w:val="hybridMultilevel"/>
    <w:tmpl w:val="8AD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4915"/>
    <w:multiLevelType w:val="hybridMultilevel"/>
    <w:tmpl w:val="C8529F38"/>
    <w:lvl w:ilvl="0" w:tplc="523A08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4F96"/>
    <w:multiLevelType w:val="hybridMultilevel"/>
    <w:tmpl w:val="0A522A1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6" w15:restartNumberingAfterBreak="0">
    <w:nsid w:val="487A2DFB"/>
    <w:multiLevelType w:val="hybridMultilevel"/>
    <w:tmpl w:val="C838A56C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131A0A2E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EA80F952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637C2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C42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F066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1CD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4736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9D984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7" w15:restartNumberingAfterBreak="0">
    <w:nsid w:val="4A1F5223"/>
    <w:multiLevelType w:val="hybridMultilevel"/>
    <w:tmpl w:val="AC42D826"/>
    <w:lvl w:ilvl="0" w:tplc="C4822070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A776F37"/>
    <w:multiLevelType w:val="hybridMultilevel"/>
    <w:tmpl w:val="A3A45DEA"/>
    <w:lvl w:ilvl="0" w:tplc="3F0AE7AC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9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F6"/>
    <w:rsid w:val="000265B2"/>
    <w:rsid w:val="0002727F"/>
    <w:rsid w:val="000407C0"/>
    <w:rsid w:val="00063A3E"/>
    <w:rsid w:val="0009018E"/>
    <w:rsid w:val="000A0CA5"/>
    <w:rsid w:val="000A2649"/>
    <w:rsid w:val="000A6254"/>
    <w:rsid w:val="000D25C4"/>
    <w:rsid w:val="000D5F42"/>
    <w:rsid w:val="000F194D"/>
    <w:rsid w:val="00127372"/>
    <w:rsid w:val="00133F0A"/>
    <w:rsid w:val="00144DEB"/>
    <w:rsid w:val="001641E1"/>
    <w:rsid w:val="001A68E1"/>
    <w:rsid w:val="001B543E"/>
    <w:rsid w:val="001C3548"/>
    <w:rsid w:val="002073A0"/>
    <w:rsid w:val="00211BB4"/>
    <w:rsid w:val="00214B39"/>
    <w:rsid w:val="00225985"/>
    <w:rsid w:val="00234DF6"/>
    <w:rsid w:val="00236453"/>
    <w:rsid w:val="00246310"/>
    <w:rsid w:val="00265095"/>
    <w:rsid w:val="00292F66"/>
    <w:rsid w:val="002B2FE0"/>
    <w:rsid w:val="002C10B0"/>
    <w:rsid w:val="002C10EA"/>
    <w:rsid w:val="002C3CD9"/>
    <w:rsid w:val="002C6CC8"/>
    <w:rsid w:val="002E6D55"/>
    <w:rsid w:val="002F1258"/>
    <w:rsid w:val="00326A7D"/>
    <w:rsid w:val="003320A5"/>
    <w:rsid w:val="00377479"/>
    <w:rsid w:val="0038658C"/>
    <w:rsid w:val="003A1864"/>
    <w:rsid w:val="003B3A39"/>
    <w:rsid w:val="004203F8"/>
    <w:rsid w:val="00450780"/>
    <w:rsid w:val="00465018"/>
    <w:rsid w:val="00480F4F"/>
    <w:rsid w:val="004A11D3"/>
    <w:rsid w:val="004D7235"/>
    <w:rsid w:val="004E0037"/>
    <w:rsid w:val="004F523C"/>
    <w:rsid w:val="004F68F1"/>
    <w:rsid w:val="0050262D"/>
    <w:rsid w:val="00506AB3"/>
    <w:rsid w:val="0052062C"/>
    <w:rsid w:val="00525EFD"/>
    <w:rsid w:val="00550799"/>
    <w:rsid w:val="00563EE0"/>
    <w:rsid w:val="00581B3C"/>
    <w:rsid w:val="00595B31"/>
    <w:rsid w:val="005A1F50"/>
    <w:rsid w:val="005B41FB"/>
    <w:rsid w:val="005C7305"/>
    <w:rsid w:val="005E5347"/>
    <w:rsid w:val="005F3ED8"/>
    <w:rsid w:val="005F591F"/>
    <w:rsid w:val="00602554"/>
    <w:rsid w:val="006072B3"/>
    <w:rsid w:val="006103D6"/>
    <w:rsid w:val="00613436"/>
    <w:rsid w:val="00633B88"/>
    <w:rsid w:val="00643AE1"/>
    <w:rsid w:val="0065111C"/>
    <w:rsid w:val="00655026"/>
    <w:rsid w:val="00672107"/>
    <w:rsid w:val="00680D12"/>
    <w:rsid w:val="006811A9"/>
    <w:rsid w:val="00696D50"/>
    <w:rsid w:val="006A0318"/>
    <w:rsid w:val="006C7EFD"/>
    <w:rsid w:val="00706708"/>
    <w:rsid w:val="00707D25"/>
    <w:rsid w:val="00707FC2"/>
    <w:rsid w:val="00711CBF"/>
    <w:rsid w:val="00734DB5"/>
    <w:rsid w:val="00734EC6"/>
    <w:rsid w:val="007642EC"/>
    <w:rsid w:val="007737ED"/>
    <w:rsid w:val="00774563"/>
    <w:rsid w:val="007840C3"/>
    <w:rsid w:val="00790A69"/>
    <w:rsid w:val="007A2F7D"/>
    <w:rsid w:val="007B2620"/>
    <w:rsid w:val="007D53D3"/>
    <w:rsid w:val="00807494"/>
    <w:rsid w:val="00825121"/>
    <w:rsid w:val="00825FD0"/>
    <w:rsid w:val="00831F2C"/>
    <w:rsid w:val="00873D90"/>
    <w:rsid w:val="00875502"/>
    <w:rsid w:val="008854CC"/>
    <w:rsid w:val="00893589"/>
    <w:rsid w:val="0089442C"/>
    <w:rsid w:val="008C3EE7"/>
    <w:rsid w:val="00914BE8"/>
    <w:rsid w:val="0091720B"/>
    <w:rsid w:val="009379A0"/>
    <w:rsid w:val="009772A2"/>
    <w:rsid w:val="00977FB0"/>
    <w:rsid w:val="009A5F2F"/>
    <w:rsid w:val="009B4C10"/>
    <w:rsid w:val="009C38BA"/>
    <w:rsid w:val="009E145D"/>
    <w:rsid w:val="00A342C5"/>
    <w:rsid w:val="00A616D3"/>
    <w:rsid w:val="00A63F6B"/>
    <w:rsid w:val="00AB52DF"/>
    <w:rsid w:val="00AD66DA"/>
    <w:rsid w:val="00AE39AE"/>
    <w:rsid w:val="00AE6DF7"/>
    <w:rsid w:val="00B0460A"/>
    <w:rsid w:val="00B26C60"/>
    <w:rsid w:val="00B32A23"/>
    <w:rsid w:val="00B51964"/>
    <w:rsid w:val="00B6593A"/>
    <w:rsid w:val="00BB2899"/>
    <w:rsid w:val="00BB2DFD"/>
    <w:rsid w:val="00BC3F1F"/>
    <w:rsid w:val="00BE2415"/>
    <w:rsid w:val="00BF6941"/>
    <w:rsid w:val="00C04209"/>
    <w:rsid w:val="00C06ED8"/>
    <w:rsid w:val="00C32E56"/>
    <w:rsid w:val="00C61BEA"/>
    <w:rsid w:val="00C72012"/>
    <w:rsid w:val="00C83F13"/>
    <w:rsid w:val="00C855E0"/>
    <w:rsid w:val="00CA05BE"/>
    <w:rsid w:val="00CA28FA"/>
    <w:rsid w:val="00CB6927"/>
    <w:rsid w:val="00CC1B25"/>
    <w:rsid w:val="00CC2357"/>
    <w:rsid w:val="00D056E8"/>
    <w:rsid w:val="00D10EEB"/>
    <w:rsid w:val="00D14FCC"/>
    <w:rsid w:val="00D457AB"/>
    <w:rsid w:val="00D459C1"/>
    <w:rsid w:val="00D603B4"/>
    <w:rsid w:val="00D62B34"/>
    <w:rsid w:val="00D667AD"/>
    <w:rsid w:val="00D96F34"/>
    <w:rsid w:val="00DA15DD"/>
    <w:rsid w:val="00DB1447"/>
    <w:rsid w:val="00DC116E"/>
    <w:rsid w:val="00DF10AD"/>
    <w:rsid w:val="00E56BF1"/>
    <w:rsid w:val="00E956E0"/>
    <w:rsid w:val="00EB4DF5"/>
    <w:rsid w:val="00EC1B85"/>
    <w:rsid w:val="00EC5391"/>
    <w:rsid w:val="00EF32A1"/>
    <w:rsid w:val="00EF4C0A"/>
    <w:rsid w:val="00F1347A"/>
    <w:rsid w:val="00F507A8"/>
    <w:rsid w:val="00F571BC"/>
    <w:rsid w:val="00F9186A"/>
    <w:rsid w:val="00F93C61"/>
    <w:rsid w:val="00FA6A1B"/>
    <w:rsid w:val="00FB6F9A"/>
    <w:rsid w:val="00FF369A"/>
    <w:rsid w:val="025790DD"/>
    <w:rsid w:val="057051C4"/>
    <w:rsid w:val="06C45FAC"/>
    <w:rsid w:val="0AF6627E"/>
    <w:rsid w:val="0BB2FE85"/>
    <w:rsid w:val="0CE0B683"/>
    <w:rsid w:val="0CE91731"/>
    <w:rsid w:val="0D1F01C2"/>
    <w:rsid w:val="0E80A931"/>
    <w:rsid w:val="0F78DFC5"/>
    <w:rsid w:val="11F272E5"/>
    <w:rsid w:val="124ADA52"/>
    <w:rsid w:val="12CD3CE6"/>
    <w:rsid w:val="13741432"/>
    <w:rsid w:val="14BF0B70"/>
    <w:rsid w:val="152A13A7"/>
    <w:rsid w:val="19C70C5D"/>
    <w:rsid w:val="1A3CC3DA"/>
    <w:rsid w:val="1DFB20B4"/>
    <w:rsid w:val="1E8BC248"/>
    <w:rsid w:val="1F1034FD"/>
    <w:rsid w:val="2083709D"/>
    <w:rsid w:val="217CE269"/>
    <w:rsid w:val="232104F7"/>
    <w:rsid w:val="23F417A9"/>
    <w:rsid w:val="243153E3"/>
    <w:rsid w:val="255FFE53"/>
    <w:rsid w:val="2612846C"/>
    <w:rsid w:val="270B6239"/>
    <w:rsid w:val="27173190"/>
    <w:rsid w:val="2759B20C"/>
    <w:rsid w:val="2A8AEB0C"/>
    <w:rsid w:val="2AFF7ECA"/>
    <w:rsid w:val="2C5C4BC0"/>
    <w:rsid w:val="2CAD3F9C"/>
    <w:rsid w:val="2DF81C21"/>
    <w:rsid w:val="3231A882"/>
    <w:rsid w:val="33046290"/>
    <w:rsid w:val="339F6A3F"/>
    <w:rsid w:val="36079B18"/>
    <w:rsid w:val="3AB2E870"/>
    <w:rsid w:val="3D524D4C"/>
    <w:rsid w:val="3D7AD1EB"/>
    <w:rsid w:val="3EBF9BA5"/>
    <w:rsid w:val="3F89807C"/>
    <w:rsid w:val="4033677B"/>
    <w:rsid w:val="4333BF87"/>
    <w:rsid w:val="47D1AF25"/>
    <w:rsid w:val="496D7F86"/>
    <w:rsid w:val="4A75E1E7"/>
    <w:rsid w:val="4C11B248"/>
    <w:rsid w:val="4C2D1C79"/>
    <w:rsid w:val="537B4E61"/>
    <w:rsid w:val="551E8025"/>
    <w:rsid w:val="562386B5"/>
    <w:rsid w:val="57BFE1EE"/>
    <w:rsid w:val="57E2A7F0"/>
    <w:rsid w:val="58CFDDCC"/>
    <w:rsid w:val="591B9732"/>
    <w:rsid w:val="5A6F4B49"/>
    <w:rsid w:val="5C3B7961"/>
    <w:rsid w:val="620411D4"/>
    <w:rsid w:val="62222DCD"/>
    <w:rsid w:val="622C4662"/>
    <w:rsid w:val="62C1B738"/>
    <w:rsid w:val="65A0F08D"/>
    <w:rsid w:val="65BE4021"/>
    <w:rsid w:val="65D0191E"/>
    <w:rsid w:val="6A4C35E7"/>
    <w:rsid w:val="6B9C4562"/>
    <w:rsid w:val="6F2B5172"/>
    <w:rsid w:val="71A99E5C"/>
    <w:rsid w:val="75A4AA90"/>
    <w:rsid w:val="765B3149"/>
    <w:rsid w:val="79523BD2"/>
    <w:rsid w:val="79B4B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B32E"/>
  <w15:chartTrackingRefBased/>
  <w15:docId w15:val="{48079875-3AAE-4B9B-A84D-4C652F3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07"/>
  </w:style>
  <w:style w:type="paragraph" w:styleId="Heading1">
    <w:name w:val="heading 1"/>
    <w:basedOn w:val="Normal"/>
    <w:next w:val="Normal"/>
    <w:link w:val="Heading1Char"/>
    <w:uiPriority w:val="9"/>
    <w:qFormat/>
    <w:rsid w:val="00D14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364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0D5F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4F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sped/spp/indicators/indicator9/indicator9-vietnamese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sped/spp/indicators/indicator9/indicator9-spanish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sped/spp/indicators/indicator9/indicator9-haitiancreole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doe.mass.edu/sped/spp/indicators/indicator9/indicator9-chines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sped/spp/indicators/indicator9/" TargetMode="External"/><Relationship Id="rId14" Type="http://schemas.openxmlformats.org/officeDocument/2006/relationships/hyperlink" Target="https://www.doe.mass.edu/sped/spp/indicators/indicators-9-10-slides-portuguese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Hanafin, Bob (DESE)</DisplayName>
        <AccountId>25</AccountId>
        <AccountType/>
      </UserInfo>
      <UserInfo>
        <DisplayName>Viviani, Lauren (DESE)</DisplayName>
        <AccountId>23</AccountId>
        <AccountType/>
      </UserInfo>
      <UserInfo>
        <DisplayName>Liu, Yi-Juin (DESE)</DisplayName>
        <AccountId>99</AccountId>
        <AccountType/>
      </UserInfo>
    </SharedWithUsers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AE461-19BD-4B8F-B96F-E764C5287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03A64-D0A8-46C7-B6D7-FBE1B5EFA5D7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3.xml><?xml version="1.0" encoding="utf-8"?>
<ds:datastoreItem xmlns:ds="http://schemas.openxmlformats.org/officeDocument/2006/customXml" ds:itemID="{2162D8B9-0628-4E40-A541-D141816A9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A0D96-36EB-493E-9159-B964AEBF9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1150</Words>
  <Characters>6515</Characters>
  <Application>Microsoft Office Word</Application>
  <DocSecurity>0</DocSecurity>
  <Lines>191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9: Disproportionate Representation — Portuguese</dc:title>
  <dc:subject/>
  <dc:creator>DESE</dc:creator>
  <cp:keywords/>
  <dc:description/>
  <cp:lastModifiedBy>Zou, Dong (EOE)</cp:lastModifiedBy>
  <cp:revision>23</cp:revision>
  <dcterms:created xsi:type="dcterms:W3CDTF">2022-10-18T13:29:00Z</dcterms:created>
  <dcterms:modified xsi:type="dcterms:W3CDTF">2023-01-26T17:56:00Z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