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36AC0" w14:textId="7B01D638" w:rsidR="000B2654" w:rsidRPr="004655C1" w:rsidRDefault="003669B0" w:rsidP="004E62D6">
      <w:pPr>
        <w:pStyle w:val="Heading2"/>
        <w:spacing w:before="0"/>
        <w:rPr>
          <w:rFonts w:asciiTheme="minorHAnsi" w:hAnsiTheme="minorHAnsi" w:cstheme="minorHAnsi"/>
          <w:b/>
          <w:bCs/>
          <w:color w:val="ED7D31" w:themeColor="accent2"/>
          <w:sz w:val="28"/>
          <w:szCs w:val="28"/>
          <w:u w:val="single"/>
        </w:rPr>
      </w:pPr>
      <w:r>
        <w:rPr>
          <w:rFonts w:asciiTheme="minorHAnsi" w:hAnsiTheme="minorHAnsi" w:cstheme="minorHAnsi"/>
          <w:b/>
          <w:bCs/>
          <w:color w:val="auto"/>
          <w:sz w:val="28"/>
          <w:szCs w:val="28"/>
          <w:u w:val="single"/>
          <w:lang w:val="es"/>
        </w:rPr>
        <w:t>Introducción</w:t>
      </w:r>
    </w:p>
    <w:p w14:paraId="35A30416" w14:textId="73D0320B" w:rsidR="000B14B1" w:rsidRDefault="00A30998" w:rsidP="007A4FC1">
      <w:r>
        <w:rPr>
          <w:lang w:val="es"/>
        </w:rPr>
        <w:t>Esta hoja informativa proporciona una breve descripción general de la parte B de la Ley de Educación para Personas con Discapacidades (Individuals with Disabilities Education Act, IDEA) y de los requisitos de identificación de menores (Child Find) de las leyes estatales aplicables a agencias de educación locales (Local Education Agency, LEA) de Massachusetts, y ofrece recursos para ayudar a las LEA a asegurarse de que los menores con discapacidades sean correctamente identificados, ubicados y evaluados. En Massachusetts, las LEA deben dirigir actividades de identificación de menores para todos los menores de entre 3 y 21 años que tengan discapacidades y que residan en el área de la LEA o asistan a una escuela privada dentro de los límites geográficos de la LEA.</w:t>
      </w:r>
    </w:p>
    <w:p w14:paraId="5A99961A" w14:textId="2FCC3822" w:rsidR="001E1072" w:rsidRPr="004655C1" w:rsidRDefault="00BB2F05" w:rsidP="00920ADB">
      <w:pPr>
        <w:tabs>
          <w:tab w:val="right" w:pos="9360"/>
        </w:tabs>
        <w:spacing w:after="0"/>
        <w:rPr>
          <w:rStyle w:val="Hyperlink"/>
          <w:rFonts w:eastAsiaTheme="majorEastAsia" w:cstheme="minorHAnsi"/>
          <w:b/>
          <w:bCs/>
          <w:color w:val="ED7D31" w:themeColor="accent2"/>
          <w:sz w:val="28"/>
          <w:szCs w:val="28"/>
        </w:rPr>
      </w:pPr>
      <w:r>
        <w:rPr>
          <w:rStyle w:val="Hyperlink"/>
          <w:rFonts w:eastAsiaTheme="majorEastAsia" w:cstheme="minorHAnsi"/>
          <w:b/>
          <w:bCs/>
          <w:color w:val="auto"/>
          <w:sz w:val="28"/>
          <w:szCs w:val="28"/>
          <w:lang w:val="es"/>
        </w:rPr>
        <w:t>Descripción general de los requisitos federales de identificación de menores</w:t>
      </w:r>
      <w:r>
        <w:rPr>
          <w:rStyle w:val="Hyperlink"/>
          <w:rFonts w:eastAsiaTheme="majorEastAsia" w:cstheme="minorHAnsi"/>
          <w:b/>
          <w:bCs/>
          <w:color w:val="ED7D31" w:themeColor="accent2"/>
          <w:sz w:val="28"/>
          <w:szCs w:val="28"/>
          <w:lang w:val="es"/>
        </w:rPr>
        <w:t xml:space="preserve"> </w:t>
      </w:r>
      <w:r>
        <w:rPr>
          <w:rStyle w:val="Hyperlink"/>
          <w:rFonts w:eastAsiaTheme="majorEastAsia" w:cstheme="minorHAnsi"/>
          <w:b/>
          <w:bCs/>
          <w:color w:val="auto"/>
          <w:sz w:val="28"/>
          <w:szCs w:val="28"/>
          <w:lang w:val="es"/>
        </w:rPr>
        <w:t>según la parte B de la IDEA</w:t>
      </w:r>
      <w:r>
        <w:rPr>
          <w:rStyle w:val="Hyperlink"/>
          <w:rFonts w:eastAsiaTheme="majorEastAsia" w:cstheme="minorHAnsi"/>
          <w:b/>
          <w:bCs/>
          <w:color w:val="ED7D31" w:themeColor="accent2"/>
          <w:sz w:val="28"/>
          <w:szCs w:val="28"/>
          <w:u w:val="none"/>
          <w:lang w:val="es"/>
        </w:rPr>
        <w:t xml:space="preserve"> </w:t>
      </w:r>
      <w:r>
        <w:rPr>
          <w:rStyle w:val="Hyperlink"/>
          <w:rFonts w:eastAsiaTheme="majorEastAsia" w:cstheme="minorHAnsi"/>
          <w:color w:val="ED7D31" w:themeColor="accent2"/>
          <w:sz w:val="28"/>
          <w:szCs w:val="28"/>
          <w:u w:val="none"/>
          <w:lang w:val="es"/>
        </w:rPr>
        <w:tab/>
      </w:r>
    </w:p>
    <w:p w14:paraId="5939A714" w14:textId="43A660C2" w:rsidR="00590EFC" w:rsidRDefault="00117475" w:rsidP="0047565D">
      <w:r>
        <w:rPr>
          <w:lang w:val="es"/>
        </w:rPr>
        <w:t xml:space="preserve">Se debe identificar, ubicar y evaluar a todos los menores de entre 3 y 21 años que tengan discapacidades y que residan en el estado, lo que incluye a menores con discapacidades que estén en crianza temporal, que no tengan hogar, que reciban educación en la casa o que asistan a escuelas privadas, independientemente de la gravedad de la discapacidad, y que necesiten recibir educación especial y servicios relacionados. La identificación de menores debe incluir a aquellos que se sospeche que tienen discapacidades y que necesiten recibir educación especial, incluso si avanzan de grado en grado. Para obtener más información sobre los requisitos federales de identificación de menores, consulte el </w:t>
      </w:r>
      <w:hyperlink r:id="rId12" w:anchor="citem_f301-6c4a" w:history="1">
        <w:r>
          <w:rPr>
            <w:rStyle w:val="Hyperlink"/>
            <w:i/>
            <w:iCs/>
            <w:shd w:val="clear" w:color="auto" w:fill="FFFFFF"/>
            <w:lang w:val="es"/>
          </w:rPr>
          <w:t>Return to School Roadmap: Child Find Under Part B of the Individuals with Disabilities Education Act</w:t>
        </w:r>
      </w:hyperlink>
      <w:r>
        <w:rPr>
          <w:i/>
          <w:iCs/>
          <w:color w:val="343C47"/>
          <w:shd w:val="clear" w:color="auto" w:fill="FFFFFF"/>
          <w:lang w:val="es"/>
        </w:rPr>
        <w:t xml:space="preserve"> </w:t>
      </w:r>
      <w:r>
        <w:rPr>
          <w:color w:val="343C47"/>
          <w:shd w:val="clear" w:color="auto" w:fill="FFFFFF"/>
          <w:lang w:val="es"/>
        </w:rPr>
        <w:t xml:space="preserve">(Plan de regreso a la escuela: identificación de menores según la parte B de la Ley de Educación para Personas con Discapacidades) (24 de agosto de 2021) (Orientación sobre identificación de menores) de la Oficina de Educación Especial y Servicios de Rehabilitación (Office of Special Education and Rehabilitative Services, OSERS) del Departamento de Educación de Estados Unidos (United States Department of Education). </w:t>
      </w:r>
    </w:p>
    <w:p w14:paraId="0FBCB59A" w14:textId="5B72A597" w:rsidR="0047565D" w:rsidRDefault="004B1482" w:rsidP="0047565D">
      <w:pPr>
        <w:rPr>
          <w:rFonts w:cstheme="minorHAnsi"/>
        </w:rPr>
      </w:pPr>
      <w:r>
        <w:rPr>
          <w:lang w:val="es"/>
        </w:rPr>
        <w:t xml:space="preserve">La parte B de la IDEA también exige que cada LEA “ubique, identifique y evalúe a todos los menores con discapacidades que hayan sido </w:t>
      </w:r>
      <w:r>
        <w:rPr>
          <w:i/>
          <w:iCs/>
          <w:lang w:val="es"/>
        </w:rPr>
        <w:t>inscritos</w:t>
      </w:r>
      <w:r>
        <w:rPr>
          <w:lang w:val="es"/>
        </w:rPr>
        <w:t xml:space="preserve"> por sus padres en escuelas primarias y secundarias privadas, incluidas las escuelas religiosas, ubicadas en el distrito escolar en el que la LEA presta servicios”. De acuerdo con las regulaciones de la IDEA, las actividades de identificación de menores para dichos menores deben ser similares a las que se llevan a cabo para menores que asisten a escuelas públicas de la LEA. Para obtener más información sobre los requisitos de identificación de menores en relación con menores con discapacidades inscritos en escuelas privadas, lo que incluye a menores que reciben educación en la casa, visite el </w:t>
      </w:r>
      <w:hyperlink r:id="rId13" w:history="1">
        <w:r>
          <w:rPr>
            <w:rStyle w:val="Hyperlink"/>
            <w:rFonts w:cstheme="minorHAnsi"/>
            <w:lang w:val="es"/>
          </w:rPr>
          <w:t>sitio web</w:t>
        </w:r>
      </w:hyperlink>
      <w:r>
        <w:rPr>
          <w:lang w:val="es"/>
        </w:rPr>
        <w:t xml:space="preserve"> del Departamento de Educación Primaria y Secundaria (Department of Elementary and Secondary Education, DESE), en el que se incluyen </w:t>
      </w:r>
      <w:hyperlink r:id="rId14" w:history="1">
        <w:r>
          <w:rPr>
            <w:rStyle w:val="Hyperlink"/>
            <w:rFonts w:cstheme="minorHAnsi"/>
            <w:color w:val="0056B3"/>
            <w:shd w:val="clear" w:color="auto" w:fill="FFFFFF"/>
            <w:lang w:val="es"/>
          </w:rPr>
          <w:t>Administrative Advisory SPED 2018-1</w:t>
        </w:r>
        <w:r>
          <w:rPr>
            <w:lang w:val="es"/>
          </w:rPr>
          <w:t xml:space="preserve"> (asesoría administrativa del Departamento de Educación Especial [Department of Special Education, SPED] 2018-1)</w:t>
        </w:r>
      </w:hyperlink>
      <w:r>
        <w:rPr>
          <w:lang w:val="es"/>
        </w:rPr>
        <w:t xml:space="preserve"> y </w:t>
      </w:r>
      <w:hyperlink r:id="rId15" w:history="1">
        <w:r>
          <w:rPr>
            <w:rStyle w:val="Hyperlink"/>
            <w:rFonts w:cstheme="minorHAnsi"/>
            <w:lang w:val="es"/>
          </w:rPr>
          <w:t>ejemplos de avisos de identificación de menores</w:t>
        </w:r>
      </w:hyperlink>
      <w:r>
        <w:rPr>
          <w:lang w:val="es"/>
        </w:rPr>
        <w:t xml:space="preserve"> para estudiantes inscritos en escuelas privadas. </w:t>
      </w:r>
    </w:p>
    <w:p w14:paraId="65DC5C26" w14:textId="77777777" w:rsidR="004F61B5" w:rsidRDefault="004F61B5" w:rsidP="00C6260D">
      <w:pPr>
        <w:spacing w:after="0"/>
        <w:rPr>
          <w:rStyle w:val="Hyperlink"/>
          <w:rFonts w:eastAsiaTheme="majorEastAsia"/>
          <w:b/>
          <w:bCs/>
          <w:color w:val="ED7D31" w:themeColor="accent2"/>
          <w:sz w:val="28"/>
          <w:szCs w:val="28"/>
        </w:rPr>
      </w:pPr>
    </w:p>
    <w:p w14:paraId="787AE200" w14:textId="0BFF8D4C" w:rsidR="00C90B2A" w:rsidRDefault="00966E0A" w:rsidP="00C6260D">
      <w:pPr>
        <w:spacing w:after="0"/>
        <w:rPr>
          <w:rStyle w:val="Hyperlink"/>
          <w:rFonts w:eastAsiaTheme="majorEastAsia"/>
          <w:b/>
          <w:bCs/>
          <w:color w:val="ED7D31" w:themeColor="accent2"/>
          <w:sz w:val="28"/>
          <w:szCs w:val="28"/>
        </w:rPr>
      </w:pPr>
      <w:r>
        <w:rPr>
          <w:rStyle w:val="Hyperlink"/>
          <w:rFonts w:eastAsiaTheme="majorEastAsia"/>
          <w:b/>
          <w:bCs/>
          <w:color w:val="auto"/>
          <w:sz w:val="28"/>
          <w:szCs w:val="28"/>
          <w:lang w:val="es"/>
        </w:rPr>
        <w:t>Descripción general de los requisitos de identificación de menores según las leyes estatales</w:t>
      </w:r>
    </w:p>
    <w:p w14:paraId="3CFFD25B" w14:textId="0F2735ED" w:rsidR="00BF79F3" w:rsidRDefault="00BE08D5" w:rsidP="00C6260D">
      <w:pPr>
        <w:spacing w:after="0"/>
      </w:pPr>
      <w:r>
        <w:rPr>
          <w:lang w:val="es"/>
        </w:rPr>
        <w:t xml:space="preserve">Además de las leyes federales, las leyes del Estado de Massachusetts exigen que “el comité escolar de todas las ciudades, pueblos o distritos escolares” “identifique a los </w:t>
      </w:r>
      <w:hyperlink r:id="rId16" w:history="1">
        <w:r>
          <w:rPr>
            <w:rStyle w:val="Hyperlink"/>
            <w:lang w:val="es"/>
          </w:rPr>
          <w:t>menores en edad escolar</w:t>
        </w:r>
      </w:hyperlink>
      <w:r>
        <w:rPr>
          <w:lang w:val="es"/>
        </w:rPr>
        <w:t xml:space="preserve"> </w:t>
      </w:r>
      <w:r>
        <w:rPr>
          <w:i/>
          <w:iCs/>
          <w:lang w:val="es"/>
        </w:rPr>
        <w:t xml:space="preserve">que residan </w:t>
      </w:r>
      <w:r>
        <w:rPr>
          <w:i/>
          <w:iCs/>
          <w:lang w:val="es"/>
        </w:rPr>
        <w:lastRenderedPageBreak/>
        <w:t xml:space="preserve">allí </w:t>
      </w:r>
      <w:r>
        <w:rPr>
          <w:lang w:val="es"/>
        </w:rPr>
        <w:t>y tengan una discapacidad” y que “determine y evalúe las necesidades de dichos menores, proponga un programa de educación especial para cubrir esas necesidades, preste u organice la prestación de los servicios de dicho programa de educación especial”. Las leyes estatales exigen que los distritos escolares “lleven un registro de la identificación, la determinación, la propuesta y los servicios del programa que realmente se presten”.</w:t>
      </w:r>
    </w:p>
    <w:p w14:paraId="7FA2448A" w14:textId="77777777" w:rsidR="004F61B5" w:rsidRDefault="004F61B5" w:rsidP="00C6260D">
      <w:pPr>
        <w:spacing w:after="0"/>
        <w:rPr>
          <w:rStyle w:val="Hyperlink"/>
          <w:rFonts w:eastAsiaTheme="majorEastAsia"/>
          <w:b/>
          <w:bCs/>
          <w:color w:val="ED7D31" w:themeColor="accent2"/>
          <w:sz w:val="28"/>
          <w:szCs w:val="28"/>
        </w:rPr>
      </w:pPr>
    </w:p>
    <w:p w14:paraId="2B56C46D" w14:textId="51C7F8D8" w:rsidR="007C5E08" w:rsidRPr="00C90B2A" w:rsidRDefault="002D6E4D" w:rsidP="00C6260D">
      <w:pPr>
        <w:spacing w:after="0"/>
        <w:rPr>
          <w:rStyle w:val="Hyperlink"/>
          <w:rFonts w:eastAsiaTheme="majorEastAsia"/>
          <w:b/>
          <w:bCs/>
          <w:color w:val="ED7D31" w:themeColor="accent2"/>
          <w:sz w:val="28"/>
          <w:szCs w:val="28"/>
        </w:rPr>
      </w:pPr>
      <w:r>
        <w:rPr>
          <w:rStyle w:val="Hyperlink"/>
          <w:rFonts w:eastAsiaTheme="majorEastAsia"/>
          <w:b/>
          <w:bCs/>
          <w:color w:val="auto"/>
          <w:sz w:val="28"/>
          <w:szCs w:val="28"/>
          <w:lang w:val="es"/>
        </w:rPr>
        <w:t>Consideraciones para las actividades de identificación de menores</w:t>
      </w:r>
    </w:p>
    <w:p w14:paraId="29C42F7F" w14:textId="4D16A353" w:rsidR="00423224" w:rsidRDefault="007C554E" w:rsidP="00C6260D">
      <w:pPr>
        <w:spacing w:after="0"/>
      </w:pPr>
      <w:r>
        <w:rPr>
          <w:lang w:val="es"/>
        </w:rPr>
        <w:t xml:space="preserve">Según lo descrito por la Oficina de Educación Especial y Servicios de Rehabilitación (Office of Special Education and Rehabilitative Services, OSERS) en su </w:t>
      </w:r>
      <w:r>
        <w:rPr>
          <w:i/>
          <w:iCs/>
          <w:lang w:val="es"/>
        </w:rPr>
        <w:t>orientación</w:t>
      </w:r>
      <w:r>
        <w:rPr>
          <w:lang w:val="es"/>
        </w:rPr>
        <w:t xml:space="preserve"> sobre la </w:t>
      </w:r>
      <w:hyperlink r:id="rId17" w:anchor="citem_f301-6c4a" w:history="1">
        <w:r>
          <w:rPr>
            <w:rStyle w:val="Hyperlink"/>
            <w:i/>
            <w:iCs/>
            <w:lang w:val="es"/>
          </w:rPr>
          <w:t>identificación de menores</w:t>
        </w:r>
      </w:hyperlink>
      <w:r>
        <w:rPr>
          <w:lang w:val="es"/>
        </w:rPr>
        <w:t xml:space="preserve">, en vista de las interrupciones escolares por la pandemia de COVID-19, las LEA deberían volver a evaluar la eficacia de sus prácticas actuales de identificación de menores e iniciar actividades nuevas si corresponde. Por ejemplo, las LEA que publican sus avisos de identificación de menores en sus sitios web y en lugares frecuentados por las familias en su comunidad, como consultorios médicos, centros de autismo, hospitales, escuelas privadas y guarderías, también pueden considerar publicarlos en sus redes sociales y ampliar la cantidad de lugares en los que los publican. Para ver otras ideas para actividades de identificación de menores, consulte: pregunta y respuesta 5, OSERS, </w:t>
      </w:r>
      <w:hyperlink r:id="rId18" w:anchor="citem_f301-6c4a" w:history="1">
        <w:r>
          <w:rPr>
            <w:rStyle w:val="Hyperlink"/>
            <w:i/>
            <w:iCs/>
            <w:lang w:val="es"/>
          </w:rPr>
          <w:t>identificación de menores</w:t>
        </w:r>
      </w:hyperlink>
      <w:r>
        <w:rPr>
          <w:lang w:val="es"/>
        </w:rPr>
        <w:t xml:space="preserve">. </w:t>
      </w:r>
    </w:p>
    <w:sectPr w:rsidR="00423224" w:rsidSect="001B2FED">
      <w:headerReference w:type="even" r:id="rId19"/>
      <w:headerReference w:type="default" r:id="rId20"/>
      <w:footerReference w:type="default" r:id="rId21"/>
      <w:headerReference w:type="first" r:id="rId2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B6324" w14:textId="77777777" w:rsidR="007F0103" w:rsidRDefault="007F0103" w:rsidP="00404C9D">
      <w:pPr>
        <w:spacing w:after="0"/>
      </w:pPr>
      <w:r>
        <w:separator/>
      </w:r>
    </w:p>
  </w:endnote>
  <w:endnote w:type="continuationSeparator" w:id="0">
    <w:p w14:paraId="600A7DE2" w14:textId="77777777" w:rsidR="007F0103" w:rsidRDefault="007F0103" w:rsidP="00404C9D">
      <w:pPr>
        <w:spacing w:after="0"/>
      </w:pPr>
      <w:r>
        <w:continuationSeparator/>
      </w:r>
    </w:p>
  </w:endnote>
  <w:endnote w:type="continuationNotice" w:id="1">
    <w:p w14:paraId="58F75440" w14:textId="77777777" w:rsidR="007F0103" w:rsidRDefault="007F01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0830E113" w:rsidR="00FD06F5" w:rsidRDefault="00F006A0">
        <w:pPr>
          <w:pStyle w:val="Footer"/>
          <w:jc w:val="right"/>
        </w:pPr>
        <w:r>
          <w:rPr>
            <w:i/>
            <w:iCs/>
            <w:sz w:val="20"/>
            <w:szCs w:val="20"/>
            <w:lang w:val="es"/>
          </w:rPr>
          <w:t>Departamento de Educación Primaria y Secundaria de Massachusetts</w:t>
        </w:r>
        <w:r>
          <w:rPr>
            <w:lang w:val="es"/>
          </w:rPr>
          <w:tab/>
        </w:r>
        <w:r>
          <w:rPr>
            <w:lang w:val="es"/>
          </w:rPr>
          <w:fldChar w:fldCharType="begin"/>
        </w:r>
        <w:r>
          <w:rPr>
            <w:lang w:val="es"/>
          </w:rPr>
          <w:instrText xml:space="preserve"> PAGE   \* MERGEFORMAT </w:instrText>
        </w:r>
        <w:r>
          <w:rPr>
            <w:lang w:val="es"/>
          </w:rPr>
          <w:fldChar w:fldCharType="separate"/>
        </w:r>
        <w:r w:rsidR="002E231C">
          <w:rPr>
            <w:noProof/>
            <w:lang w:val="es"/>
          </w:rPr>
          <w:t>2</w:t>
        </w:r>
        <w:r>
          <w:rPr>
            <w:noProof/>
            <w:lang w:val="es"/>
          </w:rPr>
          <w:fldChar w:fldCharType="end"/>
        </w:r>
      </w:p>
    </w:sdtContent>
  </w:sdt>
  <w:p w14:paraId="187CC3AD" w14:textId="545B4219" w:rsidR="00FD06F5" w:rsidRPr="00CD72B6" w:rsidRDefault="004F61B5">
    <w:pPr>
      <w:pStyle w:val="Footer"/>
      <w:rPr>
        <w:i/>
        <w:iCs/>
        <w:sz w:val="20"/>
        <w:szCs w:val="20"/>
      </w:rPr>
    </w:pPr>
    <w:r>
      <w:rPr>
        <w:i/>
        <w:iCs/>
        <w:sz w:val="20"/>
        <w:szCs w:val="20"/>
        <w:lang w:val="es"/>
      </w:rPr>
      <w:t>15 de noviembre de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84F7D" w14:textId="77777777" w:rsidR="007F0103" w:rsidRDefault="007F0103" w:rsidP="00404C9D">
      <w:pPr>
        <w:spacing w:after="0"/>
      </w:pPr>
      <w:r>
        <w:separator/>
      </w:r>
    </w:p>
  </w:footnote>
  <w:footnote w:type="continuationSeparator" w:id="0">
    <w:p w14:paraId="75EF6BE8" w14:textId="77777777" w:rsidR="007F0103" w:rsidRDefault="007F0103" w:rsidP="00404C9D">
      <w:pPr>
        <w:spacing w:after="0"/>
      </w:pPr>
      <w:r>
        <w:continuationSeparator/>
      </w:r>
    </w:p>
  </w:footnote>
  <w:footnote w:type="continuationNotice" w:id="1">
    <w:p w14:paraId="411E8E25" w14:textId="77777777" w:rsidR="007F0103" w:rsidRDefault="007F01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EF49" w14:textId="33B07DD8" w:rsidR="00E71D78" w:rsidRDefault="00307BCF">
    <w:pPr>
      <w:pStyle w:val="Header"/>
    </w:pPr>
    <w:r>
      <w:rPr>
        <w:noProof/>
        <w:lang w:val="es"/>
      </w:rPr>
      <w:pict w14:anchorId="2013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2050"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DE4BE" w14:textId="391FE2F1" w:rsidR="0049666D" w:rsidRDefault="000B2654" w:rsidP="0049666D">
    <w:pPr>
      <w:pStyle w:val="Header"/>
      <w:tabs>
        <w:tab w:val="left" w:pos="660"/>
      </w:tabs>
      <w:spacing w:line="0" w:lineRule="atLeast"/>
      <w:rPr>
        <w:b/>
        <w:bCs/>
        <w:sz w:val="44"/>
        <w:szCs w:val="44"/>
        <w:lang w:val="es"/>
      </w:rPr>
    </w:pPr>
    <w:r>
      <w:rPr>
        <w:b/>
        <w:bCs/>
        <w:sz w:val="44"/>
        <w:szCs w:val="44"/>
        <w:lang w:val="es"/>
      </w:rPr>
      <w:t>HOJA INFORMATIVA DE</w:t>
    </w:r>
    <w:r w:rsidR="002E231C">
      <w:rPr>
        <w:b/>
        <w:bCs/>
        <w:sz w:val="44"/>
        <w:szCs w:val="44"/>
        <w:lang w:val="es"/>
      </w:rPr>
      <w:tab/>
      <w:t xml:space="preserve">             </w:t>
    </w:r>
    <w:r w:rsidR="002E231C">
      <w:rPr>
        <w:noProof/>
        <w:lang w:val="es-AR" w:eastAsia="es-AR"/>
      </w:rPr>
      <w:drawing>
        <wp:inline distT="0" distB="0" distL="0" distR="0" wp14:anchorId="175219B6" wp14:editId="43B10CA5">
          <wp:extent cx="1874520" cy="740410"/>
          <wp:effectExtent l="0" t="0" r="0" b="2540"/>
          <wp:docPr id="5" name="Picture 5" descr="ESE Logo" title="ESE Logo"/>
          <wp:cNvGraphicFramePr/>
          <a:graphic xmlns:a="http://schemas.openxmlformats.org/drawingml/2006/main">
            <a:graphicData uri="http://schemas.openxmlformats.org/drawingml/2006/picture">
              <pic:pic xmlns:pic="http://schemas.openxmlformats.org/drawingml/2006/picture">
                <pic:nvPicPr>
                  <pic:cNvPr id="5" name="Picture 5" descr="ESE Logo" title="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740410"/>
                  </a:xfrm>
                  <a:prstGeom prst="rect">
                    <a:avLst/>
                  </a:prstGeom>
                  <a:noFill/>
                  <a:ln>
                    <a:noFill/>
                  </a:ln>
                </pic:spPr>
              </pic:pic>
            </a:graphicData>
          </a:graphic>
        </wp:inline>
      </w:drawing>
    </w:r>
  </w:p>
  <w:p w14:paraId="777D4942" w14:textId="7504F7DE" w:rsidR="00E71D78" w:rsidRDefault="000B2654" w:rsidP="002E231C">
    <w:pPr>
      <w:pStyle w:val="Header"/>
      <w:tabs>
        <w:tab w:val="clear" w:pos="4680"/>
        <w:tab w:val="left" w:pos="660"/>
        <w:tab w:val="center" w:pos="5954"/>
        <w:tab w:val="left" w:pos="7230"/>
      </w:tabs>
      <w:spacing w:line="0" w:lineRule="atLeast"/>
    </w:pPr>
    <w:r>
      <w:rPr>
        <w:b/>
        <w:bCs/>
        <w:sz w:val="44"/>
        <w:szCs w:val="44"/>
        <w:lang w:val="es"/>
      </w:rPr>
      <w:t>IDENTIFICACIÓN DE MENORES</w:t>
    </w:r>
    <w:r w:rsidR="0049666D">
      <w:rPr>
        <w:b/>
        <w:bCs/>
        <w:sz w:val="44"/>
        <w:szCs w:val="44"/>
        <w:lang w:val="es"/>
      </w:rPr>
      <w:tab/>
    </w:r>
    <w:r w:rsidR="0049666D">
      <w:rPr>
        <w:b/>
        <w:bCs/>
        <w:sz w:val="44"/>
        <w:szCs w:val="44"/>
        <w:lang w:val="es"/>
      </w:rPr>
      <w:tab/>
    </w:r>
    <w:r>
      <w:rPr>
        <w:lang w:val="es"/>
      </w:rPr>
      <w:tab/>
    </w:r>
    <w:r w:rsidR="00307BCF">
      <w:rPr>
        <w:noProof/>
        <w:lang w:val="es"/>
      </w:rPr>
      <w:pict w14:anchorId="24F5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2051"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Pr>
        <w:noProof/>
        <w:lang w:val="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368C" w14:textId="01A791FE" w:rsidR="00E71D78" w:rsidRDefault="00307BCF">
    <w:pPr>
      <w:pStyle w:val="Header"/>
    </w:pPr>
    <w:r>
      <w:rPr>
        <w:noProof/>
        <w:lang w:val="es"/>
      </w:rPr>
      <w:pict w14:anchorId="20E16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EF1A662E">
      <w:start w:val="1"/>
      <w:numFmt w:val="lowerRoman"/>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4B546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6008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8"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01B97"/>
    <w:multiLevelType w:val="hybridMultilevel"/>
    <w:tmpl w:val="5A52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7A104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ADEE1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6310304B"/>
    <w:multiLevelType w:val="hybridMultilevel"/>
    <w:tmpl w:val="0E3EBF24"/>
    <w:lvl w:ilvl="0" w:tplc="7376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7ACD"/>
    <w:rsid w:val="0008392E"/>
    <w:rsid w:val="000844CA"/>
    <w:rsid w:val="00087E0C"/>
    <w:rsid w:val="00090015"/>
    <w:rsid w:val="00091932"/>
    <w:rsid w:val="0009197F"/>
    <w:rsid w:val="00094770"/>
    <w:rsid w:val="000A1F79"/>
    <w:rsid w:val="000A2A27"/>
    <w:rsid w:val="000A65E1"/>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32EB"/>
    <w:rsid w:val="002C3909"/>
    <w:rsid w:val="002C7F0E"/>
    <w:rsid w:val="002D03EF"/>
    <w:rsid w:val="002D30ED"/>
    <w:rsid w:val="002D48CB"/>
    <w:rsid w:val="002D649D"/>
    <w:rsid w:val="002D6E4D"/>
    <w:rsid w:val="002E07D5"/>
    <w:rsid w:val="002E12D1"/>
    <w:rsid w:val="002E231C"/>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BCF"/>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F8F"/>
    <w:rsid w:val="00376FC8"/>
    <w:rsid w:val="00381405"/>
    <w:rsid w:val="00383A1F"/>
    <w:rsid w:val="003842B0"/>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666D"/>
    <w:rsid w:val="0049714A"/>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B0A4B"/>
    <w:rsid w:val="005B1BF0"/>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4B66"/>
    <w:rsid w:val="007069BF"/>
    <w:rsid w:val="00713B43"/>
    <w:rsid w:val="007143B1"/>
    <w:rsid w:val="00714B7F"/>
    <w:rsid w:val="00714EC4"/>
    <w:rsid w:val="007154B0"/>
    <w:rsid w:val="00717404"/>
    <w:rsid w:val="00720810"/>
    <w:rsid w:val="00721EBF"/>
    <w:rsid w:val="00722F75"/>
    <w:rsid w:val="00723CD2"/>
    <w:rsid w:val="00726680"/>
    <w:rsid w:val="00727E4F"/>
    <w:rsid w:val="0073247C"/>
    <w:rsid w:val="00734572"/>
    <w:rsid w:val="00735B75"/>
    <w:rsid w:val="00736603"/>
    <w:rsid w:val="0074090E"/>
    <w:rsid w:val="00740DE6"/>
    <w:rsid w:val="0074104A"/>
    <w:rsid w:val="0074128A"/>
    <w:rsid w:val="00745326"/>
    <w:rsid w:val="007501A0"/>
    <w:rsid w:val="0075158F"/>
    <w:rsid w:val="00752B8E"/>
    <w:rsid w:val="00752BC7"/>
    <w:rsid w:val="00753929"/>
    <w:rsid w:val="00754C31"/>
    <w:rsid w:val="00755B2B"/>
    <w:rsid w:val="00757B14"/>
    <w:rsid w:val="00761965"/>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0103"/>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4A4"/>
    <w:rsid w:val="008C6F8F"/>
    <w:rsid w:val="008D191D"/>
    <w:rsid w:val="008D1F98"/>
    <w:rsid w:val="008D26C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653F"/>
    <w:rsid w:val="009A7C1F"/>
    <w:rsid w:val="009B077C"/>
    <w:rsid w:val="009B490B"/>
    <w:rsid w:val="009B4EE4"/>
    <w:rsid w:val="009B5DB3"/>
    <w:rsid w:val="009C000C"/>
    <w:rsid w:val="009C16DD"/>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770D"/>
    <w:rsid w:val="00B30062"/>
    <w:rsid w:val="00B30846"/>
    <w:rsid w:val="00B30B75"/>
    <w:rsid w:val="00B363C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D0007A"/>
    <w:rsid w:val="00D01344"/>
    <w:rsid w:val="00D0165E"/>
    <w:rsid w:val="00D03A4F"/>
    <w:rsid w:val="00D04434"/>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4FF69B"/>
  <w15:chartTrackingRefBased/>
  <w15:docId w15:val="{14055F17-56E8-473B-8B10-292F651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6A0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9380">
      <w:bodyDiv w:val="1"/>
      <w:marLeft w:val="0"/>
      <w:marRight w:val="0"/>
      <w:marTop w:val="0"/>
      <w:marBottom w:val="0"/>
      <w:divBdr>
        <w:top w:val="none" w:sz="0" w:space="0" w:color="auto"/>
        <w:left w:val="none" w:sz="0" w:space="0" w:color="auto"/>
        <w:bottom w:val="none" w:sz="0" w:space="0" w:color="auto"/>
        <w:right w:val="none" w:sz="0" w:space="0" w:color="auto"/>
      </w:divBdr>
    </w:div>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266929716">
      <w:bodyDiv w:val="1"/>
      <w:marLeft w:val="0"/>
      <w:marRight w:val="0"/>
      <w:marTop w:val="0"/>
      <w:marBottom w:val="0"/>
      <w:divBdr>
        <w:top w:val="none" w:sz="0" w:space="0" w:color="auto"/>
        <w:left w:val="none" w:sz="0" w:space="0" w:color="auto"/>
        <w:bottom w:val="none" w:sz="0" w:space="0" w:color="auto"/>
        <w:right w:val="none" w:sz="0" w:space="0" w:color="auto"/>
      </w:divBdr>
    </w:div>
    <w:div w:id="393117409">
      <w:bodyDiv w:val="1"/>
      <w:marLeft w:val="0"/>
      <w:marRight w:val="0"/>
      <w:marTop w:val="0"/>
      <w:marBottom w:val="0"/>
      <w:divBdr>
        <w:top w:val="none" w:sz="0" w:space="0" w:color="auto"/>
        <w:left w:val="none" w:sz="0" w:space="0" w:color="auto"/>
        <w:bottom w:val="none" w:sz="0" w:space="0" w:color="auto"/>
        <w:right w:val="none" w:sz="0" w:space="0" w:color="auto"/>
      </w:divBdr>
      <w:divsChild>
        <w:div w:id="540437005">
          <w:marLeft w:val="0"/>
          <w:marRight w:val="0"/>
          <w:marTop w:val="0"/>
          <w:marBottom w:val="0"/>
          <w:divBdr>
            <w:top w:val="none" w:sz="0" w:space="0" w:color="auto"/>
            <w:left w:val="none" w:sz="0" w:space="0" w:color="auto"/>
            <w:bottom w:val="none" w:sz="0" w:space="0" w:color="auto"/>
            <w:right w:val="none" w:sz="0" w:space="0" w:color="auto"/>
          </w:divBdr>
        </w:div>
      </w:divsChild>
    </w:div>
    <w:div w:id="472598037">
      <w:bodyDiv w:val="1"/>
      <w:marLeft w:val="0"/>
      <w:marRight w:val="0"/>
      <w:marTop w:val="0"/>
      <w:marBottom w:val="0"/>
      <w:divBdr>
        <w:top w:val="none" w:sz="0" w:space="0" w:color="auto"/>
        <w:left w:val="none" w:sz="0" w:space="0" w:color="auto"/>
        <w:bottom w:val="none" w:sz="0" w:space="0" w:color="auto"/>
        <w:right w:val="none" w:sz="0" w:space="0" w:color="auto"/>
      </w:divBdr>
      <w:divsChild>
        <w:div w:id="57168392">
          <w:marLeft w:val="0"/>
          <w:marRight w:val="0"/>
          <w:marTop w:val="120"/>
          <w:marBottom w:val="0"/>
          <w:divBdr>
            <w:top w:val="none" w:sz="0" w:space="0" w:color="auto"/>
            <w:left w:val="none" w:sz="0" w:space="0" w:color="auto"/>
            <w:bottom w:val="none" w:sz="0" w:space="0" w:color="auto"/>
            <w:right w:val="none" w:sz="0" w:space="0" w:color="auto"/>
          </w:divBdr>
          <w:divsChild>
            <w:div w:id="189418576">
              <w:marLeft w:val="0"/>
              <w:marRight w:val="0"/>
              <w:marTop w:val="0"/>
              <w:marBottom w:val="0"/>
              <w:divBdr>
                <w:top w:val="none" w:sz="0" w:space="0" w:color="auto"/>
                <w:left w:val="none" w:sz="0" w:space="0" w:color="auto"/>
                <w:bottom w:val="none" w:sz="0" w:space="0" w:color="auto"/>
                <w:right w:val="none" w:sz="0" w:space="0" w:color="auto"/>
              </w:divBdr>
            </w:div>
            <w:div w:id="457649368">
              <w:marLeft w:val="0"/>
              <w:marRight w:val="0"/>
              <w:marTop w:val="0"/>
              <w:marBottom w:val="0"/>
              <w:divBdr>
                <w:top w:val="none" w:sz="0" w:space="0" w:color="auto"/>
                <w:left w:val="none" w:sz="0" w:space="0" w:color="auto"/>
                <w:bottom w:val="none" w:sz="0" w:space="0" w:color="auto"/>
                <w:right w:val="none" w:sz="0" w:space="0" w:color="auto"/>
              </w:divBdr>
            </w:div>
            <w:div w:id="741413885">
              <w:marLeft w:val="0"/>
              <w:marRight w:val="0"/>
              <w:marTop w:val="0"/>
              <w:marBottom w:val="0"/>
              <w:divBdr>
                <w:top w:val="none" w:sz="0" w:space="0" w:color="auto"/>
                <w:left w:val="none" w:sz="0" w:space="0" w:color="auto"/>
                <w:bottom w:val="none" w:sz="0" w:space="0" w:color="auto"/>
                <w:right w:val="none" w:sz="0" w:space="0" w:color="auto"/>
              </w:divBdr>
            </w:div>
            <w:div w:id="873886393">
              <w:marLeft w:val="0"/>
              <w:marRight w:val="0"/>
              <w:marTop w:val="0"/>
              <w:marBottom w:val="0"/>
              <w:divBdr>
                <w:top w:val="none" w:sz="0" w:space="0" w:color="auto"/>
                <w:left w:val="none" w:sz="0" w:space="0" w:color="auto"/>
                <w:bottom w:val="none" w:sz="0" w:space="0" w:color="auto"/>
                <w:right w:val="none" w:sz="0" w:space="0" w:color="auto"/>
              </w:divBdr>
            </w:div>
            <w:div w:id="1415855452">
              <w:marLeft w:val="0"/>
              <w:marRight w:val="0"/>
              <w:marTop w:val="0"/>
              <w:marBottom w:val="0"/>
              <w:divBdr>
                <w:top w:val="none" w:sz="0" w:space="0" w:color="auto"/>
                <w:left w:val="none" w:sz="0" w:space="0" w:color="auto"/>
                <w:bottom w:val="none" w:sz="0" w:space="0" w:color="auto"/>
                <w:right w:val="none" w:sz="0" w:space="0" w:color="auto"/>
              </w:divBdr>
            </w:div>
            <w:div w:id="1490437789">
              <w:marLeft w:val="0"/>
              <w:marRight w:val="0"/>
              <w:marTop w:val="0"/>
              <w:marBottom w:val="0"/>
              <w:divBdr>
                <w:top w:val="none" w:sz="0" w:space="0" w:color="auto"/>
                <w:left w:val="none" w:sz="0" w:space="0" w:color="auto"/>
                <w:bottom w:val="none" w:sz="0" w:space="0" w:color="auto"/>
                <w:right w:val="none" w:sz="0" w:space="0" w:color="auto"/>
              </w:divBdr>
            </w:div>
            <w:div w:id="1700006410">
              <w:marLeft w:val="600"/>
              <w:marRight w:val="0"/>
              <w:marTop w:val="0"/>
              <w:marBottom w:val="0"/>
              <w:divBdr>
                <w:top w:val="none" w:sz="0" w:space="0" w:color="auto"/>
                <w:left w:val="none" w:sz="0" w:space="0" w:color="auto"/>
                <w:bottom w:val="none" w:sz="0" w:space="0" w:color="auto"/>
                <w:right w:val="none" w:sz="0" w:space="0" w:color="auto"/>
              </w:divBdr>
            </w:div>
            <w:div w:id="1926576070">
              <w:marLeft w:val="0"/>
              <w:marRight w:val="0"/>
              <w:marTop w:val="0"/>
              <w:marBottom w:val="0"/>
              <w:divBdr>
                <w:top w:val="none" w:sz="0" w:space="0" w:color="auto"/>
                <w:left w:val="none" w:sz="0" w:space="0" w:color="auto"/>
                <w:bottom w:val="none" w:sz="0" w:space="0" w:color="auto"/>
                <w:right w:val="none" w:sz="0" w:space="0" w:color="auto"/>
              </w:divBdr>
            </w:div>
            <w:div w:id="21255408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497309941">
      <w:bodyDiv w:val="1"/>
      <w:marLeft w:val="0"/>
      <w:marRight w:val="0"/>
      <w:marTop w:val="0"/>
      <w:marBottom w:val="0"/>
      <w:divBdr>
        <w:top w:val="none" w:sz="0" w:space="0" w:color="auto"/>
        <w:left w:val="none" w:sz="0" w:space="0" w:color="auto"/>
        <w:bottom w:val="none" w:sz="0" w:space="0" w:color="auto"/>
        <w:right w:val="none" w:sz="0" w:space="0" w:color="auto"/>
      </w:divBdr>
      <w:divsChild>
        <w:div w:id="1848909323">
          <w:marLeft w:val="0"/>
          <w:marRight w:val="0"/>
          <w:marTop w:val="120"/>
          <w:marBottom w:val="0"/>
          <w:divBdr>
            <w:top w:val="none" w:sz="0" w:space="0" w:color="auto"/>
            <w:left w:val="none" w:sz="0" w:space="0" w:color="auto"/>
            <w:bottom w:val="none" w:sz="0" w:space="0" w:color="auto"/>
            <w:right w:val="none" w:sz="0" w:space="0" w:color="auto"/>
          </w:divBdr>
          <w:divsChild>
            <w:div w:id="179975850">
              <w:marLeft w:val="0"/>
              <w:marRight w:val="0"/>
              <w:marTop w:val="0"/>
              <w:marBottom w:val="0"/>
              <w:divBdr>
                <w:top w:val="none" w:sz="0" w:space="0" w:color="auto"/>
                <w:left w:val="none" w:sz="0" w:space="0" w:color="auto"/>
                <w:bottom w:val="none" w:sz="0" w:space="0" w:color="auto"/>
                <w:right w:val="none" w:sz="0" w:space="0" w:color="auto"/>
              </w:divBdr>
            </w:div>
            <w:div w:id="302661639">
              <w:marLeft w:val="0"/>
              <w:marRight w:val="0"/>
              <w:marTop w:val="0"/>
              <w:marBottom w:val="0"/>
              <w:divBdr>
                <w:top w:val="none" w:sz="0" w:space="0" w:color="auto"/>
                <w:left w:val="none" w:sz="0" w:space="0" w:color="auto"/>
                <w:bottom w:val="none" w:sz="0" w:space="0" w:color="auto"/>
                <w:right w:val="none" w:sz="0" w:space="0" w:color="auto"/>
              </w:divBdr>
            </w:div>
            <w:div w:id="420489425">
              <w:marLeft w:val="0"/>
              <w:marRight w:val="0"/>
              <w:marTop w:val="0"/>
              <w:marBottom w:val="0"/>
              <w:divBdr>
                <w:top w:val="none" w:sz="0" w:space="0" w:color="auto"/>
                <w:left w:val="none" w:sz="0" w:space="0" w:color="auto"/>
                <w:bottom w:val="none" w:sz="0" w:space="0" w:color="auto"/>
                <w:right w:val="none" w:sz="0" w:space="0" w:color="auto"/>
              </w:divBdr>
            </w:div>
            <w:div w:id="671684813">
              <w:marLeft w:val="600"/>
              <w:marRight w:val="0"/>
              <w:marTop w:val="0"/>
              <w:marBottom w:val="0"/>
              <w:divBdr>
                <w:top w:val="none" w:sz="0" w:space="0" w:color="auto"/>
                <w:left w:val="none" w:sz="0" w:space="0" w:color="auto"/>
                <w:bottom w:val="none" w:sz="0" w:space="0" w:color="auto"/>
                <w:right w:val="none" w:sz="0" w:space="0" w:color="auto"/>
              </w:divBdr>
            </w:div>
            <w:div w:id="938105043">
              <w:marLeft w:val="600"/>
              <w:marRight w:val="0"/>
              <w:marTop w:val="0"/>
              <w:marBottom w:val="0"/>
              <w:divBdr>
                <w:top w:val="none" w:sz="0" w:space="0" w:color="auto"/>
                <w:left w:val="none" w:sz="0" w:space="0" w:color="auto"/>
                <w:bottom w:val="none" w:sz="0" w:space="0" w:color="auto"/>
                <w:right w:val="none" w:sz="0" w:space="0" w:color="auto"/>
              </w:divBdr>
            </w:div>
            <w:div w:id="1154299760">
              <w:marLeft w:val="600"/>
              <w:marRight w:val="0"/>
              <w:marTop w:val="0"/>
              <w:marBottom w:val="0"/>
              <w:divBdr>
                <w:top w:val="none" w:sz="0" w:space="0" w:color="auto"/>
                <w:left w:val="none" w:sz="0" w:space="0" w:color="auto"/>
                <w:bottom w:val="none" w:sz="0" w:space="0" w:color="auto"/>
                <w:right w:val="none" w:sz="0" w:space="0" w:color="auto"/>
              </w:divBdr>
            </w:div>
            <w:div w:id="1229149275">
              <w:marLeft w:val="600"/>
              <w:marRight w:val="0"/>
              <w:marTop w:val="0"/>
              <w:marBottom w:val="0"/>
              <w:divBdr>
                <w:top w:val="none" w:sz="0" w:space="0" w:color="auto"/>
                <w:left w:val="none" w:sz="0" w:space="0" w:color="auto"/>
                <w:bottom w:val="none" w:sz="0" w:space="0" w:color="auto"/>
                <w:right w:val="none" w:sz="0" w:space="0" w:color="auto"/>
              </w:divBdr>
            </w:div>
            <w:div w:id="1242642052">
              <w:marLeft w:val="1200"/>
              <w:marRight w:val="0"/>
              <w:marTop w:val="0"/>
              <w:marBottom w:val="0"/>
              <w:divBdr>
                <w:top w:val="none" w:sz="0" w:space="0" w:color="auto"/>
                <w:left w:val="none" w:sz="0" w:space="0" w:color="auto"/>
                <w:bottom w:val="none" w:sz="0" w:space="0" w:color="auto"/>
                <w:right w:val="none" w:sz="0" w:space="0" w:color="auto"/>
              </w:divBdr>
            </w:div>
            <w:div w:id="1265308859">
              <w:marLeft w:val="600"/>
              <w:marRight w:val="0"/>
              <w:marTop w:val="0"/>
              <w:marBottom w:val="0"/>
              <w:divBdr>
                <w:top w:val="none" w:sz="0" w:space="0" w:color="auto"/>
                <w:left w:val="none" w:sz="0" w:space="0" w:color="auto"/>
                <w:bottom w:val="none" w:sz="0" w:space="0" w:color="auto"/>
                <w:right w:val="none" w:sz="0" w:space="0" w:color="auto"/>
              </w:divBdr>
            </w:div>
            <w:div w:id="1378121221">
              <w:marLeft w:val="1200"/>
              <w:marRight w:val="0"/>
              <w:marTop w:val="0"/>
              <w:marBottom w:val="0"/>
              <w:divBdr>
                <w:top w:val="none" w:sz="0" w:space="0" w:color="auto"/>
                <w:left w:val="none" w:sz="0" w:space="0" w:color="auto"/>
                <w:bottom w:val="none" w:sz="0" w:space="0" w:color="auto"/>
                <w:right w:val="none" w:sz="0" w:space="0" w:color="auto"/>
              </w:divBdr>
            </w:div>
            <w:div w:id="1787315288">
              <w:marLeft w:val="600"/>
              <w:marRight w:val="0"/>
              <w:marTop w:val="0"/>
              <w:marBottom w:val="0"/>
              <w:divBdr>
                <w:top w:val="none" w:sz="0" w:space="0" w:color="auto"/>
                <w:left w:val="none" w:sz="0" w:space="0" w:color="auto"/>
                <w:bottom w:val="none" w:sz="0" w:space="0" w:color="auto"/>
                <w:right w:val="none" w:sz="0" w:space="0" w:color="auto"/>
              </w:divBdr>
            </w:div>
            <w:div w:id="1926064353">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20590160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747338868">
      <w:bodyDiv w:val="1"/>
      <w:marLeft w:val="0"/>
      <w:marRight w:val="0"/>
      <w:marTop w:val="0"/>
      <w:marBottom w:val="0"/>
      <w:divBdr>
        <w:top w:val="none" w:sz="0" w:space="0" w:color="auto"/>
        <w:left w:val="none" w:sz="0" w:space="0" w:color="auto"/>
        <w:bottom w:val="none" w:sz="0" w:space="0" w:color="auto"/>
        <w:right w:val="none" w:sz="0" w:space="0" w:color="auto"/>
      </w:divBdr>
    </w:div>
    <w:div w:id="1004086556">
      <w:bodyDiv w:val="1"/>
      <w:marLeft w:val="0"/>
      <w:marRight w:val="0"/>
      <w:marTop w:val="0"/>
      <w:marBottom w:val="0"/>
      <w:divBdr>
        <w:top w:val="none" w:sz="0" w:space="0" w:color="auto"/>
        <w:left w:val="none" w:sz="0" w:space="0" w:color="auto"/>
        <w:bottom w:val="none" w:sz="0" w:space="0" w:color="auto"/>
        <w:right w:val="none" w:sz="0" w:space="0" w:color="auto"/>
      </w:divBdr>
    </w:div>
    <w:div w:id="1039210220">
      <w:bodyDiv w:val="1"/>
      <w:marLeft w:val="0"/>
      <w:marRight w:val="0"/>
      <w:marTop w:val="0"/>
      <w:marBottom w:val="0"/>
      <w:divBdr>
        <w:top w:val="none" w:sz="0" w:space="0" w:color="auto"/>
        <w:left w:val="none" w:sz="0" w:space="0" w:color="auto"/>
        <w:bottom w:val="none" w:sz="0" w:space="0" w:color="auto"/>
        <w:right w:val="none" w:sz="0" w:space="0" w:color="auto"/>
      </w:divBdr>
    </w:div>
    <w:div w:id="1090545151">
      <w:bodyDiv w:val="1"/>
      <w:marLeft w:val="0"/>
      <w:marRight w:val="0"/>
      <w:marTop w:val="0"/>
      <w:marBottom w:val="0"/>
      <w:divBdr>
        <w:top w:val="none" w:sz="0" w:space="0" w:color="auto"/>
        <w:left w:val="none" w:sz="0" w:space="0" w:color="auto"/>
        <w:bottom w:val="none" w:sz="0" w:space="0" w:color="auto"/>
        <w:right w:val="none" w:sz="0" w:space="0" w:color="auto"/>
      </w:divBdr>
    </w:div>
    <w:div w:id="1165121226">
      <w:bodyDiv w:val="1"/>
      <w:marLeft w:val="0"/>
      <w:marRight w:val="0"/>
      <w:marTop w:val="0"/>
      <w:marBottom w:val="0"/>
      <w:divBdr>
        <w:top w:val="none" w:sz="0" w:space="0" w:color="auto"/>
        <w:left w:val="none" w:sz="0" w:space="0" w:color="auto"/>
        <w:bottom w:val="none" w:sz="0" w:space="0" w:color="auto"/>
        <w:right w:val="none" w:sz="0" w:space="0" w:color="auto"/>
      </w:divBdr>
      <w:divsChild>
        <w:div w:id="285475446">
          <w:marLeft w:val="600"/>
          <w:marRight w:val="0"/>
          <w:marTop w:val="0"/>
          <w:marBottom w:val="0"/>
          <w:divBdr>
            <w:top w:val="none" w:sz="0" w:space="0" w:color="auto"/>
            <w:left w:val="none" w:sz="0" w:space="0" w:color="auto"/>
            <w:bottom w:val="none" w:sz="0" w:space="0" w:color="auto"/>
            <w:right w:val="none" w:sz="0" w:space="0" w:color="auto"/>
          </w:divBdr>
        </w:div>
        <w:div w:id="344790104">
          <w:marLeft w:val="0"/>
          <w:marRight w:val="0"/>
          <w:marTop w:val="0"/>
          <w:marBottom w:val="0"/>
          <w:divBdr>
            <w:top w:val="none" w:sz="0" w:space="0" w:color="auto"/>
            <w:left w:val="none" w:sz="0" w:space="0" w:color="auto"/>
            <w:bottom w:val="none" w:sz="0" w:space="0" w:color="auto"/>
            <w:right w:val="none" w:sz="0" w:space="0" w:color="auto"/>
          </w:divBdr>
        </w:div>
        <w:div w:id="1744402672">
          <w:marLeft w:val="600"/>
          <w:marRight w:val="0"/>
          <w:marTop w:val="0"/>
          <w:marBottom w:val="0"/>
          <w:divBdr>
            <w:top w:val="none" w:sz="0" w:space="0" w:color="auto"/>
            <w:left w:val="none" w:sz="0" w:space="0" w:color="auto"/>
            <w:bottom w:val="none" w:sz="0" w:space="0" w:color="auto"/>
            <w:right w:val="none" w:sz="0" w:space="0" w:color="auto"/>
          </w:divBdr>
        </w:div>
      </w:divsChild>
    </w:div>
    <w:div w:id="1214610677">
      <w:bodyDiv w:val="1"/>
      <w:marLeft w:val="0"/>
      <w:marRight w:val="0"/>
      <w:marTop w:val="0"/>
      <w:marBottom w:val="0"/>
      <w:divBdr>
        <w:top w:val="none" w:sz="0" w:space="0" w:color="auto"/>
        <w:left w:val="none" w:sz="0" w:space="0" w:color="auto"/>
        <w:bottom w:val="none" w:sz="0" w:space="0" w:color="auto"/>
        <w:right w:val="none" w:sz="0" w:space="0" w:color="auto"/>
      </w:divBdr>
    </w:div>
    <w:div w:id="1225869278">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37264265">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1564566007">
      <w:bodyDiv w:val="1"/>
      <w:marLeft w:val="0"/>
      <w:marRight w:val="0"/>
      <w:marTop w:val="0"/>
      <w:marBottom w:val="0"/>
      <w:divBdr>
        <w:top w:val="none" w:sz="0" w:space="0" w:color="auto"/>
        <w:left w:val="none" w:sz="0" w:space="0" w:color="auto"/>
        <w:bottom w:val="none" w:sz="0" w:space="0" w:color="auto"/>
        <w:right w:val="none" w:sz="0" w:space="0" w:color="auto"/>
      </w:divBdr>
    </w:div>
    <w:div w:id="1669943039">
      <w:bodyDiv w:val="1"/>
      <w:marLeft w:val="0"/>
      <w:marRight w:val="0"/>
      <w:marTop w:val="0"/>
      <w:marBottom w:val="0"/>
      <w:divBdr>
        <w:top w:val="none" w:sz="0" w:space="0" w:color="auto"/>
        <w:left w:val="none" w:sz="0" w:space="0" w:color="auto"/>
        <w:bottom w:val="none" w:sz="0" w:space="0" w:color="auto"/>
        <w:right w:val="none" w:sz="0" w:space="0" w:color="auto"/>
      </w:divBdr>
      <w:divsChild>
        <w:div w:id="1923367116">
          <w:marLeft w:val="0"/>
          <w:marRight w:val="0"/>
          <w:marTop w:val="0"/>
          <w:marBottom w:val="300"/>
          <w:divBdr>
            <w:top w:val="none" w:sz="0" w:space="0" w:color="auto"/>
            <w:left w:val="none" w:sz="0" w:space="0" w:color="auto"/>
            <w:bottom w:val="none" w:sz="0" w:space="0" w:color="auto"/>
            <w:right w:val="none" w:sz="0" w:space="0" w:color="auto"/>
          </w:divBdr>
        </w:div>
      </w:divsChild>
    </w:div>
    <w:div w:id="1713728885">
      <w:bodyDiv w:val="1"/>
      <w:marLeft w:val="0"/>
      <w:marRight w:val="0"/>
      <w:marTop w:val="0"/>
      <w:marBottom w:val="0"/>
      <w:divBdr>
        <w:top w:val="none" w:sz="0" w:space="0" w:color="auto"/>
        <w:left w:val="none" w:sz="0" w:space="0" w:color="auto"/>
        <w:bottom w:val="none" w:sz="0" w:space="0" w:color="auto"/>
        <w:right w:val="none" w:sz="0" w:space="0" w:color="auto"/>
      </w:divBdr>
    </w:div>
    <w:div w:id="1722703529">
      <w:bodyDiv w:val="1"/>
      <w:marLeft w:val="0"/>
      <w:marRight w:val="0"/>
      <w:marTop w:val="0"/>
      <w:marBottom w:val="0"/>
      <w:divBdr>
        <w:top w:val="none" w:sz="0" w:space="0" w:color="auto"/>
        <w:left w:val="none" w:sz="0" w:space="0" w:color="auto"/>
        <w:bottom w:val="none" w:sz="0" w:space="0" w:color="auto"/>
        <w:right w:val="none" w:sz="0" w:space="0" w:color="auto"/>
      </w:divBdr>
      <w:divsChild>
        <w:div w:id="476846692">
          <w:marLeft w:val="1200"/>
          <w:marRight w:val="0"/>
          <w:marTop w:val="0"/>
          <w:marBottom w:val="0"/>
          <w:divBdr>
            <w:top w:val="none" w:sz="0" w:space="0" w:color="auto"/>
            <w:left w:val="none" w:sz="0" w:space="0" w:color="auto"/>
            <w:bottom w:val="none" w:sz="0" w:space="0" w:color="auto"/>
            <w:right w:val="none" w:sz="0" w:space="0" w:color="auto"/>
          </w:divBdr>
        </w:div>
        <w:div w:id="491799677">
          <w:marLeft w:val="600"/>
          <w:marRight w:val="0"/>
          <w:marTop w:val="0"/>
          <w:marBottom w:val="0"/>
          <w:divBdr>
            <w:top w:val="none" w:sz="0" w:space="0" w:color="auto"/>
            <w:left w:val="none" w:sz="0" w:space="0" w:color="auto"/>
            <w:bottom w:val="none" w:sz="0" w:space="0" w:color="auto"/>
            <w:right w:val="none" w:sz="0" w:space="0" w:color="auto"/>
          </w:divBdr>
        </w:div>
        <w:div w:id="628171896">
          <w:marLeft w:val="0"/>
          <w:marRight w:val="0"/>
          <w:marTop w:val="0"/>
          <w:marBottom w:val="0"/>
          <w:divBdr>
            <w:top w:val="none" w:sz="0" w:space="0" w:color="auto"/>
            <w:left w:val="none" w:sz="0" w:space="0" w:color="auto"/>
            <w:bottom w:val="none" w:sz="0" w:space="0" w:color="auto"/>
            <w:right w:val="none" w:sz="0" w:space="0" w:color="auto"/>
          </w:divBdr>
        </w:div>
        <w:div w:id="1813787057">
          <w:marLeft w:val="1200"/>
          <w:marRight w:val="0"/>
          <w:marTop w:val="0"/>
          <w:marBottom w:val="0"/>
          <w:divBdr>
            <w:top w:val="none" w:sz="0" w:space="0" w:color="auto"/>
            <w:left w:val="none" w:sz="0" w:space="0" w:color="auto"/>
            <w:bottom w:val="none" w:sz="0" w:space="0" w:color="auto"/>
            <w:right w:val="none" w:sz="0" w:space="0" w:color="auto"/>
          </w:divBdr>
        </w:div>
      </w:divsChild>
    </w:div>
    <w:div w:id="1826847818">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ped/proshare/" TargetMode="External"/><Relationship Id="rId18" Type="http://schemas.openxmlformats.org/officeDocument/2006/relationships/hyperlink" Target="https://sites.ed.gov/idea/idea-files/rts-qa-child-find-part-b-08-24-20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sites.ed.gov/idea/idea-files/rts-qa-child-find-part-b-08-24-2021/"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B/Section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sped/proshare/sample-childfind.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advisories/2018-1.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Props1.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2.xml><?xml version="1.0" encoding="utf-8"?>
<ds:datastoreItem xmlns:ds="http://schemas.openxmlformats.org/officeDocument/2006/customXml" ds:itemID="{F3CAA128-7AFA-4CBA-A2FD-32A3FBAD28CC}">
  <ds:schemaRefs>
    <ds:schemaRef ds:uri="http://schemas.openxmlformats.org/officeDocument/2006/bibliography"/>
  </ds:schemaRefs>
</ds:datastoreItem>
</file>

<file path=customXml/itemProps3.xml><?xml version="1.0" encoding="utf-8"?>
<ds:datastoreItem xmlns:ds="http://schemas.openxmlformats.org/officeDocument/2006/customXml" ds:itemID="{252AAB7F-DC53-400D-B939-554E9F579BD7}">
  <ds:schemaRefs>
    <ds:schemaRef ds:uri="http://schemas.microsoft.com/sharepoint/events"/>
  </ds:schemaRefs>
</ds:datastoreItem>
</file>

<file path=customXml/itemProps4.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855</Words>
  <Characters>4747</Characters>
  <Application>Microsoft Office Word</Application>
  <DocSecurity>0</DocSecurity>
  <Lines>65</Lines>
  <Paragraphs>11</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Spanish</dc:title>
  <dc:subject/>
  <dc:creator>DESE</dc:creator>
  <cp:keywords/>
  <dc:description/>
  <cp:lastModifiedBy>Zou, Dong (EOE)</cp:lastModifiedBy>
  <cp:revision>7</cp:revision>
  <dcterms:created xsi:type="dcterms:W3CDTF">2021-11-16T15:30:00Z</dcterms:created>
  <dcterms:modified xsi:type="dcterms:W3CDTF">2021-11-23T00:11:00Z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