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F05B" w14:textId="77777777" w:rsidR="009D0399" w:rsidRPr="001E79F6" w:rsidRDefault="00C321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32"/>
          <w:szCs w:val="28"/>
        </w:rPr>
      </w:pPr>
      <w:bookmarkStart w:id="0" w:name="_GoBack"/>
      <w:bookmarkEnd w:id="0"/>
      <w:r w:rsidRPr="001E79F6">
        <w:rPr>
          <w:rFonts w:ascii="Arial" w:eastAsia="Arial" w:hAnsi="Arial" w:cs="Arial"/>
          <w:b/>
          <w:sz w:val="32"/>
          <w:szCs w:val="28"/>
        </w:rPr>
        <w:t xml:space="preserve">Science and Technology/Engineering Task Development Rubric </w:t>
      </w:r>
    </w:p>
    <w:p w14:paraId="0DEAE7E2" w14:textId="77777777" w:rsidR="001E79F6" w:rsidRPr="001E79F6" w:rsidRDefault="001E7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sz w:val="6"/>
          <w:szCs w:val="6"/>
        </w:rPr>
      </w:pPr>
    </w:p>
    <w:p w14:paraId="20A28321" w14:textId="36C7112E" w:rsidR="009D0399" w:rsidRDefault="00C321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Tasks </w:t>
      </w:r>
      <w:r>
        <w:rPr>
          <w:rFonts w:ascii="Arial" w:eastAsia="Arial" w:hAnsi="Arial" w:cs="Arial"/>
          <w:b/>
          <w:sz w:val="20"/>
          <w:szCs w:val="20"/>
        </w:rPr>
        <w:t xml:space="preserve">must </w:t>
      </w:r>
      <w:r>
        <w:rPr>
          <w:rFonts w:ascii="Arial" w:eastAsia="Arial" w:hAnsi="Arial" w:cs="Arial"/>
          <w:sz w:val="20"/>
          <w:szCs w:val="20"/>
        </w:rPr>
        <w:t>be high quality in elements 1 &amp; 2; the majority of the remaining elements must be high quality.</w:t>
      </w:r>
    </w:p>
    <w:p w14:paraId="30187A4A" w14:textId="77777777" w:rsidR="001E79F6" w:rsidRPr="001E79F6" w:rsidRDefault="001E7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15000" w:type="dxa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085"/>
        <w:gridCol w:w="3705"/>
        <w:gridCol w:w="3285"/>
        <w:gridCol w:w="3120"/>
        <w:gridCol w:w="2805"/>
      </w:tblGrid>
      <w:tr w:rsidR="009D0399" w14:paraId="51274948" w14:textId="77777777" w:rsidTr="006D3866">
        <w:trPr>
          <w:trHeight w:val="520"/>
        </w:trPr>
        <w:tc>
          <w:tcPr>
            <w:tcW w:w="2085" w:type="dxa"/>
            <w:shd w:val="clear" w:color="auto" w:fill="B2A1C7" w:themeFill="accent4" w:themeFillTint="99"/>
            <w:vAlign w:val="center"/>
          </w:tcPr>
          <w:p w14:paraId="158D3D54" w14:textId="77777777" w:rsidR="009D0399" w:rsidRPr="003B15CA" w:rsidRDefault="009D0399" w:rsidP="003B15CA"/>
        </w:tc>
        <w:tc>
          <w:tcPr>
            <w:tcW w:w="3705" w:type="dxa"/>
            <w:shd w:val="clear" w:color="auto" w:fill="B2A1C7" w:themeFill="accent4" w:themeFillTint="99"/>
            <w:vAlign w:val="center"/>
          </w:tcPr>
          <w:p w14:paraId="6676816A" w14:textId="77777777" w:rsidR="009D0399" w:rsidRPr="003B15CA" w:rsidRDefault="00C32128" w:rsidP="003B15CA">
            <w:pPr>
              <w:jc w:val="center"/>
              <w:rPr>
                <w:b/>
              </w:rPr>
            </w:pPr>
            <w:r w:rsidRPr="003B15CA">
              <w:rPr>
                <w:b/>
              </w:rPr>
              <w:t>2 (High Quality)</w:t>
            </w:r>
          </w:p>
        </w:tc>
        <w:tc>
          <w:tcPr>
            <w:tcW w:w="3285" w:type="dxa"/>
            <w:shd w:val="clear" w:color="auto" w:fill="B2A1C7" w:themeFill="accent4" w:themeFillTint="99"/>
            <w:vAlign w:val="center"/>
          </w:tcPr>
          <w:p w14:paraId="6B4FA30C" w14:textId="77777777" w:rsidR="009D0399" w:rsidRPr="003B15CA" w:rsidRDefault="00C32128" w:rsidP="003B15CA">
            <w:pPr>
              <w:jc w:val="center"/>
              <w:rPr>
                <w:b/>
              </w:rPr>
            </w:pPr>
            <w:r w:rsidRPr="003B15CA">
              <w:rPr>
                <w:b/>
              </w:rPr>
              <w:t>1 (Developing Quality)</w:t>
            </w:r>
          </w:p>
        </w:tc>
        <w:tc>
          <w:tcPr>
            <w:tcW w:w="3120" w:type="dxa"/>
            <w:shd w:val="clear" w:color="auto" w:fill="B2A1C7" w:themeFill="accent4" w:themeFillTint="99"/>
            <w:vAlign w:val="center"/>
          </w:tcPr>
          <w:p w14:paraId="692EFC4B" w14:textId="77777777" w:rsidR="009D0399" w:rsidRPr="003B15CA" w:rsidRDefault="00C32128" w:rsidP="003B15CA">
            <w:pPr>
              <w:jc w:val="center"/>
              <w:rPr>
                <w:b/>
              </w:rPr>
            </w:pPr>
            <w:r w:rsidRPr="003B15CA">
              <w:rPr>
                <w:b/>
              </w:rPr>
              <w:t>0 (Low Quality)</w:t>
            </w:r>
          </w:p>
        </w:tc>
        <w:tc>
          <w:tcPr>
            <w:tcW w:w="2805" w:type="dxa"/>
            <w:shd w:val="clear" w:color="auto" w:fill="B2A1C7" w:themeFill="accent4" w:themeFillTint="99"/>
            <w:vAlign w:val="center"/>
          </w:tcPr>
          <w:p w14:paraId="4A91A9AE" w14:textId="25C86F8D" w:rsidR="009D0399" w:rsidRPr="003B15CA" w:rsidRDefault="00C32128" w:rsidP="003B15CA">
            <w:pPr>
              <w:jc w:val="center"/>
              <w:rPr>
                <w:b/>
              </w:rPr>
            </w:pPr>
            <w:r w:rsidRPr="003B15CA">
              <w:rPr>
                <w:b/>
              </w:rPr>
              <w:t>Score/Comments</w:t>
            </w:r>
          </w:p>
        </w:tc>
      </w:tr>
      <w:tr w:rsidR="009D0399" w14:paraId="4799C972" w14:textId="77777777" w:rsidTr="006D3866">
        <w:trPr>
          <w:trHeight w:val="1000"/>
        </w:trPr>
        <w:tc>
          <w:tcPr>
            <w:tcW w:w="2085" w:type="dxa"/>
            <w:shd w:val="clear" w:color="auto" w:fill="EFEFEF"/>
            <w:vAlign w:val="center"/>
          </w:tcPr>
          <w:p w14:paraId="6B333D86" w14:textId="77777777" w:rsidR="009D0399" w:rsidRDefault="00C32128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hyperlink r:id="rId10">
              <w:r>
                <w:rPr>
                  <w:b/>
                  <w:color w:val="1155CC"/>
                  <w:u w:val="single"/>
                </w:rPr>
                <w:t>STE Disciplinary Core Ideas (DCI)/Standards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3705" w:type="dxa"/>
          </w:tcPr>
          <w:p w14:paraId="27CC2CE0" w14:textId="77777777" w:rsidR="009D0399" w:rsidRDefault="00C32128">
            <w:r>
              <w:t xml:space="preserve">The task product is </w:t>
            </w:r>
            <w:r>
              <w:rPr>
                <w:b/>
                <w:i/>
                <w:u w:val="single"/>
              </w:rPr>
              <w:t>clearly</w:t>
            </w:r>
            <w:r>
              <w:t xml:space="preserve"> aligned with the 2016 STE Frameworks. </w:t>
            </w:r>
          </w:p>
        </w:tc>
        <w:tc>
          <w:tcPr>
            <w:tcW w:w="3285" w:type="dxa"/>
          </w:tcPr>
          <w:p w14:paraId="5EE25621" w14:textId="77777777" w:rsidR="009D0399" w:rsidRDefault="00C32128">
            <w:r>
              <w:t xml:space="preserve">The task product is </w:t>
            </w:r>
            <w:r>
              <w:rPr>
                <w:b/>
                <w:i/>
                <w:u w:val="single"/>
              </w:rPr>
              <w:t xml:space="preserve">somewhat </w:t>
            </w:r>
            <w:r>
              <w:t xml:space="preserve">aligned with the 2016 STE Frameworks. </w:t>
            </w:r>
          </w:p>
        </w:tc>
        <w:tc>
          <w:tcPr>
            <w:tcW w:w="3120" w:type="dxa"/>
          </w:tcPr>
          <w:p w14:paraId="2C0F1824" w14:textId="77777777" w:rsidR="009D0399" w:rsidRDefault="00C32128">
            <w:r>
              <w:t xml:space="preserve">The task product is </w:t>
            </w:r>
            <w:r>
              <w:rPr>
                <w:b/>
                <w:i/>
                <w:u w:val="single"/>
              </w:rPr>
              <w:t>not</w:t>
            </w:r>
            <w:r>
              <w:t xml:space="preserve"> aligned with the 2016 STE  Frameworks.</w:t>
            </w:r>
          </w:p>
        </w:tc>
        <w:tc>
          <w:tcPr>
            <w:tcW w:w="2805" w:type="dxa"/>
          </w:tcPr>
          <w:p w14:paraId="5A1DE2FC" w14:textId="77777777" w:rsidR="009D0399" w:rsidRDefault="009D0399"/>
        </w:tc>
      </w:tr>
      <w:tr w:rsidR="009D0399" w14:paraId="1E66E68C" w14:textId="77777777" w:rsidTr="006D3866">
        <w:trPr>
          <w:trHeight w:val="1020"/>
        </w:trPr>
        <w:tc>
          <w:tcPr>
            <w:tcW w:w="2085" w:type="dxa"/>
            <w:shd w:val="clear" w:color="auto" w:fill="EFEFEF"/>
            <w:vAlign w:val="center"/>
          </w:tcPr>
          <w:p w14:paraId="71D1E377" w14:textId="77777777" w:rsidR="009D0399" w:rsidRDefault="00C32128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hyperlink r:id="rId11">
              <w:r>
                <w:rPr>
                  <w:b/>
                  <w:color w:val="1155CC"/>
                  <w:u w:val="single"/>
                </w:rPr>
                <w:t xml:space="preserve">Science and Engineering Practices </w:t>
              </w:r>
            </w:hyperlink>
          </w:p>
        </w:tc>
        <w:tc>
          <w:tcPr>
            <w:tcW w:w="3705" w:type="dxa"/>
          </w:tcPr>
          <w:p w14:paraId="1C105042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engages</w:t>
            </w:r>
            <w:r>
              <w:t xml:space="preserve"> students deeply in one or more of the practices to make sense of the phenomenon or to solve a problem.</w:t>
            </w:r>
          </w:p>
        </w:tc>
        <w:tc>
          <w:tcPr>
            <w:tcW w:w="3285" w:type="dxa"/>
          </w:tcPr>
          <w:p w14:paraId="38E3A98D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somewhat</w:t>
            </w:r>
            <w:r>
              <w:t xml:space="preserve"> engages students to use the practices and is somewhat student centered.</w:t>
            </w:r>
          </w:p>
        </w:tc>
        <w:tc>
          <w:tcPr>
            <w:tcW w:w="3120" w:type="dxa"/>
          </w:tcPr>
          <w:p w14:paraId="10EC5B32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does not</w:t>
            </w:r>
            <w:r>
              <w:t xml:space="preserve"> involve students using any of the practices. The task is teacher centered.</w:t>
            </w:r>
          </w:p>
        </w:tc>
        <w:tc>
          <w:tcPr>
            <w:tcW w:w="2805" w:type="dxa"/>
          </w:tcPr>
          <w:p w14:paraId="56733FE4" w14:textId="77777777" w:rsidR="009D0399" w:rsidRDefault="009D0399"/>
        </w:tc>
      </w:tr>
      <w:tr w:rsidR="009D0399" w14:paraId="3052F609" w14:textId="77777777" w:rsidTr="006D3866">
        <w:trPr>
          <w:trHeight w:val="1140"/>
        </w:trPr>
        <w:tc>
          <w:tcPr>
            <w:tcW w:w="2085" w:type="dxa"/>
            <w:shd w:val="clear" w:color="auto" w:fill="EFEFEF"/>
            <w:vAlign w:val="center"/>
          </w:tcPr>
          <w:p w14:paraId="6CA73EBB" w14:textId="43F2DD3F" w:rsidR="009D0399" w:rsidRDefault="00C32128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hyperlink r:id="rId12">
              <w:r>
                <w:rPr>
                  <w:b/>
                  <w:color w:val="1155CC"/>
                  <w:u w:val="single"/>
                </w:rPr>
                <w:t>Phenomena or Problem Based</w:t>
              </w:r>
            </w:hyperlink>
          </w:p>
        </w:tc>
        <w:tc>
          <w:tcPr>
            <w:tcW w:w="3705" w:type="dxa"/>
          </w:tcPr>
          <w:p w14:paraId="671E7CC6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clearly</w:t>
            </w:r>
            <w:r>
              <w:t xml:space="preserve"> supports students in making sense of phenomena and/or in developing solutions to problems. </w:t>
            </w:r>
          </w:p>
        </w:tc>
        <w:tc>
          <w:tcPr>
            <w:tcW w:w="3285" w:type="dxa"/>
          </w:tcPr>
          <w:p w14:paraId="17A5A70D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somewhat</w:t>
            </w:r>
            <w:r>
              <w:t xml:space="preserve"> supports students in making sense of phenomena and/or solutions to problems.</w:t>
            </w:r>
          </w:p>
        </w:tc>
        <w:tc>
          <w:tcPr>
            <w:tcW w:w="3120" w:type="dxa"/>
          </w:tcPr>
          <w:p w14:paraId="49065F82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does not</w:t>
            </w:r>
            <w:r>
              <w:t xml:space="preserve"> support students in making sense of phenomena and/or solutions to problems.</w:t>
            </w:r>
          </w:p>
        </w:tc>
        <w:tc>
          <w:tcPr>
            <w:tcW w:w="2805" w:type="dxa"/>
          </w:tcPr>
          <w:p w14:paraId="148AEA80" w14:textId="77777777" w:rsidR="009D0399" w:rsidRDefault="009D0399"/>
        </w:tc>
      </w:tr>
      <w:tr w:rsidR="009D0399" w14:paraId="4B29F14A" w14:textId="77777777" w:rsidTr="006D3866">
        <w:trPr>
          <w:trHeight w:val="1040"/>
        </w:trPr>
        <w:tc>
          <w:tcPr>
            <w:tcW w:w="2085" w:type="dxa"/>
            <w:shd w:val="clear" w:color="auto" w:fill="EFEFEF"/>
            <w:vAlign w:val="center"/>
          </w:tcPr>
          <w:p w14:paraId="79B58052" w14:textId="77777777" w:rsidR="009D0399" w:rsidRDefault="00C32128">
            <w:pPr>
              <w:rPr>
                <w:b/>
              </w:rPr>
            </w:pPr>
            <w:r>
              <w:rPr>
                <w:b/>
              </w:rPr>
              <w:t>4. Relevant &amp; Authentic Context</w:t>
            </w:r>
          </w:p>
        </w:tc>
        <w:tc>
          <w:tcPr>
            <w:tcW w:w="3705" w:type="dxa"/>
          </w:tcPr>
          <w:p w14:paraId="4308CDD0" w14:textId="77777777" w:rsidR="009D0399" w:rsidRDefault="00C32128">
            <w:r>
              <w:t xml:space="preserve">The task includes a </w:t>
            </w:r>
            <w:r>
              <w:rPr>
                <w:b/>
                <w:i/>
                <w:u w:val="single"/>
              </w:rPr>
              <w:t>clearly</w:t>
            </w:r>
            <w:r>
              <w:t xml:space="preserve"> relevant and authentic/real world context.</w:t>
            </w:r>
          </w:p>
        </w:tc>
        <w:tc>
          <w:tcPr>
            <w:tcW w:w="3285" w:type="dxa"/>
          </w:tcPr>
          <w:p w14:paraId="43CC8080" w14:textId="77777777" w:rsidR="009D0399" w:rsidRDefault="00C32128">
            <w:r>
              <w:t xml:space="preserve">The task includes a </w:t>
            </w:r>
            <w:r>
              <w:rPr>
                <w:b/>
                <w:i/>
                <w:u w:val="single"/>
              </w:rPr>
              <w:t>somewhat</w:t>
            </w:r>
            <w:r>
              <w:t xml:space="preserve"> relevant and authentic/real world context.</w:t>
            </w:r>
          </w:p>
        </w:tc>
        <w:tc>
          <w:tcPr>
            <w:tcW w:w="3120" w:type="dxa"/>
          </w:tcPr>
          <w:p w14:paraId="176A8379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does</w:t>
            </w:r>
            <w:r>
              <w:rPr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not</w:t>
            </w:r>
            <w:r>
              <w:t xml:space="preserve"> include a relevant and authentic/real world context. </w:t>
            </w:r>
          </w:p>
        </w:tc>
        <w:tc>
          <w:tcPr>
            <w:tcW w:w="2805" w:type="dxa"/>
          </w:tcPr>
          <w:p w14:paraId="6C426BAE" w14:textId="77777777" w:rsidR="009D0399" w:rsidRDefault="009D0399"/>
        </w:tc>
      </w:tr>
      <w:tr w:rsidR="009D0399" w14:paraId="4ABC925B" w14:textId="77777777" w:rsidTr="006D3866">
        <w:trPr>
          <w:trHeight w:val="1040"/>
        </w:trPr>
        <w:tc>
          <w:tcPr>
            <w:tcW w:w="2085" w:type="dxa"/>
            <w:shd w:val="clear" w:color="auto" w:fill="EFEFEF"/>
            <w:vAlign w:val="center"/>
          </w:tcPr>
          <w:p w14:paraId="231A801F" w14:textId="77777777" w:rsidR="009D0399" w:rsidRDefault="00C32128">
            <w:pPr>
              <w:rPr>
                <w:b/>
              </w:rPr>
            </w:pPr>
            <w:r>
              <w:rPr>
                <w:b/>
              </w:rPr>
              <w:t>5. Cognitive Demand</w:t>
            </w:r>
          </w:p>
        </w:tc>
        <w:tc>
          <w:tcPr>
            <w:tcW w:w="3705" w:type="dxa"/>
          </w:tcPr>
          <w:p w14:paraId="4AB1EFBD" w14:textId="3EF179E4" w:rsidR="009D0399" w:rsidRDefault="00C32128">
            <w:r>
              <w:t>The task</w:t>
            </w:r>
            <w:r>
              <w:rPr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requires</w:t>
            </w:r>
            <w:r>
              <w:rPr>
                <w:b/>
                <w:i/>
              </w:rPr>
              <w:t xml:space="preserve"> </w:t>
            </w:r>
            <w:r>
              <w:t>students to select and employ higher-order thinking skills. The cognitive demand is high and is appropriate for the task.</w:t>
            </w:r>
          </w:p>
        </w:tc>
        <w:tc>
          <w:tcPr>
            <w:tcW w:w="3285" w:type="dxa"/>
          </w:tcPr>
          <w:p w14:paraId="274714A1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somewhat</w:t>
            </w:r>
            <w:r>
              <w:t xml:space="preserve"> requires students to employ higher order thinking skills. The cognitive demand is below grade level.</w:t>
            </w:r>
          </w:p>
        </w:tc>
        <w:tc>
          <w:tcPr>
            <w:tcW w:w="3120" w:type="dxa"/>
          </w:tcPr>
          <w:p w14:paraId="6CEF3EB3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does not</w:t>
            </w:r>
            <w:r>
              <w:t xml:space="preserve"> require students to employ higher-order thinking skills. The cognitive demand for the task is low.</w:t>
            </w:r>
          </w:p>
        </w:tc>
        <w:tc>
          <w:tcPr>
            <w:tcW w:w="2805" w:type="dxa"/>
          </w:tcPr>
          <w:p w14:paraId="31454D8B" w14:textId="77777777" w:rsidR="009D0399" w:rsidRDefault="009D0399"/>
        </w:tc>
      </w:tr>
      <w:tr w:rsidR="009D0399" w14:paraId="1931148C" w14:textId="77777777" w:rsidTr="006D3866">
        <w:trPr>
          <w:trHeight w:val="1440"/>
        </w:trPr>
        <w:tc>
          <w:tcPr>
            <w:tcW w:w="2085" w:type="dxa"/>
            <w:shd w:val="clear" w:color="auto" w:fill="EFEFEF"/>
            <w:vAlign w:val="center"/>
          </w:tcPr>
          <w:p w14:paraId="3F478420" w14:textId="77777777" w:rsidR="009D0399" w:rsidRDefault="00C32128">
            <w:pPr>
              <w:rPr>
                <w:b/>
              </w:rPr>
            </w:pPr>
            <w:r>
              <w:rPr>
                <w:b/>
              </w:rPr>
              <w:t>6.  Meaning Making/Reflection</w:t>
            </w:r>
          </w:p>
        </w:tc>
        <w:tc>
          <w:tcPr>
            <w:tcW w:w="3705" w:type="dxa"/>
          </w:tcPr>
          <w:p w14:paraId="35A49C03" w14:textId="77777777" w:rsidR="009D0399" w:rsidRPr="00D4456E" w:rsidRDefault="00C32128">
            <w:pPr>
              <w:rPr>
                <w:rFonts w:asciiTheme="majorHAnsi" w:hAnsiTheme="majorHAnsi" w:cstheme="majorHAnsi"/>
              </w:rPr>
            </w:pPr>
            <w:r w:rsidRPr="00D4456E">
              <w:rPr>
                <w:rFonts w:asciiTheme="majorHAnsi" w:hAnsiTheme="majorHAnsi" w:cstheme="majorHAnsi"/>
              </w:rPr>
              <w:t xml:space="preserve">The task </w:t>
            </w:r>
            <w:r w:rsidRPr="00D4456E">
              <w:rPr>
                <w:rFonts w:asciiTheme="majorHAnsi" w:hAnsiTheme="majorHAnsi" w:cstheme="majorHAnsi"/>
                <w:b/>
                <w:i/>
                <w:u w:val="single"/>
              </w:rPr>
              <w:t xml:space="preserve">requires </w:t>
            </w:r>
            <w:r w:rsidRPr="00D4456E">
              <w:rPr>
                <w:rFonts w:asciiTheme="majorHAnsi" w:hAnsiTheme="majorHAnsi" w:cstheme="majorHAnsi"/>
              </w:rPr>
              <w:t xml:space="preserve">students </w:t>
            </w:r>
            <w:r w:rsidRPr="00D4456E">
              <w:rPr>
                <w:rFonts w:asciiTheme="majorHAnsi" w:eastAsia="Arial" w:hAnsiTheme="majorHAnsi" w:cstheme="majorHAnsi"/>
                <w:color w:val="333333"/>
                <w:highlight w:val="white"/>
              </w:rPr>
              <w:t>to explain their thinking of the phenomena, the solution, or process they completed, and reflect on their learning/growth as scientists/engineers.</w:t>
            </w:r>
          </w:p>
        </w:tc>
        <w:tc>
          <w:tcPr>
            <w:tcW w:w="3285" w:type="dxa"/>
          </w:tcPr>
          <w:p w14:paraId="0701F782" w14:textId="6938B12A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somewhat</w:t>
            </w:r>
            <w:r>
              <w:t xml:space="preserve"> engages students in explaining their thinking of the phenomena,</w:t>
            </w:r>
            <w:r w:rsidR="00D4456E">
              <w:t xml:space="preserve"> </w:t>
            </w:r>
            <w:r>
              <w:t>the solution or process.</w:t>
            </w:r>
          </w:p>
        </w:tc>
        <w:tc>
          <w:tcPr>
            <w:tcW w:w="3120" w:type="dxa"/>
          </w:tcPr>
          <w:p w14:paraId="7180F696" w14:textId="77777777" w:rsidR="009D0399" w:rsidRDefault="00C32128">
            <w:r>
              <w:t xml:space="preserve">The task </w:t>
            </w:r>
            <w:r>
              <w:rPr>
                <w:b/>
                <w:i/>
                <w:u w:val="single"/>
              </w:rPr>
              <w:t>does not</w:t>
            </w:r>
            <w:r>
              <w:t xml:space="preserve"> engage students in explaining their thinking of the phenomena or the solution.</w:t>
            </w:r>
          </w:p>
        </w:tc>
        <w:tc>
          <w:tcPr>
            <w:tcW w:w="2805" w:type="dxa"/>
          </w:tcPr>
          <w:p w14:paraId="7B80D9D1" w14:textId="77777777" w:rsidR="009D0399" w:rsidRDefault="009D0399"/>
        </w:tc>
      </w:tr>
      <w:tr w:rsidR="009D0399" w14:paraId="0982473E" w14:textId="77777777" w:rsidTr="006D3866">
        <w:trPr>
          <w:trHeight w:val="840"/>
        </w:trPr>
        <w:tc>
          <w:tcPr>
            <w:tcW w:w="2085" w:type="dxa"/>
            <w:shd w:val="clear" w:color="auto" w:fill="EFEFEF"/>
            <w:vAlign w:val="center"/>
          </w:tcPr>
          <w:p w14:paraId="0AEE0ED0" w14:textId="77777777" w:rsidR="009D0399" w:rsidRDefault="00C32128">
            <w:pPr>
              <w:rPr>
                <w:b/>
              </w:rPr>
            </w:pPr>
            <w:r>
              <w:rPr>
                <w:b/>
              </w:rPr>
              <w:t xml:space="preserve">7. Accessibility </w:t>
            </w:r>
          </w:p>
        </w:tc>
        <w:tc>
          <w:tcPr>
            <w:tcW w:w="3705" w:type="dxa"/>
          </w:tcPr>
          <w:p w14:paraId="43407ED9" w14:textId="31868CC1" w:rsidR="009D0399" w:rsidRDefault="00C32128">
            <w:r>
              <w:t xml:space="preserve">The task is accessible to </w:t>
            </w:r>
            <w:r>
              <w:rPr>
                <w:b/>
                <w:i/>
                <w:u w:val="single"/>
              </w:rPr>
              <w:t xml:space="preserve">all </w:t>
            </w:r>
            <w:r>
              <w:t xml:space="preserve">students through the use of multiple entry points throughout the lesson and the use of different modalities. </w:t>
            </w:r>
          </w:p>
        </w:tc>
        <w:tc>
          <w:tcPr>
            <w:tcW w:w="3285" w:type="dxa"/>
          </w:tcPr>
          <w:p w14:paraId="25977121" w14:textId="4236206B" w:rsidR="009D0399" w:rsidRDefault="00C32128">
            <w:r>
              <w:t>The task is accessible to</w:t>
            </w:r>
            <w:r>
              <w:rPr>
                <w:b/>
                <w:i/>
                <w:u w:val="single"/>
              </w:rPr>
              <w:t xml:space="preserve"> some</w:t>
            </w:r>
            <w:r>
              <w:t xml:space="preserve"> students with limited entry points.</w:t>
            </w:r>
          </w:p>
        </w:tc>
        <w:tc>
          <w:tcPr>
            <w:tcW w:w="3120" w:type="dxa"/>
          </w:tcPr>
          <w:p w14:paraId="3DDBC712" w14:textId="77777777" w:rsidR="009D0399" w:rsidRDefault="00C32128">
            <w:r>
              <w:t>The task is</w:t>
            </w:r>
            <w:r>
              <w:rPr>
                <w:i/>
              </w:rPr>
              <w:t xml:space="preserve"> </w:t>
            </w:r>
            <w:r>
              <w:t xml:space="preserve">accessible to </w:t>
            </w:r>
            <w:r>
              <w:rPr>
                <w:b/>
                <w:u w:val="single"/>
              </w:rPr>
              <w:t xml:space="preserve">few </w:t>
            </w:r>
            <w:r>
              <w:t>students as there is only one entry point.</w:t>
            </w:r>
          </w:p>
        </w:tc>
        <w:tc>
          <w:tcPr>
            <w:tcW w:w="2805" w:type="dxa"/>
          </w:tcPr>
          <w:p w14:paraId="3370CD57" w14:textId="77777777" w:rsidR="009D0399" w:rsidRDefault="009D0399"/>
        </w:tc>
      </w:tr>
      <w:tr w:rsidR="009D0399" w14:paraId="53F443BE" w14:textId="77777777" w:rsidTr="006D3866">
        <w:trPr>
          <w:trHeight w:val="300"/>
        </w:trPr>
        <w:tc>
          <w:tcPr>
            <w:tcW w:w="2085" w:type="dxa"/>
            <w:shd w:val="clear" w:color="auto" w:fill="B2A1C7" w:themeFill="accent4" w:themeFillTint="99"/>
            <w:vAlign w:val="center"/>
          </w:tcPr>
          <w:p w14:paraId="65F3D7AF" w14:textId="77777777" w:rsidR="009D0399" w:rsidRDefault="009D0399">
            <w:pPr>
              <w:rPr>
                <w:b/>
              </w:rPr>
            </w:pPr>
          </w:p>
        </w:tc>
        <w:tc>
          <w:tcPr>
            <w:tcW w:w="3705" w:type="dxa"/>
            <w:shd w:val="clear" w:color="auto" w:fill="B2A1C7" w:themeFill="accent4" w:themeFillTint="99"/>
          </w:tcPr>
          <w:p w14:paraId="56A63D53" w14:textId="77777777" w:rsidR="009D0399" w:rsidRDefault="009D0399">
            <w:pPr>
              <w:rPr>
                <w:b/>
              </w:rPr>
            </w:pPr>
          </w:p>
        </w:tc>
        <w:tc>
          <w:tcPr>
            <w:tcW w:w="3285" w:type="dxa"/>
            <w:shd w:val="clear" w:color="auto" w:fill="B2A1C7" w:themeFill="accent4" w:themeFillTint="99"/>
          </w:tcPr>
          <w:p w14:paraId="428B7072" w14:textId="77777777" w:rsidR="009D0399" w:rsidRDefault="009D0399">
            <w:pPr>
              <w:rPr>
                <w:b/>
              </w:rPr>
            </w:pPr>
          </w:p>
        </w:tc>
        <w:tc>
          <w:tcPr>
            <w:tcW w:w="3120" w:type="dxa"/>
            <w:shd w:val="clear" w:color="auto" w:fill="B2A1C7" w:themeFill="accent4" w:themeFillTint="99"/>
          </w:tcPr>
          <w:p w14:paraId="7A659057" w14:textId="77777777" w:rsidR="009D0399" w:rsidRDefault="00C32128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05" w:type="dxa"/>
            <w:shd w:val="clear" w:color="auto" w:fill="B2A1C7" w:themeFill="accent4" w:themeFillTint="99"/>
          </w:tcPr>
          <w:p w14:paraId="255F4C06" w14:textId="77777777" w:rsidR="009D0399" w:rsidRDefault="009D0399">
            <w:pPr>
              <w:rPr>
                <w:b/>
              </w:rPr>
            </w:pPr>
          </w:p>
        </w:tc>
      </w:tr>
    </w:tbl>
    <w:p w14:paraId="2A1DBF3F" w14:textId="23CCAFC2" w:rsidR="009D0399" w:rsidRDefault="00112599" w:rsidP="001125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 xml:space="preserve"> </w:t>
      </w:r>
    </w:p>
    <w:sectPr w:rsidR="009D0399" w:rsidSect="006D3866">
      <w:footerReference w:type="default" r:id="rId13"/>
      <w:pgSz w:w="15840" w:h="12240" w:orient="landscape" w:code="1"/>
      <w:pgMar w:top="720" w:right="720" w:bottom="720" w:left="720" w:header="720" w:footer="4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9F4D2" w14:textId="77777777" w:rsidR="0019791D" w:rsidRDefault="0019791D" w:rsidP="00E96402">
      <w:pPr>
        <w:spacing w:after="0" w:line="240" w:lineRule="auto"/>
      </w:pPr>
      <w:r>
        <w:separator/>
      </w:r>
    </w:p>
  </w:endnote>
  <w:endnote w:type="continuationSeparator" w:id="0">
    <w:p w14:paraId="7F8863FC" w14:textId="77777777" w:rsidR="0019791D" w:rsidRDefault="0019791D" w:rsidP="00E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A46AC" w14:textId="734032E6" w:rsidR="00E96402" w:rsidRDefault="006D3866" w:rsidP="00E96402">
    <w:pPr>
      <w:pStyle w:val="Footer"/>
      <w:jc w:val="both"/>
    </w:pPr>
    <w:bookmarkStart w:id="1" w:name="_Hlk22562783"/>
    <w:bookmarkStart w:id="2" w:name="_Hlk22562784"/>
    <w:r>
      <w:rPr>
        <w:noProof/>
      </w:rPr>
      <w:t xml:space="preserve">        </w:t>
    </w:r>
    <w:r>
      <w:rPr>
        <w:noProof/>
      </w:rPr>
      <w:drawing>
        <wp:inline distT="0" distB="0" distL="0" distR="0" wp14:anchorId="73CB910F" wp14:editId="6388F2DA">
          <wp:extent cx="876300" cy="211724"/>
          <wp:effectExtent l="0" t="0" r="0" b="0"/>
          <wp:docPr id="11" name="Picture 1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21" cy="2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="00E96402">
      <w:ptab w:relativeTo="margin" w:alignment="center" w:leader="none"/>
    </w:r>
    <w:r w:rsidR="00E96402">
      <w:t>S</w:t>
    </w:r>
    <w:r w:rsidR="00ED3B53">
      <w:t xml:space="preserve">TEM </w:t>
    </w:r>
    <w:r w:rsidR="00E96402">
      <w:t>Ambassador Program</w:t>
    </w:r>
    <w:r w:rsidR="00ED3B53">
      <w:t xml:space="preserve"> </w:t>
    </w:r>
    <w:r w:rsidR="00E96402">
      <w:t xml:space="preserve">2019    </w:t>
    </w:r>
    <w:r w:rsidR="00A64502">
      <w:tab/>
    </w:r>
    <w:r w:rsidR="00A64502">
      <w:tab/>
    </w:r>
    <w:r w:rsidR="00A64502">
      <w:tab/>
    </w:r>
    <w:r w:rsidR="00A64502">
      <w:tab/>
    </w:r>
    <w:r w:rsidR="00E96402">
      <w:t xml:space="preserve"> </w:t>
    </w:r>
    <w:r w:rsidR="00A64502">
      <w:rPr>
        <w:noProof/>
      </w:rPr>
      <w:drawing>
        <wp:inline distT="0" distB="0" distL="0" distR="0" wp14:anchorId="28A78644" wp14:editId="4755E853">
          <wp:extent cx="1158240" cy="312131"/>
          <wp:effectExtent l="0" t="0" r="3810" b="0"/>
          <wp:docPr id="1" name="Picture 1" descr="W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490" cy="324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E96402"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62FEB" w14:textId="77777777" w:rsidR="0019791D" w:rsidRDefault="0019791D" w:rsidP="00E96402">
      <w:pPr>
        <w:spacing w:after="0" w:line="240" w:lineRule="auto"/>
      </w:pPr>
      <w:r>
        <w:separator/>
      </w:r>
    </w:p>
  </w:footnote>
  <w:footnote w:type="continuationSeparator" w:id="0">
    <w:p w14:paraId="325BEDA8" w14:textId="77777777" w:rsidR="0019791D" w:rsidRDefault="0019791D" w:rsidP="00E9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99"/>
    <w:rsid w:val="0001585E"/>
    <w:rsid w:val="00112599"/>
    <w:rsid w:val="00196F61"/>
    <w:rsid w:val="0019791D"/>
    <w:rsid w:val="001E6E65"/>
    <w:rsid w:val="001E79F6"/>
    <w:rsid w:val="002A627C"/>
    <w:rsid w:val="003B15CA"/>
    <w:rsid w:val="006D3866"/>
    <w:rsid w:val="008F1783"/>
    <w:rsid w:val="009D0399"/>
    <w:rsid w:val="00A25B55"/>
    <w:rsid w:val="00A64502"/>
    <w:rsid w:val="00A750E8"/>
    <w:rsid w:val="00BB7A66"/>
    <w:rsid w:val="00C32128"/>
    <w:rsid w:val="00D4456E"/>
    <w:rsid w:val="00E0644B"/>
    <w:rsid w:val="00E96402"/>
    <w:rsid w:val="00E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06E00"/>
  <w15:docId w15:val="{808713F0-AA50-4F6B-A2CF-1EE84C92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02"/>
  </w:style>
  <w:style w:type="paragraph" w:styleId="Footer">
    <w:name w:val="footer"/>
    <w:basedOn w:val="Normal"/>
    <w:link w:val="FooterChar"/>
    <w:uiPriority w:val="99"/>
    <w:unhideWhenUsed/>
    <w:rsid w:val="00E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02"/>
  </w:style>
  <w:style w:type="paragraph" w:styleId="BalloonText">
    <w:name w:val="Balloon Text"/>
    <w:basedOn w:val="Normal"/>
    <w:link w:val="BalloonTextChar"/>
    <w:uiPriority w:val="99"/>
    <w:semiHidden/>
    <w:unhideWhenUsed/>
    <w:rsid w:val="00E9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1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6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oe.mass.edu/stem/ste/qrg-phenomena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frameworks/scitech/2016-04/AppendixI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oe.mass.edu/stem/ste/?section=framewor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DESE-231-56681</_dlc_DocId>
    <_dlc_DocIdUrl xmlns="733efe1c-5bbe-4968-87dc-d400e65c879f">
      <Url>https://sharepoint.doemass.org/ese/webteam/cps/_layouts/DocIdRedir.aspx?ID=DESE-231-56681</Url>
      <Description>DESE-231-56681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6AEF8B-7A98-43C5-AF34-289039657F7B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8CAC2DFE-DFB8-412C-B2D8-D498C3692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1DBD5-0742-47F9-918C-E785E001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79B72-AC72-41F9-98A7-B671D1E10C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 Task Rubric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 Task Rubric</dc:title>
  <dc:creator>DESE</dc:creator>
  <cp:lastModifiedBy>Zou, Dong (EOE)</cp:lastModifiedBy>
  <cp:revision>10</cp:revision>
  <dcterms:created xsi:type="dcterms:W3CDTF">2019-10-18T18:08:00Z</dcterms:created>
  <dcterms:modified xsi:type="dcterms:W3CDTF">2019-12-10T16:41:00Z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10 2019</vt:lpwstr>
  </property>
</Properties>
</file>