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7F8B" w14:textId="25275ACC" w:rsidR="00B81EC8" w:rsidRPr="00C1174F" w:rsidRDefault="00C1174F" w:rsidP="00493C3B">
      <w:pPr>
        <w:pStyle w:val="Heading1"/>
        <w:rPr>
          <w:b/>
          <w:bCs/>
        </w:rPr>
      </w:pPr>
      <w:r w:rsidRPr="547B91F6">
        <w:rPr>
          <w:b/>
          <w:bCs/>
        </w:rPr>
        <w:t>C</w:t>
      </w:r>
      <w:r w:rsidR="00561DBD" w:rsidRPr="547B91F6">
        <w:rPr>
          <w:b/>
          <w:bCs/>
        </w:rPr>
        <w:t xml:space="preserve">omprehensive </w:t>
      </w:r>
      <w:r w:rsidRPr="547B91F6">
        <w:rPr>
          <w:b/>
          <w:bCs/>
        </w:rPr>
        <w:t>H</w:t>
      </w:r>
      <w:r w:rsidR="00561DBD" w:rsidRPr="547B91F6">
        <w:rPr>
          <w:b/>
          <w:bCs/>
        </w:rPr>
        <w:t xml:space="preserve">ealth and </w:t>
      </w:r>
      <w:r w:rsidRPr="547B91F6">
        <w:rPr>
          <w:b/>
          <w:bCs/>
        </w:rPr>
        <w:t>P</w:t>
      </w:r>
      <w:r w:rsidR="00561DBD" w:rsidRPr="547B91F6">
        <w:rPr>
          <w:b/>
          <w:bCs/>
        </w:rPr>
        <w:t xml:space="preserve">hysical </w:t>
      </w:r>
      <w:r w:rsidRPr="547B91F6">
        <w:rPr>
          <w:b/>
          <w:bCs/>
        </w:rPr>
        <w:t>E</w:t>
      </w:r>
      <w:r w:rsidR="00561DBD" w:rsidRPr="547B91F6">
        <w:rPr>
          <w:b/>
          <w:bCs/>
        </w:rPr>
        <w:t>ducation</w:t>
      </w:r>
      <w:r w:rsidRPr="547B91F6">
        <w:rPr>
          <w:b/>
          <w:bCs/>
        </w:rPr>
        <w:t xml:space="preserve"> </w:t>
      </w:r>
      <w:r w:rsidR="00493C3B" w:rsidRPr="547B91F6">
        <w:rPr>
          <w:b/>
          <w:bCs/>
        </w:rPr>
        <w:t>FAQ</w:t>
      </w:r>
    </w:p>
    <w:tbl>
      <w:tblPr>
        <w:tblStyle w:val="TableGrid"/>
        <w:tblW w:w="0" w:type="auto"/>
        <w:tblLook w:val="04A0" w:firstRow="1" w:lastRow="0" w:firstColumn="1" w:lastColumn="0" w:noHBand="0" w:noVBand="1"/>
      </w:tblPr>
      <w:tblGrid>
        <w:gridCol w:w="4675"/>
        <w:gridCol w:w="4675"/>
      </w:tblGrid>
      <w:tr w:rsidR="00493C3B" w14:paraId="1AB00BE2" w14:textId="77777777" w:rsidTr="7080C955">
        <w:tc>
          <w:tcPr>
            <w:tcW w:w="9350" w:type="dxa"/>
            <w:gridSpan w:val="2"/>
          </w:tcPr>
          <w:p w14:paraId="7A4DEDFD" w14:textId="2C1AA3D3" w:rsidR="00493C3B" w:rsidRPr="00493C3B" w:rsidRDefault="00493C3B">
            <w:pPr>
              <w:rPr>
                <w:b/>
                <w:bCs/>
              </w:rPr>
            </w:pPr>
            <w:r>
              <w:rPr>
                <w:b/>
                <w:bCs/>
              </w:rPr>
              <w:t>Physical Education (PE)</w:t>
            </w:r>
          </w:p>
        </w:tc>
      </w:tr>
      <w:tr w:rsidR="00493C3B" w14:paraId="4CD39B0A" w14:textId="77777777" w:rsidTr="7080C955">
        <w:tc>
          <w:tcPr>
            <w:tcW w:w="4675" w:type="dxa"/>
          </w:tcPr>
          <w:p w14:paraId="6EC49213" w14:textId="0455A6CC" w:rsidR="00493C3B" w:rsidRDefault="00493C3B" w:rsidP="00493C3B">
            <w:r>
              <w:t>Questions about alignment to the SHAPE America National Physical Education standards (which are under revision)</w:t>
            </w:r>
            <w:r w:rsidR="004832B9">
              <w:rPr>
                <w:rStyle w:val="FootnoteReference"/>
              </w:rPr>
              <w:footnoteReference w:id="2"/>
            </w:r>
            <w:r>
              <w:t xml:space="preserve">.  </w:t>
            </w:r>
          </w:p>
        </w:tc>
        <w:tc>
          <w:tcPr>
            <w:tcW w:w="4675" w:type="dxa"/>
          </w:tcPr>
          <w:p w14:paraId="41575D8E" w14:textId="3F76A4ED" w:rsidR="00493C3B" w:rsidRPr="00493C3B" w:rsidRDefault="00493C3B" w:rsidP="00493C3B">
            <w:pPr>
              <w:rPr>
                <w:lang w:val="en"/>
              </w:rPr>
            </w:pPr>
            <w:r w:rsidRPr="7080C955">
              <w:rPr>
                <w:lang w:val="en"/>
              </w:rPr>
              <w:t xml:space="preserve">The </w:t>
            </w:r>
            <w:hyperlink r:id="rId11">
              <w:r w:rsidR="00561DBD" w:rsidRPr="7080C955">
                <w:rPr>
                  <w:rStyle w:val="Hyperlink"/>
                </w:rPr>
                <w:t>Comprehensive</w:t>
              </w:r>
              <w:r w:rsidRPr="7080C955">
                <w:rPr>
                  <w:rStyle w:val="Hyperlink"/>
                </w:rPr>
                <w:t xml:space="preserve"> Health and Physical Education Framework Crosswalks</w:t>
              </w:r>
            </w:hyperlink>
            <w:r w:rsidRPr="7080C955">
              <w:rPr>
                <w:lang w:val="en"/>
              </w:rPr>
              <w:t xml:space="preserve"> show </w:t>
            </w:r>
            <w:r w:rsidR="00B21FB8" w:rsidRPr="7080C955">
              <w:rPr>
                <w:lang w:val="en"/>
              </w:rPr>
              <w:t>that the Comprehensive Health and Physical Education Framework (CHPE)</w:t>
            </w:r>
            <w:r w:rsidR="007D6237" w:rsidRPr="7080C955">
              <w:rPr>
                <w:lang w:val="en"/>
              </w:rPr>
              <w:t xml:space="preserve"> includes all five SHAPE America </w:t>
            </w:r>
            <w:r w:rsidR="00B46933" w:rsidRPr="7080C955">
              <w:rPr>
                <w:lang w:val="en"/>
              </w:rPr>
              <w:t xml:space="preserve">National </w:t>
            </w:r>
            <w:r w:rsidR="007D6237" w:rsidRPr="7080C955">
              <w:rPr>
                <w:lang w:val="en"/>
              </w:rPr>
              <w:t>PE standards, as well as almost all of its Grade Level Outcomes (GLOs)</w:t>
            </w:r>
            <w:r w:rsidRPr="7080C955">
              <w:rPr>
                <w:lang w:val="en"/>
              </w:rPr>
              <w:t xml:space="preserve">. </w:t>
            </w:r>
            <w:r w:rsidR="007D6237" w:rsidRPr="7080C955">
              <w:rPr>
                <w:lang w:val="en"/>
              </w:rPr>
              <w:t>Additionally, the Department has reviewed t</w:t>
            </w:r>
            <w:r w:rsidRPr="7080C955">
              <w:rPr>
                <w:lang w:val="en"/>
              </w:rPr>
              <w:t>he proposed revised SHAPE America National PE Standards</w:t>
            </w:r>
            <w:r w:rsidR="0057345E" w:rsidRPr="7080C955">
              <w:rPr>
                <w:lang w:val="en"/>
              </w:rPr>
              <w:t xml:space="preserve"> to confirm that the Frameworks </w:t>
            </w:r>
            <w:r w:rsidR="00214C22" w:rsidRPr="7080C955">
              <w:rPr>
                <w:lang w:val="en"/>
              </w:rPr>
              <w:t>would continue to align with those standards</w:t>
            </w:r>
            <w:r w:rsidRPr="7080C955">
              <w:rPr>
                <w:lang w:val="en"/>
              </w:rPr>
              <w:t>.</w:t>
            </w:r>
          </w:p>
          <w:p w14:paraId="317F3E62" w14:textId="77777777" w:rsidR="006B3595" w:rsidRDefault="006B3595" w:rsidP="006B3595">
            <w:pPr>
              <w:pStyle w:val="ListParagraph"/>
              <w:ind w:left="340"/>
              <w:rPr>
                <w:lang w:val="en"/>
              </w:rPr>
            </w:pPr>
          </w:p>
          <w:p w14:paraId="0624CCDB" w14:textId="551CE04A" w:rsidR="00493C3B" w:rsidRDefault="00B46933" w:rsidP="006B3595">
            <w:pPr>
              <w:ind w:left="-20"/>
            </w:pPr>
            <w:r w:rsidRPr="2E1C875D">
              <w:rPr>
                <w:lang w:val="en"/>
              </w:rPr>
              <w:t xml:space="preserve">When drafting the CHPE, </w:t>
            </w:r>
            <w:r w:rsidR="006B3595" w:rsidRPr="2E1C875D">
              <w:rPr>
                <w:lang w:val="en"/>
              </w:rPr>
              <w:t xml:space="preserve">DESE </w:t>
            </w:r>
            <w:r w:rsidRPr="2E1C875D">
              <w:rPr>
                <w:lang w:val="en"/>
              </w:rPr>
              <w:t xml:space="preserve">sought and </w:t>
            </w:r>
            <w:r w:rsidR="006B3595" w:rsidRPr="2E1C875D">
              <w:rPr>
                <w:lang w:val="en"/>
              </w:rPr>
              <w:t>r</w:t>
            </w:r>
            <w:r w:rsidR="00493C3B" w:rsidRPr="2E1C875D">
              <w:rPr>
                <w:lang w:val="en"/>
              </w:rPr>
              <w:t xml:space="preserve">eceived feedback from state and national experts in physical education, including the chair of the revision committee for SHAPE America’s </w:t>
            </w:r>
            <w:r w:rsidRPr="2E1C875D">
              <w:rPr>
                <w:lang w:val="en"/>
              </w:rPr>
              <w:t>N</w:t>
            </w:r>
            <w:r w:rsidR="00493C3B" w:rsidRPr="2E1C875D">
              <w:rPr>
                <w:lang w:val="en"/>
              </w:rPr>
              <w:t xml:space="preserve">ational PE standards, all of whom agreed that the </w:t>
            </w:r>
            <w:r w:rsidRPr="2E1C875D">
              <w:rPr>
                <w:lang w:val="en"/>
              </w:rPr>
              <w:t xml:space="preserve">CHPE contains </w:t>
            </w:r>
            <w:r w:rsidR="00493C3B" w:rsidRPr="2E1C875D">
              <w:rPr>
                <w:lang w:val="en"/>
              </w:rPr>
              <w:t xml:space="preserve">a comprehensive set of standards </w:t>
            </w:r>
            <w:r w:rsidR="00885127" w:rsidRPr="2E1C875D">
              <w:rPr>
                <w:lang w:val="en"/>
              </w:rPr>
              <w:t xml:space="preserve">for students to </w:t>
            </w:r>
            <w:r w:rsidR="00493C3B" w:rsidRPr="2E1C875D">
              <w:rPr>
                <w:lang w:val="en"/>
              </w:rPr>
              <w:t xml:space="preserve">learn in physical education.  </w:t>
            </w:r>
          </w:p>
        </w:tc>
      </w:tr>
      <w:tr w:rsidR="00493C3B" w14:paraId="4AB058A1" w14:textId="77777777" w:rsidTr="7080C955">
        <w:tc>
          <w:tcPr>
            <w:tcW w:w="4675" w:type="dxa"/>
          </w:tcPr>
          <w:p w14:paraId="6CEFB249" w14:textId="2FCCE535" w:rsidR="00493C3B" w:rsidRDefault="006B3595" w:rsidP="00493C3B">
            <w:r>
              <w:t xml:space="preserve">Are </w:t>
            </w:r>
            <w:r w:rsidR="002432DB">
              <w:t>there</w:t>
            </w:r>
            <w:r>
              <w:t xml:space="preserve"> standards </w:t>
            </w:r>
            <w:r w:rsidR="00493C3B">
              <w:t xml:space="preserve">clearly designated </w:t>
            </w:r>
            <w:r w:rsidR="002432DB">
              <w:t>as physical education (</w:t>
            </w:r>
            <w:r w:rsidR="00493C3B">
              <w:t>PE</w:t>
            </w:r>
            <w:r w:rsidR="002432DB">
              <w:t>)</w:t>
            </w:r>
            <w:r w:rsidR="00493C3B">
              <w:t xml:space="preserve"> standards</w:t>
            </w:r>
            <w:r>
              <w:t>?</w:t>
            </w:r>
            <w:r w:rsidR="00493C3B">
              <w:t xml:space="preserve">  </w:t>
            </w:r>
          </w:p>
        </w:tc>
        <w:tc>
          <w:tcPr>
            <w:tcW w:w="4675" w:type="dxa"/>
          </w:tcPr>
          <w:p w14:paraId="27E8777B" w14:textId="742EA8B6" w:rsidR="006773F8" w:rsidRPr="006B3595" w:rsidRDefault="006B3595" w:rsidP="006B3595">
            <w:pPr>
              <w:rPr>
                <w:lang w:val="en"/>
              </w:rPr>
            </w:pPr>
            <w:r>
              <w:t xml:space="preserve">There is </w:t>
            </w:r>
            <w:r w:rsidR="00493C3B">
              <w:t xml:space="preserve">coding of the standards to identify the sub-discipline(s) in which the standard might be included (i.e., physical education, health education, etc.). </w:t>
            </w:r>
            <w:r w:rsidR="00493C3B" w:rsidRPr="547B91F6">
              <w:rPr>
                <w:lang w:val="en"/>
              </w:rPr>
              <w:t>The codes are suggestions and are intended only as a guide for schools and districts to support unpacking of the standards to design programming, curricula, units</w:t>
            </w:r>
            <w:r w:rsidRPr="547B91F6">
              <w:rPr>
                <w:lang w:val="en"/>
              </w:rPr>
              <w:t>,</w:t>
            </w:r>
            <w:r w:rsidR="00493C3B" w:rsidRPr="547B91F6">
              <w:rPr>
                <w:lang w:val="en"/>
              </w:rPr>
              <w:t xml:space="preserve"> and/or lessons.  Many of the standards could be included as goals of one or </w:t>
            </w:r>
            <w:proofErr w:type="gramStart"/>
            <w:r w:rsidR="00493C3B" w:rsidRPr="547B91F6">
              <w:rPr>
                <w:lang w:val="en"/>
              </w:rPr>
              <w:t>both of the sub-</w:t>
            </w:r>
            <w:proofErr w:type="gramEnd"/>
            <w:r w:rsidR="00493C3B" w:rsidRPr="547B91F6">
              <w:rPr>
                <w:lang w:val="en"/>
              </w:rPr>
              <w:t>disciplines and/or as part of a social and emotional learning program and are coded accordingly.</w:t>
            </w:r>
          </w:p>
          <w:p w14:paraId="42978AB0" w14:textId="724C197F" w:rsidR="00493C3B" w:rsidRDefault="00493C3B" w:rsidP="00493C3B">
            <w:r>
              <w:t xml:space="preserve"> </w:t>
            </w:r>
            <w:r w:rsidR="355E19BB">
              <w:t xml:space="preserve"> </w:t>
            </w:r>
          </w:p>
        </w:tc>
      </w:tr>
      <w:tr w:rsidR="006B3595" w14:paraId="0C13CE20" w14:textId="77777777" w:rsidTr="7080C955">
        <w:tc>
          <w:tcPr>
            <w:tcW w:w="4675" w:type="dxa"/>
          </w:tcPr>
          <w:p w14:paraId="2F0D3036" w14:textId="77777777" w:rsidR="006B3595" w:rsidRDefault="006B3595" w:rsidP="00493C3B"/>
        </w:tc>
        <w:tc>
          <w:tcPr>
            <w:tcW w:w="4675" w:type="dxa"/>
          </w:tcPr>
          <w:p w14:paraId="27FF66B4" w14:textId="77777777" w:rsidR="006B3595" w:rsidRDefault="006B3595" w:rsidP="006B3595"/>
        </w:tc>
      </w:tr>
      <w:tr w:rsidR="006B3595" w14:paraId="01D255FA" w14:textId="77777777" w:rsidTr="7080C955">
        <w:tc>
          <w:tcPr>
            <w:tcW w:w="9350" w:type="dxa"/>
            <w:gridSpan w:val="2"/>
          </w:tcPr>
          <w:p w14:paraId="72FA27B6" w14:textId="7962DF13" w:rsidR="006B3595" w:rsidRDefault="006B3595" w:rsidP="00493C3B">
            <w:r>
              <w:rPr>
                <w:b/>
                <w:bCs/>
              </w:rPr>
              <w:t>Sexual Health and Sexual Orientation</w:t>
            </w:r>
          </w:p>
        </w:tc>
      </w:tr>
      <w:tr w:rsidR="006B3595" w14:paraId="2F26130D" w14:textId="77777777" w:rsidTr="7080C955">
        <w:tc>
          <w:tcPr>
            <w:tcW w:w="4675" w:type="dxa"/>
          </w:tcPr>
          <w:p w14:paraId="3D699B84" w14:textId="3D0B4A20" w:rsidR="006B3595" w:rsidRDefault="006B3595" w:rsidP="00C61C34">
            <w:proofErr w:type="gramStart"/>
            <w:r>
              <w:t>Questions</w:t>
            </w:r>
            <w:proofErr w:type="gramEnd"/>
            <w:r>
              <w:t xml:space="preserve"> about age</w:t>
            </w:r>
            <w:r w:rsidR="00C61C34">
              <w:t xml:space="preserve"> and developmental </w:t>
            </w:r>
            <w:r>
              <w:t>appropriateness,</w:t>
            </w:r>
            <w:r w:rsidR="00C61C34">
              <w:t xml:space="preserve"> including c</w:t>
            </w:r>
            <w:r>
              <w:t>oncerns regarding using medically accurate terms for genitals in PK-2.</w:t>
            </w:r>
          </w:p>
          <w:p w14:paraId="7D38F7D0" w14:textId="77777777" w:rsidR="006B3595" w:rsidRDefault="006B3595" w:rsidP="006B3595"/>
        </w:tc>
        <w:tc>
          <w:tcPr>
            <w:tcW w:w="4675" w:type="dxa"/>
          </w:tcPr>
          <w:p w14:paraId="1B095225" w14:textId="1BE8FC95" w:rsidR="006B3595" w:rsidRDefault="006B3595" w:rsidP="00C61C34">
            <w:r>
              <w:t xml:space="preserve">The </w:t>
            </w:r>
            <w:r w:rsidR="00397E8C">
              <w:t xml:space="preserve">CHPE reflects </w:t>
            </w:r>
            <w:r>
              <w:t xml:space="preserve">research and best </w:t>
            </w:r>
            <w:r w:rsidR="006773F8">
              <w:t>practices</w:t>
            </w:r>
            <w:r>
              <w:t xml:space="preserve"> </w:t>
            </w:r>
            <w:r w:rsidR="00397E8C">
              <w:t>for</w:t>
            </w:r>
            <w:r>
              <w:t xml:space="preserve"> sexuality education and </w:t>
            </w:r>
            <w:r w:rsidR="00397E8C">
              <w:t xml:space="preserve">is </w:t>
            </w:r>
            <w:r>
              <w:t xml:space="preserve">aligned with National Sex </w:t>
            </w:r>
            <w:r w:rsidR="006773F8">
              <w:t>Education standards</w:t>
            </w:r>
            <w:r>
              <w:t>.  A “[r]</w:t>
            </w:r>
            <w:proofErr w:type="spellStart"/>
            <w:r>
              <w:t>eview</w:t>
            </w:r>
            <w:proofErr w:type="spellEnd"/>
            <w:r>
              <w:t xml:space="preserve"> of the literature </w:t>
            </w:r>
            <w:r w:rsidRPr="00BA6975">
              <w:t xml:space="preserve">of the past three decades provides strong support for comprehensive sex education across a range of topics and grade levels. Results provide evidence for the effectiveness of approaches that address a broad definition of </w:t>
            </w:r>
            <w:r w:rsidRPr="00BA6975">
              <w:lastRenderedPageBreak/>
              <w:t>sexual health and take positive, affirming, inclusive approaches to human sexuality.</w:t>
            </w:r>
            <w:r>
              <w:t>”</w:t>
            </w:r>
            <w:r>
              <w:rPr>
                <w:rStyle w:val="FootnoteReference"/>
              </w:rPr>
              <w:t xml:space="preserve"> </w:t>
            </w:r>
            <w:r>
              <w:rPr>
                <w:rStyle w:val="FootnoteReference"/>
              </w:rPr>
              <w:footnoteReference w:id="3"/>
            </w:r>
          </w:p>
          <w:p w14:paraId="366BF700" w14:textId="77777777" w:rsidR="00C61C34" w:rsidRDefault="00C61C34" w:rsidP="00C61C34"/>
          <w:p w14:paraId="4FA107CB" w14:textId="54E67DA6" w:rsidR="006B3595" w:rsidRDefault="003B23D6" w:rsidP="00C61C34">
            <w:r>
              <w:t xml:space="preserve">The CHPE </w:t>
            </w:r>
            <w:r w:rsidR="00EF4698">
              <w:t>provides standards and links them to specific grade-spans.  As stated in the document itself, these</w:t>
            </w:r>
            <w:r w:rsidR="006B3595">
              <w:t xml:space="preserve"> standards </w:t>
            </w:r>
            <w:r w:rsidR="00EF4698">
              <w:t xml:space="preserve">are </w:t>
            </w:r>
            <w:r w:rsidR="006B3595">
              <w:t xml:space="preserve">meant to be attained by the end of the respective grade span. </w:t>
            </w:r>
          </w:p>
          <w:p w14:paraId="00C5A137" w14:textId="77777777" w:rsidR="00C61C34" w:rsidRDefault="00C61C34" w:rsidP="00C61C34"/>
          <w:p w14:paraId="6CFE1C6C" w14:textId="4F6D3023" w:rsidR="00D81B25" w:rsidRDefault="00D81B25" w:rsidP="00D81B25">
            <w:r w:rsidRPr="5CDE3184">
              <w:rPr>
                <w:color w:val="202020"/>
                <w:shd w:val="clear" w:color="auto" w:fill="FFFFFF"/>
              </w:rPr>
              <w:t>State law (</w:t>
            </w:r>
            <w:hyperlink r:id="rId12" w:history="1">
              <w:r w:rsidRPr="5CDE3184">
                <w:rPr>
                  <w:rStyle w:val="Hyperlink"/>
                  <w:color w:val="007C89"/>
                  <w:shd w:val="clear" w:color="auto" w:fill="FFFFFF"/>
                </w:rPr>
                <w:t>G.L. c. 71, § 1</w:t>
              </w:r>
            </w:hyperlink>
            <w:r w:rsidRPr="5CDE3184">
              <w:rPr>
                <w:color w:val="202020"/>
                <w:shd w:val="clear" w:color="auto" w:fill="FFFFFF"/>
              </w:rPr>
              <w:t> and </w:t>
            </w:r>
            <w:hyperlink r:id="rId13" w:history="1">
              <w:r w:rsidRPr="5CDE3184">
                <w:rPr>
                  <w:rStyle w:val="Hyperlink"/>
                  <w:color w:val="007C89"/>
                  <w:shd w:val="clear" w:color="auto" w:fill="FFFFFF"/>
                </w:rPr>
                <w:t>G.L. c. 71, § 3</w:t>
              </w:r>
            </w:hyperlink>
            <w:r w:rsidRPr="2E1C875D">
              <w:rPr>
                <w:color w:val="202020"/>
              </w:rPr>
              <w:t>) requires</w:t>
            </w:r>
            <w:r w:rsidRPr="5CDE3184">
              <w:rPr>
                <w:color w:val="202020"/>
                <w:shd w:val="clear" w:color="auto" w:fill="FFFFFF"/>
              </w:rPr>
              <w:t xml:space="preserve"> all public schools to teach health and physical education</w:t>
            </w:r>
            <w:r>
              <w:rPr>
                <w:color w:val="202020"/>
                <w:shd w:val="clear" w:color="auto" w:fill="FFFFFF"/>
              </w:rPr>
              <w:t xml:space="preserve">. </w:t>
            </w:r>
            <w:r w:rsidRPr="2E1C875D">
              <w:rPr>
                <w:color w:val="202020"/>
                <w:shd w:val="clear" w:color="auto" w:fill="FFFFFF"/>
              </w:rPr>
              <w:t xml:space="preserve">Curriculum frameworks like the CHPE “are </w:t>
            </w:r>
            <w:r w:rsidRPr="009C2F30">
              <w:t>constructed to guide and assist teachers</w:t>
            </w:r>
            <w:r>
              <w:t>…</w:t>
            </w:r>
            <w:r w:rsidRPr="009C2F30">
              <w:t xml:space="preserve"> in the development and selection of curricula, textbooks, technology and other instructional materials, and in the design of pedagogical approaches and techniques for elementary, secondary and vocational-technical schools</w:t>
            </w:r>
            <w:r>
              <w:t xml:space="preserve">.” </w:t>
            </w:r>
          </w:p>
          <w:p w14:paraId="56B717C1" w14:textId="49E199B4" w:rsidR="004D72A7" w:rsidRDefault="004D72A7" w:rsidP="5838B788"/>
          <w:p w14:paraId="0D87D5E9" w14:textId="0F977283" w:rsidR="006B3595" w:rsidRDefault="006B3595" w:rsidP="006B3595">
            <w:r w:rsidRPr="5CDE3184">
              <w:rPr>
                <w:color w:val="202020"/>
                <w:shd w:val="clear" w:color="auto" w:fill="FFFFFF"/>
              </w:rPr>
              <w:t>State law (</w:t>
            </w:r>
            <w:hyperlink r:id="rId14" w:history="1">
              <w:r w:rsidRPr="5CDE3184">
                <w:rPr>
                  <w:rStyle w:val="Hyperlink"/>
                  <w:color w:val="007C89"/>
                  <w:shd w:val="clear" w:color="auto" w:fill="FFFFFF"/>
                </w:rPr>
                <w:t>G.L. c. 71, § 32A</w:t>
              </w:r>
            </w:hyperlink>
            <w:r w:rsidRPr="5CDE3184">
              <w:rPr>
                <w:color w:val="202020"/>
                <w:shd w:val="clear" w:color="auto" w:fill="FFFFFF"/>
              </w:rPr>
              <w:t>) gives parents</w:t>
            </w:r>
            <w:r w:rsidR="6721B434" w:rsidRPr="5CDE3184">
              <w:rPr>
                <w:color w:val="202020"/>
                <w:shd w:val="clear" w:color="auto" w:fill="FFFFFF"/>
              </w:rPr>
              <w:t>/guardians</w:t>
            </w:r>
            <w:r w:rsidRPr="5CDE3184">
              <w:rPr>
                <w:color w:val="202020"/>
                <w:shd w:val="clear" w:color="auto" w:fill="FFFFFF"/>
              </w:rPr>
              <w:t xml:space="preserve"> the right to </w:t>
            </w:r>
            <w:r w:rsidR="006773F8">
              <w:rPr>
                <w:color w:val="202020"/>
                <w:shd w:val="clear" w:color="auto" w:fill="FFFFFF"/>
              </w:rPr>
              <w:t>opt-out</w:t>
            </w:r>
            <w:r w:rsidRPr="5CDE3184">
              <w:rPr>
                <w:color w:val="202020"/>
                <w:shd w:val="clear" w:color="auto" w:fill="FFFFFF"/>
              </w:rPr>
              <w:t xml:space="preserve"> their children from lessons related to </w:t>
            </w:r>
            <w:r w:rsidR="00166B69">
              <w:rPr>
                <w:color w:val="202020"/>
                <w:shd w:val="clear" w:color="auto" w:fill="FFFFFF"/>
              </w:rPr>
              <w:t xml:space="preserve">human </w:t>
            </w:r>
            <w:r w:rsidRPr="5CDE3184">
              <w:rPr>
                <w:color w:val="202020"/>
                <w:shd w:val="clear" w:color="auto" w:fill="FFFFFF"/>
              </w:rPr>
              <w:t>sex</w:t>
            </w:r>
            <w:r w:rsidR="00166B69">
              <w:rPr>
                <w:color w:val="202020"/>
                <w:shd w:val="clear" w:color="auto" w:fill="FFFFFF"/>
              </w:rPr>
              <w:t>ual</w:t>
            </w:r>
            <w:r w:rsidRPr="5CDE3184">
              <w:rPr>
                <w:color w:val="202020"/>
                <w:shd w:val="clear" w:color="auto" w:fill="FFFFFF"/>
              </w:rPr>
              <w:t xml:space="preserve"> education</w:t>
            </w:r>
            <w:r w:rsidR="00166B69">
              <w:rPr>
                <w:color w:val="202020"/>
                <w:shd w:val="clear" w:color="auto" w:fill="FFFFFF"/>
              </w:rPr>
              <w:t xml:space="preserve"> or human sexuality issues</w:t>
            </w:r>
            <w:r w:rsidRPr="5CDE3184">
              <w:rPr>
                <w:color w:val="202020"/>
                <w:shd w:val="clear" w:color="auto" w:fill="FFFFFF"/>
              </w:rPr>
              <w:t>, a small portion of the knowledge covered in this framework.</w:t>
            </w:r>
          </w:p>
        </w:tc>
      </w:tr>
      <w:tr w:rsidR="006B3595" w14:paraId="03E7FED5" w14:textId="77777777" w:rsidTr="7080C955">
        <w:tc>
          <w:tcPr>
            <w:tcW w:w="4675" w:type="dxa"/>
          </w:tcPr>
          <w:p w14:paraId="1E6C15C2" w14:textId="49477C9B" w:rsidR="006B3595" w:rsidRDefault="00C61C34" w:rsidP="00C61C34">
            <w:r>
              <w:lastRenderedPageBreak/>
              <w:t xml:space="preserve">Questions about </w:t>
            </w:r>
            <w:r w:rsidR="006B3595">
              <w:t xml:space="preserve">religious objections, and concerns </w:t>
            </w:r>
            <w:r>
              <w:t xml:space="preserve">about </w:t>
            </w:r>
            <w:r w:rsidR="00450D68">
              <w:t>schools teaching values and beliefs</w:t>
            </w:r>
            <w:r w:rsidR="006B3595">
              <w:t>, in general and with respect to this specific topic.</w:t>
            </w:r>
          </w:p>
          <w:p w14:paraId="12220147" w14:textId="77777777" w:rsidR="006B3595" w:rsidRDefault="006B3595" w:rsidP="00C61C34"/>
        </w:tc>
        <w:tc>
          <w:tcPr>
            <w:tcW w:w="4675" w:type="dxa"/>
          </w:tcPr>
          <w:p w14:paraId="2853E04B" w14:textId="46CF5DBE" w:rsidR="001C53E1" w:rsidRDefault="006B3595" w:rsidP="006B3595">
            <w:pPr>
              <w:rPr>
                <w:color w:val="202020"/>
                <w:shd w:val="clear" w:color="auto" w:fill="FFFFFF"/>
              </w:rPr>
            </w:pPr>
            <w:r w:rsidRPr="5CDE3184">
              <w:rPr>
                <w:color w:val="202020"/>
                <w:shd w:val="clear" w:color="auto" w:fill="FFFFFF"/>
              </w:rPr>
              <w:t>State law (</w:t>
            </w:r>
            <w:hyperlink r:id="rId15" w:history="1">
              <w:r w:rsidRPr="5CDE3184">
                <w:rPr>
                  <w:rStyle w:val="Hyperlink"/>
                  <w:color w:val="007C89"/>
                  <w:shd w:val="clear" w:color="auto" w:fill="FFFFFF"/>
                </w:rPr>
                <w:t>G.L. c. 71, § 1</w:t>
              </w:r>
            </w:hyperlink>
            <w:r w:rsidRPr="5CDE3184">
              <w:rPr>
                <w:color w:val="202020"/>
                <w:shd w:val="clear" w:color="auto" w:fill="FFFFFF"/>
              </w:rPr>
              <w:t> and </w:t>
            </w:r>
            <w:hyperlink r:id="rId16" w:history="1">
              <w:r w:rsidRPr="5CDE3184">
                <w:rPr>
                  <w:rStyle w:val="Hyperlink"/>
                  <w:color w:val="007C89"/>
                  <w:shd w:val="clear" w:color="auto" w:fill="FFFFFF"/>
                </w:rPr>
                <w:t>G.L. c. 71, § 3</w:t>
              </w:r>
            </w:hyperlink>
            <w:r w:rsidRPr="5CDE3184">
              <w:rPr>
                <w:color w:val="202020"/>
                <w:shd w:val="clear" w:color="auto" w:fill="FFFFFF"/>
              </w:rPr>
              <w:t xml:space="preserve">) requires all public schools to teach health and physical education. </w:t>
            </w:r>
          </w:p>
          <w:p w14:paraId="531CA1F6" w14:textId="54EE9295" w:rsidR="2E1C875D" w:rsidRDefault="2E1C875D" w:rsidP="2E1C875D">
            <w:pPr>
              <w:rPr>
                <w:color w:val="202020"/>
              </w:rPr>
            </w:pPr>
          </w:p>
          <w:p w14:paraId="23F18C48" w14:textId="06514B41" w:rsidR="006B3595" w:rsidRDefault="006B3595" w:rsidP="006B3595">
            <w:pPr>
              <w:rPr>
                <w:color w:val="202020"/>
                <w:shd w:val="clear" w:color="auto" w:fill="FFFFFF"/>
              </w:rPr>
            </w:pPr>
            <w:r w:rsidRPr="5CDE3184">
              <w:rPr>
                <w:color w:val="202020"/>
                <w:shd w:val="clear" w:color="auto" w:fill="FFFFFF"/>
              </w:rPr>
              <w:t>State law (</w:t>
            </w:r>
            <w:hyperlink r:id="rId17" w:history="1">
              <w:r w:rsidRPr="5CDE3184">
                <w:rPr>
                  <w:rStyle w:val="Hyperlink"/>
                  <w:color w:val="007C89"/>
                  <w:shd w:val="clear" w:color="auto" w:fill="FFFFFF"/>
                </w:rPr>
                <w:t>G.L. c. 71, § 32A</w:t>
              </w:r>
            </w:hyperlink>
            <w:r w:rsidRPr="5CDE3184">
              <w:rPr>
                <w:color w:val="202020"/>
                <w:shd w:val="clear" w:color="auto" w:fill="FFFFFF"/>
              </w:rPr>
              <w:t xml:space="preserve">) gives parents the right to </w:t>
            </w:r>
            <w:r w:rsidR="00B14FC2">
              <w:rPr>
                <w:color w:val="202020"/>
                <w:shd w:val="clear" w:color="auto" w:fill="FFFFFF"/>
              </w:rPr>
              <w:t>opt-out</w:t>
            </w:r>
            <w:r w:rsidRPr="5CDE3184">
              <w:rPr>
                <w:color w:val="202020"/>
                <w:shd w:val="clear" w:color="auto" w:fill="FFFFFF"/>
              </w:rPr>
              <w:t xml:space="preserve"> their children from lessons related to </w:t>
            </w:r>
            <w:r w:rsidR="001C53E1">
              <w:rPr>
                <w:color w:val="202020"/>
                <w:shd w:val="clear" w:color="auto" w:fill="FFFFFF"/>
              </w:rPr>
              <w:t xml:space="preserve">human </w:t>
            </w:r>
            <w:r w:rsidRPr="5CDE3184">
              <w:rPr>
                <w:color w:val="202020"/>
                <w:shd w:val="clear" w:color="auto" w:fill="FFFFFF"/>
              </w:rPr>
              <w:t>sex</w:t>
            </w:r>
            <w:r w:rsidR="001C53E1">
              <w:rPr>
                <w:color w:val="202020"/>
                <w:shd w:val="clear" w:color="auto" w:fill="FFFFFF"/>
              </w:rPr>
              <w:t>ual</w:t>
            </w:r>
            <w:r w:rsidRPr="5CDE3184">
              <w:rPr>
                <w:color w:val="202020"/>
                <w:shd w:val="clear" w:color="auto" w:fill="FFFFFF"/>
              </w:rPr>
              <w:t xml:space="preserve"> education</w:t>
            </w:r>
            <w:r w:rsidR="001C53E1">
              <w:rPr>
                <w:color w:val="202020"/>
                <w:shd w:val="clear" w:color="auto" w:fill="FFFFFF"/>
              </w:rPr>
              <w:t xml:space="preserve"> </w:t>
            </w:r>
            <w:r w:rsidR="00166B69">
              <w:rPr>
                <w:color w:val="202020"/>
                <w:shd w:val="clear" w:color="auto" w:fill="FFFFFF"/>
              </w:rPr>
              <w:t>or</w:t>
            </w:r>
            <w:r w:rsidR="001C53E1">
              <w:rPr>
                <w:color w:val="202020"/>
                <w:shd w:val="clear" w:color="auto" w:fill="FFFFFF"/>
              </w:rPr>
              <w:t xml:space="preserve"> human sexuality issues</w:t>
            </w:r>
            <w:r w:rsidRPr="5CDE3184">
              <w:rPr>
                <w:color w:val="202020"/>
                <w:shd w:val="clear" w:color="auto" w:fill="FFFFFF"/>
              </w:rPr>
              <w:t>, a small portion of the knowledge covered in this framework.</w:t>
            </w:r>
          </w:p>
          <w:p w14:paraId="703E6D85" w14:textId="77777777" w:rsidR="00C61C34" w:rsidRDefault="00C61C34" w:rsidP="006B3595">
            <w:pPr>
              <w:rPr>
                <w:color w:val="202020"/>
                <w:shd w:val="clear" w:color="auto" w:fill="FFFFFF"/>
              </w:rPr>
            </w:pPr>
          </w:p>
          <w:p w14:paraId="3D97CEDE" w14:textId="77C0B1E2" w:rsidR="00C61C34" w:rsidRDefault="00C61C34" w:rsidP="006B3595">
            <w:r>
              <w:t xml:space="preserve">Sexual orientation is included as a protected class in Massachusetts law and the Department is committed to </w:t>
            </w:r>
            <w:r w:rsidR="00166B69">
              <w:t>providing all students with equal rights of access and equal enjoyment of the opportunities, advantages, privileges</w:t>
            </w:r>
            <w:r w:rsidR="00B14FC2">
              <w:t>,</w:t>
            </w:r>
            <w:r w:rsidR="00166B69">
              <w:t xml:space="preserve"> and courses of study in public schools</w:t>
            </w:r>
            <w:r w:rsidR="006408F9">
              <w:t>.</w:t>
            </w:r>
          </w:p>
        </w:tc>
      </w:tr>
      <w:tr w:rsidR="006B3595" w14:paraId="32047394" w14:textId="77777777" w:rsidTr="7080C955">
        <w:tc>
          <w:tcPr>
            <w:tcW w:w="4675" w:type="dxa"/>
          </w:tcPr>
          <w:p w14:paraId="46E0E619" w14:textId="77777777" w:rsidR="006B3595" w:rsidRDefault="006B3595" w:rsidP="006B3595"/>
        </w:tc>
        <w:tc>
          <w:tcPr>
            <w:tcW w:w="4675" w:type="dxa"/>
          </w:tcPr>
          <w:p w14:paraId="3CE82C9E" w14:textId="77777777" w:rsidR="006B3595" w:rsidRDefault="006B3595" w:rsidP="006B3595"/>
        </w:tc>
      </w:tr>
      <w:tr w:rsidR="00C61C34" w14:paraId="599B1636" w14:textId="77777777" w:rsidTr="7080C955">
        <w:tc>
          <w:tcPr>
            <w:tcW w:w="9350" w:type="dxa"/>
            <w:gridSpan w:val="2"/>
          </w:tcPr>
          <w:p w14:paraId="314C5D11" w14:textId="287D57F5" w:rsidR="00C61C34" w:rsidRPr="00C61C34" w:rsidRDefault="00C61C34" w:rsidP="006B3595">
            <w:pPr>
              <w:rPr>
                <w:b/>
                <w:bCs/>
              </w:rPr>
            </w:pPr>
            <w:r w:rsidRPr="000F2D89">
              <w:rPr>
                <w:b/>
                <w:bCs/>
              </w:rPr>
              <w:t>Gender Identity</w:t>
            </w:r>
          </w:p>
        </w:tc>
      </w:tr>
      <w:tr w:rsidR="00C61C34" w14:paraId="250CE9AE" w14:textId="77777777" w:rsidTr="7080C955">
        <w:tc>
          <w:tcPr>
            <w:tcW w:w="4675" w:type="dxa"/>
          </w:tcPr>
          <w:p w14:paraId="476FDD80" w14:textId="266A7CA0" w:rsidR="00C61C34" w:rsidRDefault="00450D68" w:rsidP="00450D68">
            <w:r>
              <w:t>Q</w:t>
            </w:r>
            <w:r w:rsidR="00C61C34">
              <w:t xml:space="preserve">uestions about </w:t>
            </w:r>
            <w:r>
              <w:t xml:space="preserve">age-appropriateness, </w:t>
            </w:r>
            <w:r w:rsidR="00C61C34">
              <w:t>terminology, religious objections</w:t>
            </w:r>
            <w:r>
              <w:t>,</w:t>
            </w:r>
            <w:r w:rsidR="00C61C34">
              <w:t xml:space="preserve"> and concerns </w:t>
            </w:r>
            <w:r w:rsidR="00C61C34">
              <w:lastRenderedPageBreak/>
              <w:t>about schools teaching values and beliefs, in general</w:t>
            </w:r>
            <w:r>
              <w:t>,</w:t>
            </w:r>
            <w:r w:rsidR="00C61C34">
              <w:t xml:space="preserve"> and with respect to this specific topic.</w:t>
            </w:r>
          </w:p>
          <w:p w14:paraId="7F90938F" w14:textId="77777777" w:rsidR="00C61C34" w:rsidRDefault="00C61C34" w:rsidP="00C61C34"/>
        </w:tc>
        <w:tc>
          <w:tcPr>
            <w:tcW w:w="4675" w:type="dxa"/>
          </w:tcPr>
          <w:p w14:paraId="71827B99" w14:textId="02535A37" w:rsidR="00450D68" w:rsidRDefault="00450D68" w:rsidP="00450D68">
            <w:r>
              <w:lastRenderedPageBreak/>
              <w:t xml:space="preserve">Gender identity is included as a protected class in Massachusetts law and the Department is committed to </w:t>
            </w:r>
            <w:r w:rsidR="00033041">
              <w:t xml:space="preserve">providing </w:t>
            </w:r>
            <w:r>
              <w:t xml:space="preserve">all students </w:t>
            </w:r>
            <w:r w:rsidR="00033041">
              <w:t>with</w:t>
            </w:r>
            <w:r w:rsidR="001C53E1">
              <w:t xml:space="preserve"> equal </w:t>
            </w:r>
            <w:r w:rsidR="001C53E1">
              <w:lastRenderedPageBreak/>
              <w:t xml:space="preserve">rights of access and equal enjoyment of the opportunities, advantages, </w:t>
            </w:r>
            <w:proofErr w:type="gramStart"/>
            <w:r w:rsidR="001C53E1">
              <w:t>privileges</w:t>
            </w:r>
            <w:proofErr w:type="gramEnd"/>
            <w:r w:rsidR="001C53E1">
              <w:t xml:space="preserve"> and courses of study in public schools.</w:t>
            </w:r>
          </w:p>
          <w:p w14:paraId="0431ED95" w14:textId="77777777" w:rsidR="00450D68" w:rsidRDefault="00450D68" w:rsidP="00450D68"/>
          <w:p w14:paraId="10BBEDFD" w14:textId="6618208D" w:rsidR="00C61C34" w:rsidRDefault="00C61C34" w:rsidP="00450D68">
            <w:r>
              <w:t xml:space="preserve">The </w:t>
            </w:r>
            <w:r w:rsidR="001C53E1">
              <w:t xml:space="preserve">CHPE </w:t>
            </w:r>
            <w:r>
              <w:t xml:space="preserve">standards related to gender identity are based </w:t>
            </w:r>
            <w:r w:rsidR="00450D68">
              <w:t>on</w:t>
            </w:r>
            <w:r>
              <w:t xml:space="preserve"> research and are aligned with National Sex </w:t>
            </w:r>
            <w:r w:rsidR="00450D68">
              <w:t>Education standards</w:t>
            </w:r>
            <w:r>
              <w:t>.</w:t>
            </w:r>
          </w:p>
          <w:p w14:paraId="19C06B15" w14:textId="77777777" w:rsidR="00450D68" w:rsidRDefault="00450D68" w:rsidP="00450D68"/>
          <w:p w14:paraId="6879D5D3" w14:textId="5CD4ADB8" w:rsidR="00C61C34" w:rsidRDefault="00C61C34" w:rsidP="00C61C34">
            <w:r>
              <w:t>Both the American Academy of Pediatrics (AAP) and the Centers for Disease Control and Prevention (CDC) acknowledge and affirm gender identity as an important part of effective patient care.</w:t>
            </w:r>
          </w:p>
        </w:tc>
      </w:tr>
      <w:tr w:rsidR="00561DBD" w14:paraId="5AFDC5C1" w14:textId="77777777" w:rsidTr="7080C955">
        <w:tc>
          <w:tcPr>
            <w:tcW w:w="4675" w:type="dxa"/>
          </w:tcPr>
          <w:p w14:paraId="080BCBE1" w14:textId="77777777" w:rsidR="00561DBD" w:rsidRDefault="00561DBD" w:rsidP="00450D68"/>
        </w:tc>
        <w:tc>
          <w:tcPr>
            <w:tcW w:w="4675" w:type="dxa"/>
          </w:tcPr>
          <w:p w14:paraId="4799311B" w14:textId="77777777" w:rsidR="00561DBD" w:rsidRDefault="00561DBD" w:rsidP="00450D68"/>
        </w:tc>
      </w:tr>
      <w:tr w:rsidR="00450D68" w14:paraId="636D46D6" w14:textId="77777777" w:rsidTr="7080C955">
        <w:tc>
          <w:tcPr>
            <w:tcW w:w="9350" w:type="dxa"/>
            <w:gridSpan w:val="2"/>
          </w:tcPr>
          <w:p w14:paraId="40038E0C" w14:textId="1266E7D6" w:rsidR="00450D68" w:rsidRPr="00450D68" w:rsidRDefault="00450D68" w:rsidP="00450D68">
            <w:pPr>
              <w:rPr>
                <w:b/>
                <w:bCs/>
              </w:rPr>
            </w:pPr>
            <w:r>
              <w:rPr>
                <w:b/>
                <w:bCs/>
              </w:rPr>
              <w:t xml:space="preserve">Media Literacy, Cell Phone Use, and </w:t>
            </w:r>
            <w:proofErr w:type="gramStart"/>
            <w:r>
              <w:rPr>
                <w:b/>
                <w:bCs/>
              </w:rPr>
              <w:t>Social Media</w:t>
            </w:r>
            <w:proofErr w:type="gramEnd"/>
          </w:p>
        </w:tc>
      </w:tr>
      <w:tr w:rsidR="00450D68" w14:paraId="165BAAFA" w14:textId="77777777" w:rsidTr="7080C955">
        <w:tc>
          <w:tcPr>
            <w:tcW w:w="4675" w:type="dxa"/>
          </w:tcPr>
          <w:p w14:paraId="74B4BD76" w14:textId="7C2E8178" w:rsidR="00450D68" w:rsidRDefault="00450D68" w:rsidP="00450D68">
            <w:r>
              <w:t>Concerns raised related to addictive behaviors related to cell phone use and social media, personal safety when using social media, and the importance of both digital and media literacy on overall health and well-being.</w:t>
            </w:r>
          </w:p>
        </w:tc>
        <w:tc>
          <w:tcPr>
            <w:tcW w:w="4675" w:type="dxa"/>
          </w:tcPr>
          <w:p w14:paraId="1F29DA26" w14:textId="77777777" w:rsidR="00450D68" w:rsidRDefault="00450D68" w:rsidP="00450D68">
            <w:r>
              <w:t>Social media is referenced throughout the framework, starting in grades 3-5 in the context of relationships, personal safety, and addiction.</w:t>
            </w:r>
          </w:p>
          <w:p w14:paraId="0688ADB8" w14:textId="77777777" w:rsidR="00450D68" w:rsidRDefault="00450D68" w:rsidP="00450D68"/>
          <w:p w14:paraId="23A29988" w14:textId="4B047EFE" w:rsidR="00450D68" w:rsidRDefault="00450D68" w:rsidP="00450D68">
            <w:r>
              <w:t>Media literacy is specifically referenced as an element of Practice 6: Information and Resource Seeking, and the role of media on health is incorporated as a part of various other practices and across topic areas.</w:t>
            </w:r>
          </w:p>
          <w:p w14:paraId="0F020025" w14:textId="77777777" w:rsidR="00450D68" w:rsidRDefault="00450D68" w:rsidP="00450D68"/>
          <w:p w14:paraId="54D54F9A" w14:textId="3194081F" w:rsidR="008D28CE" w:rsidRDefault="4CFD143B" w:rsidP="00450D68">
            <w:r>
              <w:t>The CHPE</w:t>
            </w:r>
            <w:r w:rsidR="008D28CE" w:rsidRPr="13EB779A">
              <w:t xml:space="preserve"> standards align with and</w:t>
            </w:r>
            <w:r w:rsidR="1D220C6B" w:rsidRPr="13EB779A">
              <w:t xml:space="preserve"> are</w:t>
            </w:r>
            <w:r w:rsidR="008D28CE" w:rsidRPr="13EB779A">
              <w:t xml:space="preserve"> supplemental to the </w:t>
            </w:r>
            <w:hyperlink r:id="rId18" w:history="1">
              <w:r w:rsidR="008D28CE" w:rsidRPr="13EB779A">
                <w:rPr>
                  <w:rStyle w:val="lead"/>
                  <w:color w:val="0056B3"/>
                  <w:u w:val="single"/>
                  <w:shd w:val="clear" w:color="auto" w:fill="FFFFFF"/>
                </w:rPr>
                <w:t>2016 Digital Literacy and Computer Science Framework</w:t>
              </w:r>
              <w:r w:rsidR="71613A2A" w:rsidRPr="13EB779A">
                <w:rPr>
                  <w:rStyle w:val="lead"/>
                  <w:color w:val="0056B3"/>
                  <w:u w:val="single"/>
                  <w:shd w:val="clear" w:color="auto" w:fill="FFFFFF"/>
                </w:rPr>
                <w:t>.</w:t>
              </w:r>
            </w:hyperlink>
            <w:r w:rsidR="008D28CE" w:rsidRPr="13EB779A">
              <w:t xml:space="preserve"> </w:t>
            </w:r>
            <w:r w:rsidR="2E24BD94" w:rsidRPr="13EB779A">
              <w:t xml:space="preserve"> </w:t>
            </w:r>
          </w:p>
        </w:tc>
      </w:tr>
      <w:tr w:rsidR="00450D68" w14:paraId="4E188D77" w14:textId="77777777" w:rsidTr="7080C955">
        <w:tc>
          <w:tcPr>
            <w:tcW w:w="4675" w:type="dxa"/>
          </w:tcPr>
          <w:p w14:paraId="7013BD96" w14:textId="77777777" w:rsidR="00450D68" w:rsidRDefault="00450D68" w:rsidP="00450D68"/>
        </w:tc>
        <w:tc>
          <w:tcPr>
            <w:tcW w:w="4675" w:type="dxa"/>
          </w:tcPr>
          <w:p w14:paraId="405D15C2" w14:textId="77777777" w:rsidR="00450D68" w:rsidRDefault="00450D68" w:rsidP="00450D68"/>
        </w:tc>
      </w:tr>
      <w:tr w:rsidR="008D28CE" w14:paraId="60B8CACE" w14:textId="77777777" w:rsidTr="7080C955">
        <w:tc>
          <w:tcPr>
            <w:tcW w:w="9350" w:type="dxa"/>
            <w:gridSpan w:val="2"/>
          </w:tcPr>
          <w:p w14:paraId="3B1CF391" w14:textId="7D7E1CA2" w:rsidR="008D28CE" w:rsidRPr="008D28CE" w:rsidRDefault="008D28CE" w:rsidP="00450D68">
            <w:pPr>
              <w:rPr>
                <w:b/>
                <w:bCs/>
              </w:rPr>
            </w:pPr>
            <w:r>
              <w:rPr>
                <w:b/>
                <w:bCs/>
              </w:rPr>
              <w:t>Nutrition</w:t>
            </w:r>
          </w:p>
        </w:tc>
      </w:tr>
      <w:tr w:rsidR="008D28CE" w14:paraId="5057D612" w14:textId="77777777" w:rsidTr="7080C955">
        <w:tc>
          <w:tcPr>
            <w:tcW w:w="4675" w:type="dxa"/>
          </w:tcPr>
          <w:p w14:paraId="639AC7F6" w14:textId="6A1D797F" w:rsidR="008D28CE" w:rsidRDefault="008D28CE" w:rsidP="008D28CE">
            <w:r>
              <w:t>Concerns were raised about ensuring nutrition education was inclusive and equitable.</w:t>
            </w:r>
          </w:p>
        </w:tc>
        <w:tc>
          <w:tcPr>
            <w:tcW w:w="4675" w:type="dxa"/>
          </w:tcPr>
          <w:p w14:paraId="43F6062D" w14:textId="26E17E74" w:rsidR="008D28CE" w:rsidRDefault="008D28CE" w:rsidP="008D28CE">
            <w:r>
              <w:t>Implementation supports will include best practices in teaching nutrition.</w:t>
            </w:r>
          </w:p>
        </w:tc>
      </w:tr>
      <w:tr w:rsidR="008D28CE" w14:paraId="0D79179C" w14:textId="77777777" w:rsidTr="7080C955">
        <w:tc>
          <w:tcPr>
            <w:tcW w:w="4675" w:type="dxa"/>
          </w:tcPr>
          <w:p w14:paraId="4F7C0586" w14:textId="0E01AB56" w:rsidR="008D28CE" w:rsidRDefault="008D28CE" w:rsidP="008D28CE"/>
        </w:tc>
        <w:tc>
          <w:tcPr>
            <w:tcW w:w="4675" w:type="dxa"/>
          </w:tcPr>
          <w:p w14:paraId="63ECC61C" w14:textId="07CAE6B7" w:rsidR="008D28CE" w:rsidRDefault="008D28CE" w:rsidP="008D28CE"/>
        </w:tc>
      </w:tr>
      <w:tr w:rsidR="008D28CE" w14:paraId="14CBB9B3" w14:textId="77777777" w:rsidTr="7080C955">
        <w:tc>
          <w:tcPr>
            <w:tcW w:w="9350" w:type="dxa"/>
            <w:gridSpan w:val="2"/>
          </w:tcPr>
          <w:p w14:paraId="10BBEEFA" w14:textId="790EE206" w:rsidR="008D28CE" w:rsidRPr="008D28CE" w:rsidRDefault="008D28CE" w:rsidP="008D28CE">
            <w:pPr>
              <w:rPr>
                <w:b/>
                <w:bCs/>
              </w:rPr>
            </w:pPr>
            <w:r w:rsidRPr="74CFDD79">
              <w:rPr>
                <w:b/>
                <w:bCs/>
              </w:rPr>
              <w:t>Disability</w:t>
            </w:r>
          </w:p>
        </w:tc>
      </w:tr>
      <w:tr w:rsidR="008D28CE" w14:paraId="46A9C4A6" w14:textId="77777777" w:rsidTr="7080C955">
        <w:tc>
          <w:tcPr>
            <w:tcW w:w="4675" w:type="dxa"/>
          </w:tcPr>
          <w:p w14:paraId="6014F1D2" w14:textId="1D7E571D" w:rsidR="008D28CE" w:rsidRDefault="008D28CE" w:rsidP="008D28CE">
            <w:r>
              <w:t xml:space="preserve">Concerns were raised about a lack of </w:t>
            </w:r>
            <w:r w:rsidR="00B14FC2">
              <w:t>acknowledgment</w:t>
            </w:r>
            <w:r w:rsidR="00C57E58">
              <w:t xml:space="preserve"> of</w:t>
            </w:r>
            <w:r>
              <w:t xml:space="preserve"> disability and that some standards (mainly </w:t>
            </w:r>
            <w:r w:rsidR="00B14FC2">
              <w:t>movement-focused</w:t>
            </w:r>
            <w:r>
              <w:t xml:space="preserve"> standards) were ableist. </w:t>
            </w:r>
          </w:p>
        </w:tc>
        <w:tc>
          <w:tcPr>
            <w:tcW w:w="4675" w:type="dxa"/>
          </w:tcPr>
          <w:p w14:paraId="1E8DF2D6" w14:textId="53DD9CF0" w:rsidR="008D28CE" w:rsidRDefault="008D28CE" w:rsidP="003138DB">
            <w:r>
              <w:t>A definition of “</w:t>
            </w:r>
            <w:r w:rsidR="00B14FC2">
              <w:t>developmental appropriateness</w:t>
            </w:r>
            <w:r>
              <w:t>” is included in the introduction to articulate the intended inclusivity of the term.</w:t>
            </w:r>
          </w:p>
        </w:tc>
      </w:tr>
      <w:tr w:rsidR="008D28CE" w14:paraId="05B574FD" w14:textId="77777777" w:rsidTr="7080C955">
        <w:tc>
          <w:tcPr>
            <w:tcW w:w="4675" w:type="dxa"/>
          </w:tcPr>
          <w:p w14:paraId="02CB01C4" w14:textId="77777777" w:rsidR="008D28CE" w:rsidRDefault="008D28CE" w:rsidP="008D28CE"/>
        </w:tc>
        <w:tc>
          <w:tcPr>
            <w:tcW w:w="4675" w:type="dxa"/>
          </w:tcPr>
          <w:p w14:paraId="410F5ED2" w14:textId="77777777" w:rsidR="008D28CE" w:rsidRDefault="008D28CE" w:rsidP="008D28CE"/>
        </w:tc>
      </w:tr>
      <w:tr w:rsidR="003138DB" w14:paraId="42BF427E" w14:textId="77777777" w:rsidTr="7080C955">
        <w:tc>
          <w:tcPr>
            <w:tcW w:w="9350" w:type="dxa"/>
            <w:gridSpan w:val="2"/>
          </w:tcPr>
          <w:p w14:paraId="5FB1CAD5" w14:textId="45D6E23C" w:rsidR="003138DB" w:rsidRPr="003138DB" w:rsidRDefault="003138DB" w:rsidP="008D28CE">
            <w:pPr>
              <w:rPr>
                <w:b/>
                <w:bCs/>
              </w:rPr>
            </w:pPr>
            <w:r>
              <w:rPr>
                <w:b/>
                <w:bCs/>
              </w:rPr>
              <w:t>Family Engagement</w:t>
            </w:r>
          </w:p>
        </w:tc>
      </w:tr>
      <w:tr w:rsidR="003138DB" w14:paraId="5A9785CB" w14:textId="77777777" w:rsidTr="7080C955">
        <w:tc>
          <w:tcPr>
            <w:tcW w:w="4675" w:type="dxa"/>
          </w:tcPr>
          <w:p w14:paraId="1E36C981" w14:textId="7AD67AC9" w:rsidR="003138DB" w:rsidRDefault="003138DB" w:rsidP="003138DB">
            <w:r>
              <w:t>Requests for information about opt-out laws.</w:t>
            </w:r>
          </w:p>
        </w:tc>
        <w:tc>
          <w:tcPr>
            <w:tcW w:w="4675" w:type="dxa"/>
          </w:tcPr>
          <w:p w14:paraId="0DA7012E" w14:textId="142726E8" w:rsidR="003138DB" w:rsidRDefault="003138DB" w:rsidP="003138DB">
            <w:pPr>
              <w:rPr>
                <w:color w:val="202020"/>
                <w:shd w:val="clear" w:color="auto" w:fill="FFFFFF"/>
              </w:rPr>
            </w:pPr>
            <w:r>
              <w:rPr>
                <w:color w:val="202020"/>
                <w:shd w:val="clear" w:color="auto" w:fill="FFFFFF"/>
              </w:rPr>
              <w:t xml:space="preserve">The </w:t>
            </w:r>
            <w:r w:rsidR="1AAF64BF">
              <w:rPr>
                <w:color w:val="202020"/>
                <w:shd w:val="clear" w:color="auto" w:fill="FFFFFF"/>
              </w:rPr>
              <w:t>o</w:t>
            </w:r>
            <w:r>
              <w:rPr>
                <w:color w:val="202020"/>
                <w:shd w:val="clear" w:color="auto" w:fill="FFFFFF"/>
              </w:rPr>
              <w:t>pt-out process remains unchanged.</w:t>
            </w:r>
          </w:p>
          <w:p w14:paraId="2AB845F4" w14:textId="77777777" w:rsidR="003138DB" w:rsidRDefault="003138DB" w:rsidP="003138DB">
            <w:pPr>
              <w:rPr>
                <w:color w:val="202020"/>
                <w:shd w:val="clear" w:color="auto" w:fill="FFFFFF"/>
              </w:rPr>
            </w:pPr>
          </w:p>
          <w:p w14:paraId="36DD15BB" w14:textId="01B05714" w:rsidR="003138DB" w:rsidRDefault="003138DB" w:rsidP="003138DB">
            <w:r w:rsidRPr="5CDE3184">
              <w:rPr>
                <w:color w:val="202020"/>
                <w:shd w:val="clear" w:color="auto" w:fill="FFFFFF"/>
              </w:rPr>
              <w:t>State law (</w:t>
            </w:r>
            <w:hyperlink r:id="rId19" w:history="1">
              <w:r w:rsidRPr="5CDE3184">
                <w:rPr>
                  <w:rStyle w:val="Hyperlink"/>
                  <w:color w:val="007C89"/>
                  <w:shd w:val="clear" w:color="auto" w:fill="FFFFFF"/>
                </w:rPr>
                <w:t>G.L. c. 71, § 1</w:t>
              </w:r>
            </w:hyperlink>
            <w:r w:rsidRPr="5CDE3184">
              <w:rPr>
                <w:color w:val="202020"/>
                <w:shd w:val="clear" w:color="auto" w:fill="FFFFFF"/>
              </w:rPr>
              <w:t> and </w:t>
            </w:r>
            <w:hyperlink r:id="rId20" w:history="1">
              <w:r w:rsidRPr="5CDE3184">
                <w:rPr>
                  <w:rStyle w:val="Hyperlink"/>
                  <w:color w:val="007C89"/>
                  <w:shd w:val="clear" w:color="auto" w:fill="FFFFFF"/>
                </w:rPr>
                <w:t>G.L. c. 71, § 3</w:t>
              </w:r>
            </w:hyperlink>
            <w:r w:rsidRPr="5CDE3184">
              <w:rPr>
                <w:color w:val="202020"/>
                <w:shd w:val="clear" w:color="auto" w:fill="FFFFFF"/>
              </w:rPr>
              <w:t xml:space="preserve">) requires all public schools to teach health education and physical education, but school districts have </w:t>
            </w:r>
            <w:r>
              <w:rPr>
                <w:color w:val="202020"/>
                <w:shd w:val="clear" w:color="auto" w:fill="FFFFFF"/>
              </w:rPr>
              <w:t xml:space="preserve">the </w:t>
            </w:r>
            <w:r w:rsidRPr="5CDE3184">
              <w:rPr>
                <w:color w:val="202020"/>
                <w:shd w:val="clear" w:color="auto" w:fill="FFFFFF"/>
              </w:rPr>
              <w:t>discretion to determine how standards are implemented at the local level, including what curriculum and materials they will use. State law (</w:t>
            </w:r>
            <w:hyperlink r:id="rId21" w:history="1">
              <w:r w:rsidRPr="5CDE3184">
                <w:rPr>
                  <w:rStyle w:val="Hyperlink"/>
                  <w:color w:val="007C89"/>
                  <w:shd w:val="clear" w:color="auto" w:fill="FFFFFF"/>
                </w:rPr>
                <w:t>G.L. c. 71, § 32A</w:t>
              </w:r>
            </w:hyperlink>
            <w:r w:rsidRPr="5CDE3184">
              <w:rPr>
                <w:color w:val="202020"/>
                <w:shd w:val="clear" w:color="auto" w:fill="FFFFFF"/>
              </w:rPr>
              <w:t xml:space="preserve">) gives parents the </w:t>
            </w:r>
            <w:r w:rsidRPr="5CDE3184">
              <w:rPr>
                <w:color w:val="202020"/>
                <w:shd w:val="clear" w:color="auto" w:fill="FFFFFF"/>
              </w:rPr>
              <w:lastRenderedPageBreak/>
              <w:t xml:space="preserve">right to </w:t>
            </w:r>
            <w:r>
              <w:rPr>
                <w:color w:val="202020"/>
                <w:shd w:val="clear" w:color="auto" w:fill="FFFFFF"/>
              </w:rPr>
              <w:t>opt-out</w:t>
            </w:r>
            <w:r w:rsidRPr="5CDE3184">
              <w:rPr>
                <w:color w:val="202020"/>
                <w:shd w:val="clear" w:color="auto" w:fill="FFFFFF"/>
              </w:rPr>
              <w:t xml:space="preserve"> their children from lessons related to </w:t>
            </w:r>
            <w:r w:rsidR="00725071">
              <w:rPr>
                <w:color w:val="202020"/>
                <w:shd w:val="clear" w:color="auto" w:fill="FFFFFF"/>
              </w:rPr>
              <w:t xml:space="preserve">human </w:t>
            </w:r>
            <w:r w:rsidRPr="5CDE3184">
              <w:rPr>
                <w:color w:val="202020"/>
                <w:shd w:val="clear" w:color="auto" w:fill="FFFFFF"/>
              </w:rPr>
              <w:t>sex</w:t>
            </w:r>
            <w:r w:rsidR="00725071">
              <w:rPr>
                <w:color w:val="202020"/>
                <w:shd w:val="clear" w:color="auto" w:fill="FFFFFF"/>
              </w:rPr>
              <w:t>ual</w:t>
            </w:r>
            <w:r w:rsidRPr="5CDE3184">
              <w:rPr>
                <w:color w:val="202020"/>
                <w:shd w:val="clear" w:color="auto" w:fill="FFFFFF"/>
              </w:rPr>
              <w:t xml:space="preserve"> education</w:t>
            </w:r>
            <w:r w:rsidR="00562EC1">
              <w:rPr>
                <w:color w:val="202020"/>
                <w:shd w:val="clear" w:color="auto" w:fill="FFFFFF"/>
              </w:rPr>
              <w:t xml:space="preserve"> or human sexuality issues</w:t>
            </w:r>
            <w:r w:rsidRPr="5CDE3184">
              <w:rPr>
                <w:color w:val="202020"/>
                <w:shd w:val="clear" w:color="auto" w:fill="FFFFFF"/>
              </w:rPr>
              <w:t>, a small portion of the knowledge covered in this framework.</w:t>
            </w:r>
          </w:p>
        </w:tc>
      </w:tr>
      <w:tr w:rsidR="003138DB" w14:paraId="40F98F57" w14:textId="77777777" w:rsidTr="7080C955">
        <w:tc>
          <w:tcPr>
            <w:tcW w:w="4675" w:type="dxa"/>
          </w:tcPr>
          <w:p w14:paraId="3FE86D0E" w14:textId="77777777" w:rsidR="003138DB" w:rsidRDefault="003138DB" w:rsidP="003138DB"/>
        </w:tc>
        <w:tc>
          <w:tcPr>
            <w:tcW w:w="4675" w:type="dxa"/>
          </w:tcPr>
          <w:p w14:paraId="52AC8F12" w14:textId="77777777" w:rsidR="003138DB" w:rsidRDefault="003138DB" w:rsidP="003138DB"/>
        </w:tc>
      </w:tr>
      <w:tr w:rsidR="003138DB" w14:paraId="2FE5C8E1" w14:textId="77777777" w:rsidTr="7080C955">
        <w:tc>
          <w:tcPr>
            <w:tcW w:w="9350" w:type="dxa"/>
            <w:gridSpan w:val="2"/>
          </w:tcPr>
          <w:p w14:paraId="46B8857C" w14:textId="7F4CE210" w:rsidR="003138DB" w:rsidRPr="003138DB" w:rsidRDefault="003138DB" w:rsidP="003138DB">
            <w:pPr>
              <w:rPr>
                <w:b/>
                <w:bCs/>
              </w:rPr>
            </w:pPr>
            <w:r w:rsidRPr="5CDE3184">
              <w:rPr>
                <w:b/>
                <w:bCs/>
              </w:rPr>
              <w:t>Implementation</w:t>
            </w:r>
          </w:p>
        </w:tc>
      </w:tr>
      <w:tr w:rsidR="003138DB" w14:paraId="6D32AAED" w14:textId="77777777" w:rsidTr="7080C955">
        <w:tc>
          <w:tcPr>
            <w:tcW w:w="4675" w:type="dxa"/>
          </w:tcPr>
          <w:p w14:paraId="5D630963" w14:textId="7F43F98B" w:rsidR="003138DB" w:rsidRDefault="003138DB" w:rsidP="003138DB">
            <w:r>
              <w:t xml:space="preserve">Concerns were raised about </w:t>
            </w:r>
            <w:r w:rsidR="00FA55C6">
              <w:t xml:space="preserve">providing </w:t>
            </w:r>
            <w:r>
              <w:t>equitable access to opportunities for CHPE for all students (e.g., students with disabilities, multi-lingual learners, etc.) and lack of time or dedicated courses/classes to implement comprehensive health and physical education.</w:t>
            </w:r>
          </w:p>
          <w:p w14:paraId="06060C81" w14:textId="77777777" w:rsidR="003138DB" w:rsidRDefault="003138DB" w:rsidP="003138DB"/>
          <w:p w14:paraId="1B71EB5E" w14:textId="3E652492" w:rsidR="003138DB" w:rsidRDefault="003138DB" w:rsidP="7080C955">
            <w:pPr>
              <w:rPr>
                <w:rStyle w:val="normaltextrun"/>
                <w:color w:val="4472C4" w:themeColor="accent1"/>
              </w:rPr>
            </w:pPr>
          </w:p>
        </w:tc>
        <w:tc>
          <w:tcPr>
            <w:tcW w:w="4675" w:type="dxa"/>
          </w:tcPr>
          <w:p w14:paraId="13AC7E6E" w14:textId="2D168185" w:rsidR="008C2562" w:rsidRDefault="006773F8" w:rsidP="003138DB">
            <w:r w:rsidRPr="5CDE3184">
              <w:rPr>
                <w:color w:val="202020"/>
                <w:shd w:val="clear" w:color="auto" w:fill="FFFFFF"/>
              </w:rPr>
              <w:t>State law (</w:t>
            </w:r>
            <w:hyperlink r:id="rId22" w:history="1">
              <w:r w:rsidRPr="5CDE3184">
                <w:rPr>
                  <w:rStyle w:val="Hyperlink"/>
                  <w:color w:val="007C89"/>
                  <w:shd w:val="clear" w:color="auto" w:fill="FFFFFF"/>
                </w:rPr>
                <w:t>G.L. c. 71, § 1</w:t>
              </w:r>
            </w:hyperlink>
            <w:r w:rsidRPr="5CDE3184">
              <w:rPr>
                <w:color w:val="202020"/>
                <w:shd w:val="clear" w:color="auto" w:fill="FFFFFF"/>
              </w:rPr>
              <w:t> and </w:t>
            </w:r>
            <w:hyperlink r:id="rId23" w:history="1">
              <w:r w:rsidRPr="5CDE3184">
                <w:rPr>
                  <w:rStyle w:val="Hyperlink"/>
                  <w:color w:val="007C89"/>
                  <w:shd w:val="clear" w:color="auto" w:fill="FFFFFF"/>
                </w:rPr>
                <w:t>G.L. c. 71, § 3</w:t>
              </w:r>
            </w:hyperlink>
            <w:r w:rsidRPr="5CDE3184">
              <w:rPr>
                <w:color w:val="202020"/>
                <w:shd w:val="clear" w:color="auto" w:fill="FFFFFF"/>
              </w:rPr>
              <w:t>) requires all public schools to teach health and physical education</w:t>
            </w:r>
            <w:r w:rsidR="001A3796">
              <w:rPr>
                <w:color w:val="202020"/>
                <w:shd w:val="clear" w:color="auto" w:fill="FFFFFF"/>
              </w:rPr>
              <w:t>.</w:t>
            </w:r>
            <w:r w:rsidR="003138DB" w:rsidRPr="5838B788">
              <w:rPr>
                <w:color w:val="202020"/>
                <w:shd w:val="clear" w:color="auto" w:fill="FFFFFF"/>
              </w:rPr>
              <w:t xml:space="preserve"> </w:t>
            </w:r>
            <w:r w:rsidR="009C2F30" w:rsidRPr="5838B788">
              <w:rPr>
                <w:color w:val="202020"/>
                <w:shd w:val="clear" w:color="auto" w:fill="FFFFFF"/>
              </w:rPr>
              <w:t xml:space="preserve">Curriculum frameworks like the CHPE “are </w:t>
            </w:r>
            <w:r w:rsidR="009C2F30" w:rsidRPr="009C2F30">
              <w:t>constructed to guide and assist teachers</w:t>
            </w:r>
            <w:r w:rsidR="009C2F30">
              <w:t>…</w:t>
            </w:r>
            <w:r w:rsidR="009C2F30" w:rsidRPr="009C2F30">
              <w:t xml:space="preserve"> in the development and selection of curricula, textbooks, technology and other instructional materials, and in the design of pedagogical approaches and techniques for elementary, secondary and vocational-technical schools</w:t>
            </w:r>
            <w:r w:rsidR="009C2F30">
              <w:t xml:space="preserve">.” </w:t>
            </w:r>
          </w:p>
          <w:p w14:paraId="482BB6A4" w14:textId="7F196490" w:rsidR="5838B788" w:rsidRDefault="5838B788" w:rsidP="5838B788"/>
          <w:p w14:paraId="7C5F404C" w14:textId="67FF3D11" w:rsidR="009C2F30" w:rsidRPr="009C2F30" w:rsidRDefault="7AE16211" w:rsidP="7080C955">
            <w:pPr>
              <w:rPr>
                <w:color w:val="202020"/>
              </w:rPr>
            </w:pPr>
            <w:r w:rsidRPr="7080C955">
              <w:rPr>
                <w:color w:val="202020"/>
              </w:rPr>
              <w:t>School districts have the discretion to determine how standards are implemented at the local level, including what curriculum and materials they will use.</w:t>
            </w:r>
          </w:p>
        </w:tc>
      </w:tr>
      <w:tr w:rsidR="003138DB" w14:paraId="3B6B2F9F" w14:textId="77777777" w:rsidTr="7080C955">
        <w:tc>
          <w:tcPr>
            <w:tcW w:w="4675" w:type="dxa"/>
          </w:tcPr>
          <w:p w14:paraId="68DB139C" w14:textId="77777777" w:rsidR="003138DB" w:rsidRDefault="003138DB" w:rsidP="003138DB">
            <w:r>
              <w:t>Questions were raised about educator preparation and teacher licensure.</w:t>
            </w:r>
          </w:p>
          <w:p w14:paraId="62766593" w14:textId="77777777" w:rsidR="003138DB" w:rsidRDefault="003138DB" w:rsidP="003138DB"/>
        </w:tc>
        <w:tc>
          <w:tcPr>
            <w:tcW w:w="4675" w:type="dxa"/>
          </w:tcPr>
          <w:p w14:paraId="7323B1DC" w14:textId="3486F33A" w:rsidR="003138DB" w:rsidRDefault="003138DB" w:rsidP="003138DB">
            <w:r>
              <w:t xml:space="preserve">As with other Massachusetts Curriculum Frameworks, upon adoption of the revised standards, the Department will </w:t>
            </w:r>
            <w:r w:rsidRPr="5838B788">
              <w:rPr>
                <w:rFonts w:eastAsia="Times New Roman"/>
              </w:rPr>
              <w:t xml:space="preserve">update the </w:t>
            </w:r>
            <w:hyperlink r:id="rId24">
              <w:r w:rsidRPr="5838B788">
                <w:rPr>
                  <w:rStyle w:val="Hyperlink"/>
                  <w:rFonts w:eastAsia="Times New Roman"/>
                </w:rPr>
                <w:t>Subject Matter Knowledge (SMK) Guidelines</w:t>
              </w:r>
            </w:hyperlink>
            <w:r w:rsidRPr="5838B788">
              <w:rPr>
                <w:rFonts w:eastAsia="Times New Roman"/>
              </w:rPr>
              <w:t xml:space="preserve"> requirements </w:t>
            </w:r>
            <w:r w:rsidR="00BF4C94" w:rsidRPr="5838B788">
              <w:rPr>
                <w:rFonts w:eastAsia="Times New Roman"/>
              </w:rPr>
              <w:t xml:space="preserve">to </w:t>
            </w:r>
            <w:r w:rsidRPr="5838B788">
              <w:rPr>
                <w:rFonts w:eastAsia="Times New Roman"/>
              </w:rPr>
              <w:t xml:space="preserve">align with the revised framework.  </w:t>
            </w:r>
            <w:r w:rsidR="00BF4C94" w:rsidRPr="5838B788">
              <w:rPr>
                <w:rFonts w:eastAsia="Times New Roman"/>
              </w:rPr>
              <w:t>Additionally, DESE will</w:t>
            </w:r>
            <w:r w:rsidR="006F2B00" w:rsidRPr="5838B788">
              <w:rPr>
                <w:rFonts w:eastAsia="Times New Roman"/>
              </w:rPr>
              <w:t xml:space="preserve"> revise the</w:t>
            </w:r>
            <w:r w:rsidRPr="5838B788">
              <w:rPr>
                <w:rFonts w:eastAsia="Times New Roman"/>
              </w:rPr>
              <w:t xml:space="preserve"> subject matter knowledge</w:t>
            </w:r>
            <w:r w:rsidR="00B14FC2">
              <w:rPr>
                <w:rFonts w:eastAsia="Times New Roman"/>
              </w:rPr>
              <w:t xml:space="preserve"> of the</w:t>
            </w:r>
            <w:r w:rsidRPr="5838B788">
              <w:rPr>
                <w:rFonts w:eastAsia="Times New Roman"/>
              </w:rPr>
              <w:t xml:space="preserve"> Massachusetts Tests for Educator Licensure (MTELs) in the coming years </w:t>
            </w:r>
            <w:r w:rsidR="006F2B00" w:rsidRPr="5838B788">
              <w:rPr>
                <w:rFonts w:eastAsia="Times New Roman"/>
              </w:rPr>
              <w:t xml:space="preserve">to be consistent with </w:t>
            </w:r>
            <w:r w:rsidRPr="5838B788">
              <w:rPr>
                <w:rFonts w:eastAsia="Times New Roman"/>
              </w:rPr>
              <w:t>the revised framework and SMK Guidelines</w:t>
            </w:r>
            <w:r w:rsidR="00817EE2" w:rsidRPr="5838B788">
              <w:rPr>
                <w:rFonts w:eastAsia="Times New Roman"/>
              </w:rPr>
              <w:t>.</w:t>
            </w:r>
          </w:p>
        </w:tc>
      </w:tr>
      <w:tr w:rsidR="003138DB" w14:paraId="1789717C" w14:textId="77777777" w:rsidTr="7080C955">
        <w:tc>
          <w:tcPr>
            <w:tcW w:w="4675" w:type="dxa"/>
          </w:tcPr>
          <w:p w14:paraId="1418AB09" w14:textId="1CD3B97E" w:rsidR="003138DB" w:rsidRPr="008031CA" w:rsidRDefault="008031CA" w:rsidP="5838B788">
            <w:pPr>
              <w:rPr>
                <w:color w:val="4472C4" w:themeColor="accent1"/>
              </w:rPr>
            </w:pPr>
            <w:r w:rsidRPr="5838B788">
              <w:rPr>
                <w:rStyle w:val="normaltextrun"/>
                <w:bdr w:val="none" w:sz="0" w:space="0" w:color="auto" w:frame="1"/>
              </w:rPr>
              <w:t xml:space="preserve">Will </w:t>
            </w:r>
            <w:r w:rsidRPr="00B14FC2">
              <w:rPr>
                <w:rStyle w:val="normaltextrun"/>
                <w:bdr w:val="none" w:sz="0" w:space="0" w:color="auto" w:frame="1"/>
              </w:rPr>
              <w:t xml:space="preserve">there be </w:t>
            </w:r>
            <w:r w:rsidR="002D6A80" w:rsidRPr="00B14FC2">
              <w:rPr>
                <w:rStyle w:val="normaltextrun"/>
                <w:bdr w:val="none" w:sz="0" w:space="0" w:color="auto" w:frame="1"/>
              </w:rPr>
              <w:t xml:space="preserve">technical assistance or other guidance </w:t>
            </w:r>
            <w:r w:rsidRPr="00B14FC2">
              <w:rPr>
                <w:rStyle w:val="normaltextrun"/>
                <w:bdr w:val="none" w:sz="0" w:space="0" w:color="auto" w:frame="1"/>
              </w:rPr>
              <w:t xml:space="preserve">for </w:t>
            </w:r>
            <w:r w:rsidR="002D6A80" w:rsidRPr="00B14FC2">
              <w:rPr>
                <w:rStyle w:val="normaltextrun"/>
                <w:bdr w:val="none" w:sz="0" w:space="0" w:color="auto" w:frame="1"/>
              </w:rPr>
              <w:t>district Curriculum Directors</w:t>
            </w:r>
            <w:r w:rsidRPr="00B14FC2">
              <w:rPr>
                <w:rStyle w:val="normaltextrun"/>
                <w:bdr w:val="none" w:sz="0" w:space="0" w:color="auto" w:frame="1"/>
              </w:rPr>
              <w:t xml:space="preserve"> and educators?</w:t>
            </w:r>
          </w:p>
        </w:tc>
        <w:tc>
          <w:tcPr>
            <w:tcW w:w="4675" w:type="dxa"/>
          </w:tcPr>
          <w:p w14:paraId="4F982921" w14:textId="1FDFB58B" w:rsidR="008031CA" w:rsidRDefault="008031CA" w:rsidP="008031CA">
            <w:r>
              <w:t xml:space="preserve">DESE will provide resources to support implementation, </w:t>
            </w:r>
            <w:r w:rsidR="00392B3C">
              <w:t>including on the following topics</w:t>
            </w:r>
            <w:r>
              <w:t>:</w:t>
            </w:r>
          </w:p>
          <w:p w14:paraId="1B6EB1A7" w14:textId="77777777" w:rsidR="008031CA" w:rsidRDefault="008031CA" w:rsidP="008031CA">
            <w:pPr>
              <w:pStyle w:val="ListParagraph"/>
              <w:numPr>
                <w:ilvl w:val="1"/>
                <w:numId w:val="2"/>
              </w:numPr>
              <w:ind w:left="700"/>
            </w:pPr>
            <w:r>
              <w:t>Orientation to the framework</w:t>
            </w:r>
          </w:p>
          <w:p w14:paraId="00A22545" w14:textId="77777777" w:rsidR="008031CA" w:rsidRDefault="008031CA" w:rsidP="008031CA">
            <w:pPr>
              <w:pStyle w:val="ListParagraph"/>
              <w:numPr>
                <w:ilvl w:val="1"/>
                <w:numId w:val="2"/>
              </w:numPr>
              <w:ind w:left="700"/>
            </w:pPr>
            <w:r>
              <w:t xml:space="preserve">Support for unpacking the standards and selecting/developing curricular resources for all </w:t>
            </w:r>
            <w:proofErr w:type="gramStart"/>
            <w:r>
              <w:t>students</w:t>
            </w:r>
            <w:proofErr w:type="gramEnd"/>
          </w:p>
          <w:p w14:paraId="677C741F" w14:textId="77777777" w:rsidR="008031CA" w:rsidRDefault="008031CA" w:rsidP="008031CA">
            <w:pPr>
              <w:pStyle w:val="ListParagraph"/>
              <w:numPr>
                <w:ilvl w:val="1"/>
                <w:numId w:val="2"/>
              </w:numPr>
              <w:ind w:left="700"/>
            </w:pPr>
            <w:r>
              <w:t>Equity, inclusion, and family engagement</w:t>
            </w:r>
          </w:p>
          <w:p w14:paraId="555E0FAB" w14:textId="77777777" w:rsidR="008031CA" w:rsidRDefault="008031CA" w:rsidP="008031CA"/>
          <w:p w14:paraId="2C7FC1F9" w14:textId="37F597FC" w:rsidR="008031CA" w:rsidRDefault="008031CA" w:rsidP="008031CA"/>
          <w:p w14:paraId="3C41444D" w14:textId="0D670AF8" w:rsidR="008031CA" w:rsidRDefault="008031CA" w:rsidP="7080C955">
            <w:r>
              <w:t xml:space="preserve">   </w:t>
            </w:r>
          </w:p>
          <w:p w14:paraId="496C17EB" w14:textId="382726DE" w:rsidR="008031CA" w:rsidRDefault="008031CA" w:rsidP="7080C955"/>
          <w:p w14:paraId="11662AED" w14:textId="77777777" w:rsidR="003138DB" w:rsidRDefault="003138DB" w:rsidP="003138DB"/>
        </w:tc>
      </w:tr>
      <w:tr w:rsidR="003138DB" w14:paraId="06AF3C34" w14:textId="77777777" w:rsidTr="7080C955">
        <w:tc>
          <w:tcPr>
            <w:tcW w:w="4675" w:type="dxa"/>
          </w:tcPr>
          <w:p w14:paraId="66CE9D92" w14:textId="77777777" w:rsidR="003138DB" w:rsidRDefault="003138DB" w:rsidP="003138DB"/>
        </w:tc>
        <w:tc>
          <w:tcPr>
            <w:tcW w:w="4675" w:type="dxa"/>
          </w:tcPr>
          <w:p w14:paraId="1F7FD8DC" w14:textId="77777777" w:rsidR="003138DB" w:rsidRDefault="003138DB" w:rsidP="003138DB"/>
        </w:tc>
      </w:tr>
    </w:tbl>
    <w:p w14:paraId="5640B257" w14:textId="77777777" w:rsidR="00493C3B" w:rsidRDefault="00493C3B"/>
    <w:sectPr w:rsidR="00493C3B" w:rsidSect="00D43CF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FA19" w14:textId="77777777" w:rsidR="00D43CF2" w:rsidRDefault="00D43CF2" w:rsidP="006B3595">
      <w:pPr>
        <w:spacing w:after="0" w:line="240" w:lineRule="auto"/>
      </w:pPr>
      <w:r>
        <w:separator/>
      </w:r>
    </w:p>
  </w:endnote>
  <w:endnote w:type="continuationSeparator" w:id="0">
    <w:p w14:paraId="3972DBE2" w14:textId="77777777" w:rsidR="00D43CF2" w:rsidRDefault="00D43CF2" w:rsidP="006B3595">
      <w:pPr>
        <w:spacing w:after="0" w:line="240" w:lineRule="auto"/>
      </w:pPr>
      <w:r>
        <w:continuationSeparator/>
      </w:r>
    </w:p>
  </w:endnote>
  <w:endnote w:type="continuationNotice" w:id="1">
    <w:p w14:paraId="346751C9" w14:textId="77777777" w:rsidR="00D43CF2" w:rsidRDefault="00D43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7F6A" w14:textId="77777777" w:rsidR="00D43CF2" w:rsidRDefault="00D43CF2" w:rsidP="006B3595">
      <w:pPr>
        <w:spacing w:after="0" w:line="240" w:lineRule="auto"/>
      </w:pPr>
      <w:r>
        <w:separator/>
      </w:r>
    </w:p>
  </w:footnote>
  <w:footnote w:type="continuationSeparator" w:id="0">
    <w:p w14:paraId="011D355B" w14:textId="77777777" w:rsidR="00D43CF2" w:rsidRDefault="00D43CF2" w:rsidP="006B3595">
      <w:pPr>
        <w:spacing w:after="0" w:line="240" w:lineRule="auto"/>
      </w:pPr>
      <w:r>
        <w:continuationSeparator/>
      </w:r>
    </w:p>
  </w:footnote>
  <w:footnote w:type="continuationNotice" w:id="1">
    <w:p w14:paraId="551F101E" w14:textId="77777777" w:rsidR="00D43CF2" w:rsidRDefault="00D43CF2">
      <w:pPr>
        <w:spacing w:after="0" w:line="240" w:lineRule="auto"/>
      </w:pPr>
    </w:p>
  </w:footnote>
  <w:footnote w:id="2">
    <w:p w14:paraId="64EC947B" w14:textId="3AAC2E42" w:rsidR="004832B9" w:rsidRDefault="004832B9">
      <w:pPr>
        <w:pStyle w:val="FootnoteText"/>
      </w:pPr>
      <w:r>
        <w:rPr>
          <w:rStyle w:val="FootnoteReference"/>
        </w:rPr>
        <w:footnoteRef/>
      </w:r>
      <w:r>
        <w:t xml:space="preserve"> </w:t>
      </w:r>
      <w:r w:rsidR="002E31F7" w:rsidRPr="002E31F7">
        <w:t>In early 2021, SHAPE America's National Physical Education Standards Task Force began the national standards revision process.</w:t>
      </w:r>
      <w:r w:rsidR="002E31F7">
        <w:t xml:space="preserve"> Its third round of public review and comment closed on August 31, 2023.</w:t>
      </w:r>
    </w:p>
  </w:footnote>
  <w:footnote w:id="3">
    <w:p w14:paraId="0044354A" w14:textId="77777777" w:rsidR="006B3595" w:rsidRDefault="006B3595" w:rsidP="00BF7436">
      <w:pPr>
        <w:pStyle w:val="FootnoteText"/>
      </w:pPr>
      <w:r>
        <w:rPr>
          <w:rStyle w:val="FootnoteReference"/>
        </w:rPr>
        <w:footnoteRef/>
      </w:r>
      <w:r>
        <w:t xml:space="preserve"> </w:t>
      </w:r>
      <w:r>
        <w:rPr>
          <w:rFonts w:ascii="Segoe UI" w:hAnsi="Segoe UI" w:cs="Segoe UI"/>
          <w:color w:val="212121"/>
          <w:shd w:val="clear" w:color="auto" w:fill="FFFFFF"/>
        </w:rPr>
        <w:t xml:space="preserve">Goldfarb ES, Lieberman LD. Three Decades of Research: The Case for Comprehensive Sex Education. J </w:t>
      </w:r>
      <w:proofErr w:type="spellStart"/>
      <w:r>
        <w:rPr>
          <w:rFonts w:ascii="Segoe UI" w:hAnsi="Segoe UI" w:cs="Segoe UI"/>
          <w:color w:val="212121"/>
          <w:shd w:val="clear" w:color="auto" w:fill="FFFFFF"/>
        </w:rPr>
        <w:t>Adolesc</w:t>
      </w:r>
      <w:proofErr w:type="spellEnd"/>
      <w:r>
        <w:rPr>
          <w:rFonts w:ascii="Segoe UI" w:hAnsi="Segoe UI" w:cs="Segoe UI"/>
          <w:color w:val="212121"/>
          <w:shd w:val="clear" w:color="auto" w:fill="FFFFFF"/>
        </w:rPr>
        <w:t xml:space="preserve"> Health. 2021 Jan;68(1):13-27.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10.1016/j.jadohealth.2020.07.036.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2020 Oct 12. PMID: 33059958.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D26FA"/>
    <w:multiLevelType w:val="hybridMultilevel"/>
    <w:tmpl w:val="A9861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6671B"/>
    <w:multiLevelType w:val="hybridMultilevel"/>
    <w:tmpl w:val="8E8E4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15601">
    <w:abstractNumId w:val="0"/>
  </w:num>
  <w:num w:numId="2" w16cid:durableId="1994528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3B"/>
    <w:rsid w:val="00005D01"/>
    <w:rsid w:val="00033041"/>
    <w:rsid w:val="000704A2"/>
    <w:rsid w:val="001064B2"/>
    <w:rsid w:val="00166B69"/>
    <w:rsid w:val="001A3796"/>
    <w:rsid w:val="001C4DEA"/>
    <w:rsid w:val="001C53E1"/>
    <w:rsid w:val="001E37F5"/>
    <w:rsid w:val="00214C22"/>
    <w:rsid w:val="00230D8B"/>
    <w:rsid w:val="002432DB"/>
    <w:rsid w:val="002A2E32"/>
    <w:rsid w:val="002D6A80"/>
    <w:rsid w:val="002E2136"/>
    <w:rsid w:val="002E31F7"/>
    <w:rsid w:val="002F36EF"/>
    <w:rsid w:val="00305C8F"/>
    <w:rsid w:val="003138DB"/>
    <w:rsid w:val="00330721"/>
    <w:rsid w:val="00392B3C"/>
    <w:rsid w:val="00397E8C"/>
    <w:rsid w:val="003B23D6"/>
    <w:rsid w:val="004229D4"/>
    <w:rsid w:val="00450D68"/>
    <w:rsid w:val="0045197E"/>
    <w:rsid w:val="004832B9"/>
    <w:rsid w:val="00493C3B"/>
    <w:rsid w:val="00497FFB"/>
    <w:rsid w:val="004D72A7"/>
    <w:rsid w:val="004E09D6"/>
    <w:rsid w:val="004E2CB4"/>
    <w:rsid w:val="004E4A23"/>
    <w:rsid w:val="00524766"/>
    <w:rsid w:val="00543AC0"/>
    <w:rsid w:val="00544905"/>
    <w:rsid w:val="00561DBD"/>
    <w:rsid w:val="00562EC1"/>
    <w:rsid w:val="005732C6"/>
    <w:rsid w:val="0057345E"/>
    <w:rsid w:val="005F5415"/>
    <w:rsid w:val="006408F9"/>
    <w:rsid w:val="006773F8"/>
    <w:rsid w:val="00686D8B"/>
    <w:rsid w:val="006B3595"/>
    <w:rsid w:val="006F2B00"/>
    <w:rsid w:val="006F334B"/>
    <w:rsid w:val="0070559E"/>
    <w:rsid w:val="007110B6"/>
    <w:rsid w:val="00717DCD"/>
    <w:rsid w:val="00725071"/>
    <w:rsid w:val="00797FB6"/>
    <w:rsid w:val="007A5F1D"/>
    <w:rsid w:val="007C6A8F"/>
    <w:rsid w:val="007C6D7F"/>
    <w:rsid w:val="007D6237"/>
    <w:rsid w:val="007E5D06"/>
    <w:rsid w:val="007F58CD"/>
    <w:rsid w:val="008031CA"/>
    <w:rsid w:val="00817EE2"/>
    <w:rsid w:val="00844971"/>
    <w:rsid w:val="00885127"/>
    <w:rsid w:val="00890A6F"/>
    <w:rsid w:val="00891647"/>
    <w:rsid w:val="008C2562"/>
    <w:rsid w:val="008D28CE"/>
    <w:rsid w:val="00917F8C"/>
    <w:rsid w:val="009C157A"/>
    <w:rsid w:val="009C2F30"/>
    <w:rsid w:val="00A33E46"/>
    <w:rsid w:val="00A37E4E"/>
    <w:rsid w:val="00A43680"/>
    <w:rsid w:val="00A644D2"/>
    <w:rsid w:val="00B14FC2"/>
    <w:rsid w:val="00B21FB8"/>
    <w:rsid w:val="00B46933"/>
    <w:rsid w:val="00B81EC8"/>
    <w:rsid w:val="00B90159"/>
    <w:rsid w:val="00BF4C94"/>
    <w:rsid w:val="00BF7436"/>
    <w:rsid w:val="00C05FE0"/>
    <w:rsid w:val="00C1174F"/>
    <w:rsid w:val="00C57E58"/>
    <w:rsid w:val="00C61C34"/>
    <w:rsid w:val="00C62424"/>
    <w:rsid w:val="00C86E68"/>
    <w:rsid w:val="00C873F5"/>
    <w:rsid w:val="00CB5C64"/>
    <w:rsid w:val="00CB6238"/>
    <w:rsid w:val="00D26E9A"/>
    <w:rsid w:val="00D43CF2"/>
    <w:rsid w:val="00D5543F"/>
    <w:rsid w:val="00D77984"/>
    <w:rsid w:val="00D81B25"/>
    <w:rsid w:val="00D925E2"/>
    <w:rsid w:val="00DF55DC"/>
    <w:rsid w:val="00DF7493"/>
    <w:rsid w:val="00E33766"/>
    <w:rsid w:val="00E820CB"/>
    <w:rsid w:val="00EB2D36"/>
    <w:rsid w:val="00EF4698"/>
    <w:rsid w:val="00F4331B"/>
    <w:rsid w:val="00F77F1A"/>
    <w:rsid w:val="00F87EDF"/>
    <w:rsid w:val="00F96CB7"/>
    <w:rsid w:val="00FA55C6"/>
    <w:rsid w:val="00FF3DCD"/>
    <w:rsid w:val="05AD573A"/>
    <w:rsid w:val="0749279B"/>
    <w:rsid w:val="0964689E"/>
    <w:rsid w:val="0B0038FF"/>
    <w:rsid w:val="0CE6547D"/>
    <w:rsid w:val="0D9F40C2"/>
    <w:rsid w:val="0F6409DB"/>
    <w:rsid w:val="13850CFA"/>
    <w:rsid w:val="13EB779A"/>
    <w:rsid w:val="1A0AA164"/>
    <w:rsid w:val="1AAF64BF"/>
    <w:rsid w:val="1D0D571E"/>
    <w:rsid w:val="1D1C99B7"/>
    <w:rsid w:val="1D220C6B"/>
    <w:rsid w:val="2E1C875D"/>
    <w:rsid w:val="2E24BD94"/>
    <w:rsid w:val="2E8B3865"/>
    <w:rsid w:val="30DD548D"/>
    <w:rsid w:val="314EDE9D"/>
    <w:rsid w:val="3472C6C7"/>
    <w:rsid w:val="355E19BB"/>
    <w:rsid w:val="39AC11EB"/>
    <w:rsid w:val="3A62EF1A"/>
    <w:rsid w:val="3B732DF7"/>
    <w:rsid w:val="3EC97636"/>
    <w:rsid w:val="42748805"/>
    <w:rsid w:val="483D5471"/>
    <w:rsid w:val="4CFD143B"/>
    <w:rsid w:val="51281D8A"/>
    <w:rsid w:val="547B91F6"/>
    <w:rsid w:val="5838B788"/>
    <w:rsid w:val="58D25F96"/>
    <w:rsid w:val="59DB4584"/>
    <w:rsid w:val="6224FA23"/>
    <w:rsid w:val="6721B434"/>
    <w:rsid w:val="7080C955"/>
    <w:rsid w:val="71613A2A"/>
    <w:rsid w:val="73F37588"/>
    <w:rsid w:val="75159C7D"/>
    <w:rsid w:val="7AB42E0D"/>
    <w:rsid w:val="7AE16211"/>
    <w:rsid w:val="7D6C95BD"/>
    <w:rsid w:val="7ED18461"/>
    <w:rsid w:val="7F0866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BA3EC"/>
  <w15:chartTrackingRefBased/>
  <w15:docId w15:val="{A569885E-F6B0-487E-B604-635D069A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C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C3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9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C3B"/>
    <w:pPr>
      <w:ind w:left="720"/>
      <w:contextualSpacing/>
    </w:pPr>
  </w:style>
  <w:style w:type="character" w:styleId="Hyperlink">
    <w:name w:val="Hyperlink"/>
    <w:basedOn w:val="DefaultParagraphFont"/>
    <w:uiPriority w:val="99"/>
    <w:unhideWhenUsed/>
    <w:rsid w:val="00493C3B"/>
    <w:rPr>
      <w:color w:val="0563C1" w:themeColor="hyperlink"/>
      <w:u w:val="single"/>
    </w:rPr>
  </w:style>
  <w:style w:type="character" w:styleId="FollowedHyperlink">
    <w:name w:val="FollowedHyperlink"/>
    <w:basedOn w:val="DefaultParagraphFont"/>
    <w:uiPriority w:val="99"/>
    <w:semiHidden/>
    <w:unhideWhenUsed/>
    <w:rsid w:val="00493C3B"/>
    <w:rPr>
      <w:color w:val="954F72" w:themeColor="followedHyperlink"/>
      <w:u w:val="single"/>
    </w:rPr>
  </w:style>
  <w:style w:type="character" w:styleId="CommentReference">
    <w:name w:val="annotation reference"/>
    <w:basedOn w:val="DefaultParagraphFont"/>
    <w:uiPriority w:val="99"/>
    <w:semiHidden/>
    <w:unhideWhenUsed/>
    <w:rsid w:val="006B3595"/>
    <w:rPr>
      <w:sz w:val="16"/>
      <w:szCs w:val="16"/>
    </w:rPr>
  </w:style>
  <w:style w:type="paragraph" w:styleId="CommentText">
    <w:name w:val="annotation text"/>
    <w:basedOn w:val="Normal"/>
    <w:link w:val="CommentTextChar"/>
    <w:uiPriority w:val="99"/>
    <w:unhideWhenUsed/>
    <w:rsid w:val="006B3595"/>
    <w:pPr>
      <w:spacing w:line="240" w:lineRule="auto"/>
    </w:pPr>
    <w:rPr>
      <w:sz w:val="20"/>
      <w:szCs w:val="20"/>
    </w:rPr>
  </w:style>
  <w:style w:type="character" w:customStyle="1" w:styleId="CommentTextChar">
    <w:name w:val="Comment Text Char"/>
    <w:basedOn w:val="DefaultParagraphFont"/>
    <w:link w:val="CommentText"/>
    <w:uiPriority w:val="99"/>
    <w:rsid w:val="006B3595"/>
    <w:rPr>
      <w:sz w:val="20"/>
      <w:szCs w:val="20"/>
    </w:rPr>
  </w:style>
  <w:style w:type="paragraph" w:styleId="CommentSubject">
    <w:name w:val="annotation subject"/>
    <w:basedOn w:val="CommentText"/>
    <w:next w:val="CommentText"/>
    <w:link w:val="CommentSubjectChar"/>
    <w:uiPriority w:val="99"/>
    <w:semiHidden/>
    <w:unhideWhenUsed/>
    <w:rsid w:val="006B3595"/>
    <w:rPr>
      <w:b/>
      <w:bCs/>
    </w:rPr>
  </w:style>
  <w:style w:type="character" w:customStyle="1" w:styleId="CommentSubjectChar">
    <w:name w:val="Comment Subject Char"/>
    <w:basedOn w:val="CommentTextChar"/>
    <w:link w:val="CommentSubject"/>
    <w:uiPriority w:val="99"/>
    <w:semiHidden/>
    <w:rsid w:val="006B3595"/>
    <w:rPr>
      <w:b/>
      <w:bCs/>
      <w:sz w:val="20"/>
      <w:szCs w:val="20"/>
    </w:rPr>
  </w:style>
  <w:style w:type="paragraph" w:styleId="FootnoteText">
    <w:name w:val="footnote text"/>
    <w:basedOn w:val="Normal"/>
    <w:link w:val="FootnoteTextChar"/>
    <w:uiPriority w:val="99"/>
    <w:semiHidden/>
    <w:unhideWhenUsed/>
    <w:rsid w:val="006B35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595"/>
    <w:rPr>
      <w:sz w:val="20"/>
      <w:szCs w:val="20"/>
    </w:rPr>
  </w:style>
  <w:style w:type="character" w:styleId="FootnoteReference">
    <w:name w:val="footnote reference"/>
    <w:basedOn w:val="DefaultParagraphFont"/>
    <w:uiPriority w:val="99"/>
    <w:semiHidden/>
    <w:unhideWhenUsed/>
    <w:rsid w:val="006B3595"/>
    <w:rPr>
      <w:vertAlign w:val="superscript"/>
    </w:rPr>
  </w:style>
  <w:style w:type="character" w:customStyle="1" w:styleId="lead">
    <w:name w:val="lead"/>
    <w:basedOn w:val="DefaultParagraphFont"/>
    <w:rsid w:val="00450D68"/>
  </w:style>
  <w:style w:type="character" w:customStyle="1" w:styleId="normaltextrun">
    <w:name w:val="normaltextrun"/>
    <w:basedOn w:val="DefaultParagraphFont"/>
    <w:rsid w:val="002D6A80"/>
  </w:style>
  <w:style w:type="character" w:customStyle="1" w:styleId="eop">
    <w:name w:val="eop"/>
    <w:basedOn w:val="DefaultParagraphFont"/>
    <w:rsid w:val="002D6A80"/>
  </w:style>
  <w:style w:type="character" w:styleId="UnresolvedMention">
    <w:name w:val="Unresolved Mention"/>
    <w:basedOn w:val="DefaultParagraphFont"/>
    <w:uiPriority w:val="99"/>
    <w:unhideWhenUsed/>
    <w:rsid w:val="00561DB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77F1A"/>
    <w:pPr>
      <w:spacing w:after="0" w:line="240" w:lineRule="auto"/>
    </w:pPr>
  </w:style>
  <w:style w:type="paragraph" w:styleId="Header">
    <w:name w:val="header"/>
    <w:basedOn w:val="Normal"/>
    <w:link w:val="HeaderChar"/>
    <w:uiPriority w:val="99"/>
    <w:unhideWhenUsed/>
    <w:rsid w:val="00305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8F"/>
  </w:style>
  <w:style w:type="paragraph" w:styleId="Footer">
    <w:name w:val="footer"/>
    <w:basedOn w:val="Normal"/>
    <w:link w:val="FooterChar"/>
    <w:uiPriority w:val="99"/>
    <w:unhideWhenUsed/>
    <w:rsid w:val="00305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71/Section3" TargetMode="External"/><Relationship Id="rId18" Type="http://schemas.openxmlformats.org/officeDocument/2006/relationships/hyperlink" Target="https://www.doe.mass.edu/frameworks/dlc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alegislature.gov/Laws/GeneralLaws/PartI/TitleXII/Chapter71/Section32a" TargetMode="External"/><Relationship Id="rId7" Type="http://schemas.openxmlformats.org/officeDocument/2006/relationships/settings" Target="settings.xml"/><Relationship Id="rId12" Type="http://schemas.openxmlformats.org/officeDocument/2006/relationships/hyperlink" Target="https://malegislature.gov/Laws/GeneralLaws/PartI/TitleXII/Chapter71/Section1" TargetMode="External"/><Relationship Id="rId17" Type="http://schemas.openxmlformats.org/officeDocument/2006/relationships/hyperlink" Target="https://malegislature.gov/Laws/GeneralLaws/PartI/TitleXII/Chapter71/Section32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legislature.gov/Laws/GeneralLaws/PartI/TitleXII/Chapter71/Section3" TargetMode="External"/><Relationship Id="rId20" Type="http://schemas.openxmlformats.org/officeDocument/2006/relationships/hyperlink" Target="https://malegislature.gov/Laws/GeneralLaws/PartI/TitleXII/Chapter71/Section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fs/healthframework/chpe-alignment-crosswalks.docx" TargetMode="External"/><Relationship Id="rId24" Type="http://schemas.openxmlformats.org/officeDocument/2006/relationships/hyperlink" Target="https://www.doe.mass.edu/edprep/domains/instruction/smk-guidelines.docx" TargetMode="External"/><Relationship Id="rId5" Type="http://schemas.openxmlformats.org/officeDocument/2006/relationships/numbering" Target="numbering.xml"/><Relationship Id="rId15" Type="http://schemas.openxmlformats.org/officeDocument/2006/relationships/hyperlink" Target="https://malegislature.gov/Laws/GeneralLaws/PartI/TitleXII/Chapter71/Section1" TargetMode="External"/><Relationship Id="rId23" Type="http://schemas.openxmlformats.org/officeDocument/2006/relationships/hyperlink" Target="https://malegislature.gov/Laws/GeneralLaws/PartI/TitleXII/Chapter71/Section3" TargetMode="External"/><Relationship Id="rId10" Type="http://schemas.openxmlformats.org/officeDocument/2006/relationships/endnotes" Target="endnotes.xml"/><Relationship Id="rId19" Type="http://schemas.openxmlformats.org/officeDocument/2006/relationships/hyperlink" Target="https://malegislature.gov/Laws/GeneralLaws/PartI/TitleXII/Chapter71/Sectio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GeneralLaws/PartI/TitleXII/Chapter71/Section32a" TargetMode="External"/><Relationship Id="rId22" Type="http://schemas.openxmlformats.org/officeDocument/2006/relationships/hyperlink" Target="https://malegislature.gov/Laws/GeneralLaws/PartI/TitleXII/Chapter71/Sec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1A094C1E87654C80941658A2FF528F" ma:contentTypeVersion="14" ma:contentTypeDescription="Create a new document." ma:contentTypeScope="" ma:versionID="e603d226620ec23ee76042d4b8da0a8c">
  <xsd:schema xmlns:xsd="http://www.w3.org/2001/XMLSchema" xmlns:xs="http://www.w3.org/2001/XMLSchema" xmlns:p="http://schemas.microsoft.com/office/2006/metadata/properties" xmlns:ns2="4835b941-895e-47ae-a81a-d8acf327664e" xmlns:ns3="a919506c-b8f4-4ca8-ac1a-eb7ea2ec2762" targetNamespace="http://schemas.microsoft.com/office/2006/metadata/properties" ma:root="true" ma:fieldsID="19d4ab365b6b1dc74797e982a7363b31" ns2:_="" ns3:_="">
    <xsd:import namespace="4835b941-895e-47ae-a81a-d8acf327664e"/>
    <xsd:import namespace="a919506c-b8f4-4ca8-ac1a-eb7ea2ec27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b941-895e-47ae-a81a-d8acf3276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9506c-b8f4-4ca8-ac1a-eb7ea2ec27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e74616-526e-4a7f-9cbc-a59420d7e9dd}" ma:internalName="TaxCatchAll" ma:showField="CatchAllData" ma:web="a919506c-b8f4-4ca8-ac1a-eb7ea2ec2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35b941-895e-47ae-a81a-d8acf327664e">
      <Terms xmlns="http://schemas.microsoft.com/office/infopath/2007/PartnerControls"/>
    </lcf76f155ced4ddcb4097134ff3c332f>
    <TaxCatchAll xmlns="a919506c-b8f4-4ca8-ac1a-eb7ea2ec2762" xsi:nil="true"/>
    <SharedWithUsers xmlns="a919506c-b8f4-4ca8-ac1a-eb7ea2ec2762">
      <UserInfo>
        <DisplayName>McKinnon, Kristen A (DESE)</DisplayName>
        <AccountId>481</AccountId>
        <AccountType/>
      </UserInfo>
      <UserInfo>
        <DisplayName>Johnston, Russell (DESE)</DisplayName>
        <AccountId>248</AccountId>
        <AccountType/>
      </UserInfo>
      <UserInfo>
        <DisplayName>Thomas, Arabela (DESE)</DisplayName>
        <AccountId>505</AccountId>
        <AccountType/>
      </UserInfo>
      <UserInfo>
        <DisplayName>Schneider, Rhoda E (DESE)</DisplayName>
        <AccountId>486</AccountId>
        <AccountType/>
      </UserInfo>
    </SharedWithUsers>
  </documentManagement>
</p:properties>
</file>

<file path=customXml/itemProps1.xml><?xml version="1.0" encoding="utf-8"?>
<ds:datastoreItem xmlns:ds="http://schemas.openxmlformats.org/officeDocument/2006/customXml" ds:itemID="{D7C70D57-80BA-41F0-A518-83C7A23401C2}">
  <ds:schemaRefs>
    <ds:schemaRef ds:uri="http://schemas.openxmlformats.org/officeDocument/2006/bibliography"/>
  </ds:schemaRefs>
</ds:datastoreItem>
</file>

<file path=customXml/itemProps2.xml><?xml version="1.0" encoding="utf-8"?>
<ds:datastoreItem xmlns:ds="http://schemas.openxmlformats.org/officeDocument/2006/customXml" ds:itemID="{430FAC66-D519-440B-8D9B-67DC19202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b941-895e-47ae-a81a-d8acf327664e"/>
    <ds:schemaRef ds:uri="a919506c-b8f4-4ca8-ac1a-eb7ea2ec2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4E499-F334-42BD-A1B8-3A39375CD920}">
  <ds:schemaRefs>
    <ds:schemaRef ds:uri="http://schemas.microsoft.com/sharepoint/v3/contenttype/forms"/>
  </ds:schemaRefs>
</ds:datastoreItem>
</file>

<file path=customXml/itemProps4.xml><?xml version="1.0" encoding="utf-8"?>
<ds:datastoreItem xmlns:ds="http://schemas.openxmlformats.org/officeDocument/2006/customXml" ds:itemID="{294A4C14-BD08-4D71-B939-A7EAAD6D6D11}">
  <ds:schemaRefs>
    <ds:schemaRef ds:uri="http://schemas.microsoft.com/office/2006/metadata/properties"/>
    <ds:schemaRef ds:uri="http://schemas.microsoft.com/office/infopath/2007/PartnerControls"/>
    <ds:schemaRef ds:uri="4835b941-895e-47ae-a81a-d8acf327664e"/>
    <ds:schemaRef ds:uri="a919506c-b8f4-4ca8-ac1a-eb7ea2ec276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Health and Physical Education FAQ</dc:title>
  <dc:subject/>
  <dc:creator>DESE</dc:creator>
  <cp:keywords/>
  <dc:description/>
  <cp:lastModifiedBy>Zou, Dong (EOE)</cp:lastModifiedBy>
  <cp:revision>86</cp:revision>
  <dcterms:created xsi:type="dcterms:W3CDTF">2023-10-17T15:38:00Z</dcterms:created>
  <dcterms:modified xsi:type="dcterms:W3CDTF">2024-01-22T20:25:00Z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2024 12:00AM</vt:lpwstr>
  </property>
</Properties>
</file>