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A576A" w:rsidTr="001646C0">
        <w:trPr>
          <w:trHeight w:val="4263"/>
          <w:jc w:val="center"/>
        </w:trPr>
        <w:tc>
          <w:tcPr>
            <w:tcW w:w="10790" w:type="dxa"/>
          </w:tcPr>
          <w:p w:rsidR="00B83B1C" w:rsidRPr="00C554B9" w:rsidRDefault="00B83B1C" w:rsidP="00B83B1C">
            <w:pPr>
              <w:spacing w:after="180" w:line="276" w:lineRule="auto"/>
              <w:ind w:right="994"/>
              <w:rPr>
                <w:rFonts w:asciiTheme="minorHAnsi" w:hAnsiTheme="minorHAnsi"/>
                <w:sz w:val="22"/>
                <w:szCs w:val="22"/>
              </w:rPr>
            </w:pPr>
            <w:r>
              <w:rPr>
                <w:rFonts w:ascii="Franklin Gothic Book" w:hAnsi="Franklin Gothic Book" w:cs="Calibri"/>
                <w:noProof/>
                <w:sz w:val="22"/>
                <w:szCs w:val="22"/>
                <w:lang w:eastAsia="zh-CN"/>
              </w:rPr>
              <mc:AlternateContent>
                <mc:Choice Requires="wps">
                  <w:drawing>
                    <wp:anchor distT="0" distB="0" distL="114300" distR="114300" simplePos="0" relativeHeight="251699200" behindDoc="1" locked="0" layoutInCell="1" allowOverlap="1" wp14:anchorId="24261807" wp14:editId="64749876">
                      <wp:simplePos x="0" y="0"/>
                      <wp:positionH relativeFrom="margin">
                        <wp:posOffset>4690745</wp:posOffset>
                      </wp:positionH>
                      <wp:positionV relativeFrom="margin">
                        <wp:posOffset>19050</wp:posOffset>
                      </wp:positionV>
                      <wp:extent cx="2047875" cy="1771650"/>
                      <wp:effectExtent l="19050" t="19050" r="47625" b="38100"/>
                      <wp:wrapTight wrapText="bothSides">
                        <wp:wrapPolygon edited="0">
                          <wp:start x="-201" y="-232"/>
                          <wp:lineTo x="-201" y="21832"/>
                          <wp:lineTo x="21901" y="21832"/>
                          <wp:lineTo x="21901" y="-232"/>
                          <wp:lineTo x="-201" y="-232"/>
                        </wp:wrapPolygon>
                      </wp:wrapTight>
                      <wp:docPr id="6" name="Text Box 4" descr="“High school students are expected to engage with major global issues at the interface of science, technology, society and the environment and to bring to bear the kinds of analytical and strategic thinking that prior training and increased maturity make possible.“&#10;-NGSS: For States, By States V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771650"/>
                              </a:xfrm>
                              <a:prstGeom prst="rect">
                                <a:avLst/>
                              </a:prstGeom>
                              <a:solidFill>
                                <a:schemeClr val="lt1">
                                  <a:lumMod val="100000"/>
                                  <a:lumOff val="0"/>
                                </a:schemeClr>
                              </a:solidFill>
                              <a:ln w="63500" cmpd="thickThin">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B1C" w:rsidRPr="00EC1173" w:rsidRDefault="00B83B1C" w:rsidP="00B83B1C">
                                  <w:pPr>
                                    <w:jc w:val="center"/>
                                    <w:rPr>
                                      <w:rFonts w:asciiTheme="minorHAnsi" w:hAnsiTheme="minorHAnsi"/>
                                      <w:noProof/>
                                      <w:szCs w:val="20"/>
                                    </w:rPr>
                                  </w:pPr>
                                  <w:r w:rsidRPr="00EC1173">
                                    <w:rPr>
                                      <w:rFonts w:asciiTheme="minorHAnsi" w:hAnsiTheme="minorHAnsi"/>
                                      <w:noProof/>
                                      <w:szCs w:val="20"/>
                                    </w:rPr>
                                    <w:t>“High school students are expected to engage with major global issues at the interface of science, technology, society and the environment and to bring to bear the kinds of analytical and strategic thinking that prior training and increased maturity make possible.“</w:t>
                                  </w:r>
                                </w:p>
                                <w:p w:rsidR="00B83B1C" w:rsidRPr="00EC1173" w:rsidRDefault="00B83B1C" w:rsidP="00B83B1C">
                                  <w:pPr>
                                    <w:jc w:val="center"/>
                                    <w:rPr>
                                      <w:rFonts w:asciiTheme="minorHAnsi" w:hAnsiTheme="minorHAnsi"/>
                                      <w:i/>
                                      <w:noProof/>
                                      <w:sz w:val="22"/>
                                      <w:szCs w:val="22"/>
                                    </w:rPr>
                                  </w:pPr>
                                  <w:r>
                                    <w:rPr>
                                      <w:rFonts w:asciiTheme="minorHAnsi" w:hAnsiTheme="minorHAnsi"/>
                                      <w:i/>
                                      <w:noProof/>
                                      <w:sz w:val="22"/>
                                      <w:szCs w:val="22"/>
                                    </w:rPr>
                                    <w:t>-</w:t>
                                  </w:r>
                                  <w:r w:rsidRPr="00EC1173">
                                    <w:rPr>
                                      <w:rFonts w:asciiTheme="minorHAnsi" w:hAnsiTheme="minorHAnsi"/>
                                      <w:i/>
                                      <w:noProof/>
                                      <w:sz w:val="22"/>
                                      <w:szCs w:val="22"/>
                                    </w:rPr>
                                    <w:t>NGSS</w:t>
                                  </w:r>
                                  <w:r>
                                    <w:rPr>
                                      <w:rFonts w:asciiTheme="minorHAnsi" w:hAnsiTheme="minorHAnsi"/>
                                      <w:i/>
                                      <w:noProof/>
                                      <w:sz w:val="22"/>
                                      <w:szCs w:val="22"/>
                                    </w:rPr>
                                    <w:t>: For States, By States V1</w:t>
                                  </w:r>
                                </w:p>
                                <w:p w:rsidR="00B83B1C" w:rsidRDefault="00B83B1C" w:rsidP="00B83B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61807" id="_x0000_t202" coordsize="21600,21600" o:spt="202" path="m,l,21600r21600,l21600,xe">
                      <v:stroke joinstyle="miter"/>
                      <v:path gradientshapeok="t" o:connecttype="rect"/>
                    </v:shapetype>
                    <v:shape id="Text Box 4" o:spid="_x0000_s1026" type="#_x0000_t202" alt="“High school students are expected to engage with major global issues at the interface of science, technology, society and the environment and to bring to bear the kinds of analytical and strategic thinking that prior training and increased maturity make possible.“&#10;-NGSS: For States, By States V1&#10;" style="position:absolute;margin-left:369.35pt;margin-top:1.5pt;width:161.25pt;height:139.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" fillcolor="white [3201]" strokecolor="#e36c0a [2409]" strokeweight="5pt">
                      <v:stroke linestyle="thickThin"/>
                      <v:shadow color="#868686"/>
                      <v:textbox>
                        <w:txbxContent>
                          <w:p w:rsidR="00B83B1C" w:rsidRPr="00EC1173" w:rsidRDefault="00B83B1C" w:rsidP="00B83B1C">
                            <w:pPr>
                              <w:jc w:val="center"/>
                              <w:rPr>
                                <w:rFonts w:asciiTheme="minorHAnsi" w:hAnsiTheme="minorHAnsi"/>
                                <w:noProof/>
                                <w:szCs w:val="20"/>
                              </w:rPr>
                            </w:pPr>
                            <w:r w:rsidRPr="00EC1173">
                              <w:rPr>
                                <w:rFonts w:asciiTheme="minorHAnsi" w:hAnsiTheme="minorHAnsi"/>
                                <w:noProof/>
                                <w:szCs w:val="20"/>
                              </w:rPr>
                              <w:t>“High school students are expected to engage with major global issues at the interface of science, technology, society and the environment and to bring to bear the kinds of analytical and strategic thinking that prior training and increased maturity make possible.“</w:t>
                            </w:r>
                          </w:p>
                          <w:p w:rsidR="00B83B1C" w:rsidRPr="00EC1173" w:rsidRDefault="00B83B1C" w:rsidP="00B83B1C">
                            <w:pPr>
                              <w:jc w:val="center"/>
                              <w:rPr>
                                <w:rFonts w:asciiTheme="minorHAnsi" w:hAnsiTheme="minorHAnsi"/>
                                <w:i/>
                                <w:noProof/>
                                <w:sz w:val="22"/>
                                <w:szCs w:val="22"/>
                              </w:rPr>
                            </w:pPr>
                            <w:r>
                              <w:rPr>
                                <w:rFonts w:asciiTheme="minorHAnsi" w:hAnsiTheme="minorHAnsi"/>
                                <w:i/>
                                <w:noProof/>
                                <w:sz w:val="22"/>
                                <w:szCs w:val="22"/>
                              </w:rPr>
                              <w:t>-</w:t>
                            </w:r>
                            <w:r w:rsidRPr="00EC1173">
                              <w:rPr>
                                <w:rFonts w:asciiTheme="minorHAnsi" w:hAnsiTheme="minorHAnsi"/>
                                <w:i/>
                                <w:noProof/>
                                <w:sz w:val="22"/>
                                <w:szCs w:val="22"/>
                              </w:rPr>
                              <w:t>NGSS</w:t>
                            </w:r>
                            <w:r>
                              <w:rPr>
                                <w:rFonts w:asciiTheme="minorHAnsi" w:hAnsiTheme="minorHAnsi"/>
                                <w:i/>
                                <w:noProof/>
                                <w:sz w:val="22"/>
                                <w:szCs w:val="22"/>
                              </w:rPr>
                              <w:t>: For States, By States V1</w:t>
                            </w:r>
                          </w:p>
                          <w:p w:rsidR="00B83B1C" w:rsidRDefault="00B83B1C" w:rsidP="00B83B1C">
                            <w:pPr>
                              <w:jc w:val="center"/>
                            </w:pPr>
                          </w:p>
                        </w:txbxContent>
                      </v:textbox>
                      <w10:wrap type="tight" anchorx="margin" anchory="margin"/>
                    </v:shape>
                  </w:pict>
                </mc:Fallback>
              </mc:AlternateContent>
            </w:r>
            <w:r w:rsidRPr="00C554B9">
              <w:rPr>
                <w:rFonts w:asciiTheme="minorHAnsi" w:hAnsiTheme="minorHAnsi"/>
                <w:sz w:val="22"/>
                <w:szCs w:val="22"/>
              </w:rPr>
              <w:t>The goal of STE education is to develop scientifically and technologically literate citizens who can solve complex, multidisciplinary problems and apply analytical reasoning and innovative thinking to real world applications needed for civic participation, college preparation and career readiness.</w:t>
            </w:r>
          </w:p>
          <w:p w:rsidR="00045841" w:rsidRPr="00045841" w:rsidRDefault="00B83B1C" w:rsidP="00C70615">
            <w:pPr>
              <w:pStyle w:val="NoSpacing"/>
              <w:spacing w:after="180" w:line="276" w:lineRule="auto"/>
              <w:rPr>
                <w:rFonts w:asciiTheme="minorHAnsi" w:hAnsiTheme="minorHAnsi" w:cs="Arial"/>
                <w:sz w:val="22"/>
                <w:szCs w:val="22"/>
              </w:rPr>
            </w:pPr>
            <w:r>
              <w:rPr>
                <w:rFonts w:asciiTheme="minorHAnsi" w:hAnsiTheme="minorHAnsi"/>
                <w:b/>
                <w:sz w:val="22"/>
                <w:szCs w:val="22"/>
              </w:rPr>
              <w:t>This guide provides recommendations</w:t>
            </w:r>
            <w:r w:rsidRPr="00C554B9">
              <w:rPr>
                <w:rFonts w:asciiTheme="minorHAnsi" w:hAnsiTheme="minorHAnsi"/>
                <w:b/>
                <w:sz w:val="22"/>
                <w:szCs w:val="22"/>
              </w:rPr>
              <w:t xml:space="preserve"> for th</w:t>
            </w:r>
            <w:r>
              <w:rPr>
                <w:rFonts w:asciiTheme="minorHAnsi" w:hAnsiTheme="minorHAnsi"/>
                <w:b/>
                <w:sz w:val="22"/>
                <w:szCs w:val="22"/>
              </w:rPr>
              <w:t>e integration of the Technology/</w:t>
            </w:r>
            <w:r w:rsidRPr="00C554B9">
              <w:rPr>
                <w:rFonts w:asciiTheme="minorHAnsi" w:hAnsiTheme="minorHAnsi"/>
                <w:b/>
                <w:sz w:val="22"/>
                <w:szCs w:val="22"/>
              </w:rPr>
              <w:t xml:space="preserve">Engineering Standards into High School STE Courses as outlined in the </w:t>
            </w:r>
            <w:hyperlink r:id="rId12" w:history="1">
              <w:r w:rsidRPr="00C554B9">
                <w:rPr>
                  <w:rStyle w:val="Hyperlink"/>
                  <w:rFonts w:asciiTheme="minorHAnsi" w:hAnsiTheme="minorHAnsi"/>
                  <w:b/>
                  <w:sz w:val="22"/>
                  <w:szCs w:val="22"/>
                </w:rPr>
                <w:t>Massachusetts Science and Technology/Engineering Curriculum Framework.</w:t>
              </w:r>
            </w:hyperlink>
            <w:r>
              <w:rPr>
                <w:rFonts w:asciiTheme="minorHAnsi" w:hAnsiTheme="minorHAnsi"/>
                <w:b/>
                <w:sz w:val="22"/>
                <w:szCs w:val="22"/>
              </w:rPr>
              <w:t xml:space="preserve"> </w:t>
            </w:r>
            <w:r w:rsidR="00930EBE" w:rsidRPr="00484DAA">
              <w:rPr>
                <w:rFonts w:asciiTheme="minorHAnsi" w:hAnsiTheme="minorHAnsi" w:cs="Arial"/>
                <w:sz w:val="22"/>
                <w:szCs w:val="22"/>
              </w:rPr>
              <w:t>Massachusetts specifically includes Technology/Engineering as a high school discipline equivalent to traditional sciences in the 2016 STE Curriculum Frameworks. Districts choose whether to teach students the Technology/Engineering standards within a unique course or through integration with other science courses. This flexibility reflects the nature of STE as complex and interdisciplinary.</w:t>
            </w:r>
            <w:r w:rsidR="00045841" w:rsidRPr="00484DAA">
              <w:rPr>
                <w:rFonts w:asciiTheme="minorHAnsi" w:hAnsiTheme="minorHAnsi" w:cs="Arial"/>
                <w:sz w:val="22"/>
                <w:szCs w:val="22"/>
              </w:rPr>
              <w:t xml:space="preserve"> Scientists and engineers typically do not work in </w:t>
            </w:r>
            <w:r w:rsidR="00C70615">
              <w:rPr>
                <w:rFonts w:asciiTheme="minorHAnsi" w:hAnsiTheme="minorHAnsi" w:cs="Arial"/>
                <w:sz w:val="22"/>
                <w:szCs w:val="22"/>
              </w:rPr>
              <w:t>isolation</w:t>
            </w:r>
            <w:r w:rsidR="00045841" w:rsidRPr="00484DAA">
              <w:rPr>
                <w:rFonts w:asciiTheme="minorHAnsi" w:hAnsiTheme="minorHAnsi" w:cs="Arial"/>
                <w:sz w:val="22"/>
                <w:szCs w:val="22"/>
              </w:rPr>
              <w:t>; rather they create networks of professionals within and across disciplines.</w:t>
            </w:r>
            <w:r w:rsidR="00930EBE" w:rsidRPr="00484DAA">
              <w:rPr>
                <w:rFonts w:asciiTheme="minorHAnsi" w:hAnsiTheme="minorHAnsi" w:cs="Arial"/>
                <w:sz w:val="22"/>
                <w:szCs w:val="22"/>
              </w:rPr>
              <w:t xml:space="preserve"> Students’ understanding of science, technology, and engineering as interdisciplinary and interconnected is enhanced</w:t>
            </w:r>
            <w:r w:rsidR="00930EBE">
              <w:rPr>
                <w:rFonts w:asciiTheme="minorHAnsi" w:hAnsiTheme="minorHAnsi" w:cs="Arial"/>
                <w:sz w:val="22"/>
                <w:szCs w:val="22"/>
              </w:rPr>
              <w:t xml:space="preserve"> in the 2016 STE Framework</w:t>
            </w:r>
            <w:r w:rsidR="00930EBE" w:rsidRPr="00484DAA">
              <w:rPr>
                <w:rFonts w:asciiTheme="minorHAnsi" w:hAnsiTheme="minorHAnsi" w:cs="Arial"/>
                <w:sz w:val="22"/>
                <w:szCs w:val="22"/>
              </w:rPr>
              <w:t xml:space="preserve"> by the integration of these standards from Pre-K to grade 8. </w:t>
            </w:r>
            <w:r w:rsidR="00930EBE">
              <w:rPr>
                <w:rFonts w:asciiTheme="minorHAnsi" w:hAnsiTheme="minorHAnsi" w:cs="Arial"/>
                <w:sz w:val="22"/>
                <w:szCs w:val="22"/>
              </w:rPr>
              <w:t>STE Integration at the high school level</w:t>
            </w:r>
            <w:r w:rsidR="00930EBE" w:rsidRPr="00484DAA">
              <w:rPr>
                <w:rFonts w:asciiTheme="minorHAnsi" w:hAnsiTheme="minorHAnsi" w:cs="Arial"/>
                <w:sz w:val="22"/>
                <w:szCs w:val="22"/>
              </w:rPr>
              <w:t xml:space="preserve"> presents specifi</w:t>
            </w:r>
            <w:r w:rsidR="00930EBE">
              <w:rPr>
                <w:rFonts w:asciiTheme="minorHAnsi" w:hAnsiTheme="minorHAnsi" w:cs="Arial"/>
                <w:sz w:val="22"/>
                <w:szCs w:val="22"/>
              </w:rPr>
              <w:t>c challenges, such as; building schedules, staffing, and course alignment. However, with these challenges come meaningful opportunities to focus on real world contexts and problems within Biology, Chemistry and/or Physics. Integration can make a curriculum relevant and engaging to students, motivate deeper understanding, and build student identity as civic participants</w:t>
            </w:r>
            <w:r w:rsidR="00930EBE" w:rsidRPr="0014462B">
              <w:rPr>
                <w:rFonts w:asciiTheme="minorHAnsi" w:hAnsiTheme="minorHAnsi" w:cs="Arial"/>
                <w:sz w:val="22"/>
                <w:szCs w:val="22"/>
              </w:rPr>
              <w:t xml:space="preserve">. </w:t>
            </w:r>
          </w:p>
        </w:tc>
      </w:tr>
      <w:tr w:rsidR="00B83B1C" w:rsidTr="001646C0">
        <w:trPr>
          <w:trHeight w:val="2481"/>
          <w:jc w:val="center"/>
        </w:trPr>
        <w:tc>
          <w:tcPr>
            <w:tcW w:w="10790" w:type="dxa"/>
          </w:tcPr>
          <w:p w:rsidR="00B83B1C" w:rsidRDefault="000A4B8B" w:rsidP="00742685">
            <w:pPr>
              <w:spacing w:after="180" w:line="276" w:lineRule="auto"/>
              <w:ind w:right="994"/>
              <w:rPr>
                <w:rFonts w:cs="Arial"/>
                <w:noProof/>
                <w:sz w:val="19"/>
                <w:szCs w:val="19"/>
              </w:rPr>
            </w:pPr>
            <w:r>
              <w:rPr>
                <w:rFonts w:cs="Arial"/>
                <w:noProof/>
                <w:sz w:val="19"/>
                <w:szCs w:val="19"/>
                <w:lang w:eastAsia="zh-CN"/>
              </w:rPr>
              <w:drawing>
                <wp:inline distT="0" distB="0" distL="0" distR="0" wp14:anchorId="0D035C62" wp14:editId="54FBE0AF">
                  <wp:extent cx="3048000" cy="2352675"/>
                  <wp:effectExtent l="0" t="0" r="0" b="9525"/>
                  <wp:docPr id="10" name="Picture 2" descr="Disciplinary Core Ideas:  Make Sense of Scientific Phenomena&#10;&#10;Science &amp; Engineering Practices: Analyze the Natural and Designed World&#10;&#10;Application:  Apply Understanding and Skills&#10;&#10;"/>
                  <wp:cNvGraphicFramePr/>
                  <a:graphic xmlns:a="http://schemas.openxmlformats.org/drawingml/2006/main">
                    <a:graphicData uri="http://schemas.openxmlformats.org/drawingml/2006/picture">
                      <pic:pic xmlns:pic="http://schemas.openxmlformats.org/drawingml/2006/picture">
                        <pic:nvPicPr>
                          <pic:cNvPr id="22529" name="Picture 1" descr="STE rigor triangle "/>
                          <pic:cNvPicPr>
                            <a:picLocks noChangeAspect="1" noChangeArrowheads="1"/>
                          </pic:cNvPicPr>
                        </pic:nvPicPr>
                        <pic:blipFill>
                          <a:blip r:embed="rId13" cstate="print">
                            <a:extLst>
                              <a:ext uri="{28A0092B-C50C-407E-A947-70E740481C1C}">
                                <a14:useLocalDpi xmlns:a14="http://schemas.microsoft.com/office/drawing/2010/main" val="0"/>
                              </a:ext>
                            </a:extLst>
                          </a:blip>
                          <a:srcRect t="3809"/>
                          <a:stretch>
                            <a:fillRect/>
                          </a:stretch>
                        </pic:blipFill>
                        <pic:spPr bwMode="auto">
                          <a:xfrm>
                            <a:off x="0" y="0"/>
                            <a:ext cx="3048000" cy="2352675"/>
                          </a:xfrm>
                          <a:prstGeom prst="rect">
                            <a:avLst/>
                          </a:prstGeom>
                          <a:noFill/>
                        </pic:spPr>
                      </pic:pic>
                    </a:graphicData>
                  </a:graphic>
                </wp:inline>
              </w:drawing>
            </w:r>
            <w:r w:rsidR="003F60FD">
              <w:rPr>
                <w:rFonts w:cs="Arial"/>
                <w:noProof/>
                <w:sz w:val="19"/>
                <w:szCs w:val="19"/>
                <w:lang w:eastAsia="zh-CN"/>
              </w:rPr>
              <mc:AlternateContent>
                <mc:Choice Requires="wps">
                  <w:drawing>
                    <wp:anchor distT="0" distB="0" distL="114300" distR="114300" simplePos="0" relativeHeight="251703296" behindDoc="1" locked="0" layoutInCell="1" allowOverlap="1" wp14:anchorId="3F69A930" wp14:editId="538C6496">
                      <wp:simplePos x="0" y="0"/>
                      <wp:positionH relativeFrom="page">
                        <wp:posOffset>3254375</wp:posOffset>
                      </wp:positionH>
                      <wp:positionV relativeFrom="paragraph">
                        <wp:posOffset>19050</wp:posOffset>
                      </wp:positionV>
                      <wp:extent cx="3543300" cy="2085975"/>
                      <wp:effectExtent l="19050" t="19050" r="38100" b="47625"/>
                      <wp:wrapTight wrapText="bothSides">
                        <wp:wrapPolygon edited="0">
                          <wp:start x="-116" y="-197"/>
                          <wp:lineTo x="-116" y="21896"/>
                          <wp:lineTo x="21716" y="21896"/>
                          <wp:lineTo x="21716" y="-197"/>
                          <wp:lineTo x="-116" y="-197"/>
                        </wp:wrapPolygon>
                      </wp:wrapTight>
                      <wp:docPr id="8" name="Text Box 5" descr="High School Connections to Engineering, Technology and Applications of Science&#10;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 possible solution to an authentic audien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85975"/>
                              </a:xfrm>
                              <a:prstGeom prst="rect">
                                <a:avLst/>
                              </a:prstGeom>
                              <a:solidFill>
                                <a:schemeClr val="lt1">
                                  <a:lumMod val="100000"/>
                                  <a:lumOff val="0"/>
                                </a:schemeClr>
                              </a:solidFill>
                              <a:ln w="63500" cmpd="thickTh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B1C" w:rsidRDefault="0082121A" w:rsidP="00B83B1C">
                                  <w:pPr>
                                    <w:pStyle w:val="NoSpacing"/>
                                    <w:jc w:val="center"/>
                                    <w:rPr>
                                      <w:rFonts w:ascii="Palatino Linotype" w:hAnsi="Palatino Linotype"/>
                                      <w:b/>
                                      <w:color w:val="0070C0"/>
                                      <w:szCs w:val="20"/>
                                    </w:rPr>
                                  </w:pPr>
                                  <w:r>
                                    <w:rPr>
                                      <w:rFonts w:ascii="Palatino Linotype" w:hAnsi="Palatino Linotype"/>
                                      <w:b/>
                                      <w:color w:val="0070C0"/>
                                      <w:szCs w:val="20"/>
                                    </w:rPr>
                                    <w:t>High School C</w:t>
                                  </w:r>
                                  <w:r w:rsidR="00B83B1C">
                                    <w:rPr>
                                      <w:rFonts w:ascii="Palatino Linotype" w:hAnsi="Palatino Linotype"/>
                                      <w:b/>
                                      <w:color w:val="0070C0"/>
                                      <w:szCs w:val="20"/>
                                    </w:rPr>
                                    <w:t>onnections to Engineering, Technology and Applications of Science</w:t>
                                  </w:r>
                                </w:p>
                                <w:p w:rsidR="003F60FD" w:rsidRPr="00522552" w:rsidRDefault="003F60FD" w:rsidP="003F60FD">
                                  <w:pPr>
                                    <w:pStyle w:val="NoSpacing"/>
                                    <w:spacing w:line="276" w:lineRule="auto"/>
                                    <w:rPr>
                                      <w:rFonts w:asciiTheme="minorHAnsi" w:hAnsiTheme="minorHAnsi"/>
                                      <w:sz w:val="22"/>
                                      <w:szCs w:val="22"/>
                                    </w:rPr>
                                  </w:pPr>
                                  <w:r w:rsidRPr="003F60FD">
                                    <w:rPr>
                                      <w:rFonts w:asciiTheme="minorHAnsi" w:hAnsiTheme="minorHAnsi"/>
                                      <w:szCs w:val="20"/>
                                    </w:rPr>
                                    <w:t>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w:t>
                                  </w:r>
                                  <w:r>
                                    <w:rPr>
                                      <w:rFonts w:asciiTheme="minorHAnsi" w:hAnsiTheme="minorHAnsi"/>
                                      <w:sz w:val="22"/>
                                      <w:szCs w:val="22"/>
                                    </w:rPr>
                                    <w:t xml:space="preserve"> </w:t>
                                  </w:r>
                                  <w:r w:rsidRPr="003F60FD">
                                    <w:rPr>
                                      <w:rFonts w:asciiTheme="minorHAnsi" w:hAnsiTheme="minorHAnsi"/>
                                      <w:szCs w:val="20"/>
                                    </w:rPr>
                                    <w:t>possible solution to an authentic audience.</w:t>
                                  </w:r>
                                </w:p>
                                <w:p w:rsidR="00B83B1C" w:rsidRPr="00522552" w:rsidRDefault="00B83B1C" w:rsidP="00B83B1C">
                                  <w:pPr>
                                    <w:pStyle w:val="NoSpacing"/>
                                    <w:spacing w:after="180" w:line="276" w:lineRule="auto"/>
                                    <w:rPr>
                                      <w:rFonts w:asciiTheme="minorHAnsi" w:hAnsiTheme="minorHAnsi"/>
                                      <w:color w:val="1F497D" w:themeColor="text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9A930" id="_x0000_t202" coordsize="21600,21600" o:spt="202" path="m,l,21600r21600,l21600,xe">
                      <v:stroke joinstyle="miter"/>
                      <v:path gradientshapeok="t" o:connecttype="rect"/>
                    </v:shapetype>
                    <v:shape id="Text Box 5" o:spid="_x0000_s1027" type="#_x0000_t202" alt="High School Connections to Engineering, Technology and Applications of Science&#10;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 possible solution to an authentic audience.&#10;" style="position:absolute;margin-left:256.25pt;margin-top:1.5pt;width:279pt;height:164.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" fillcolor="white [3201]" strokecolor="#00b050" strokeweight="5pt">
                      <v:stroke linestyle="thickThin"/>
                      <v:shadow color="#868686"/>
                      <v:textbox>
                        <w:txbxContent>
                          <w:p w:rsidR="00B83B1C" w:rsidRDefault="0082121A" w:rsidP="00B83B1C">
                            <w:pPr>
                              <w:pStyle w:val="NoSpacing"/>
                              <w:jc w:val="center"/>
                              <w:rPr>
                                <w:rFonts w:ascii="Palatino Linotype" w:hAnsi="Palatino Linotype"/>
                                <w:b/>
                                <w:color w:val="0070C0"/>
                                <w:szCs w:val="20"/>
                              </w:rPr>
                            </w:pPr>
                            <w:r>
                              <w:rPr>
                                <w:rFonts w:ascii="Palatino Linotype" w:hAnsi="Palatino Linotype"/>
                                <w:b/>
                                <w:color w:val="0070C0"/>
                                <w:szCs w:val="20"/>
                              </w:rPr>
                              <w:t>High School C</w:t>
                            </w:r>
                            <w:r w:rsidR="00B83B1C">
                              <w:rPr>
                                <w:rFonts w:ascii="Palatino Linotype" w:hAnsi="Palatino Linotype"/>
                                <w:b/>
                                <w:color w:val="0070C0"/>
                                <w:szCs w:val="20"/>
                              </w:rPr>
                              <w:t>onnections to Engineering, Technology and Applications of Science</w:t>
                            </w:r>
                          </w:p>
                          <w:p w:rsidR="003F60FD" w:rsidRPr="00522552" w:rsidRDefault="003F60FD" w:rsidP="003F60FD">
                            <w:pPr>
                              <w:pStyle w:val="NoSpacing"/>
                              <w:spacing w:line="276" w:lineRule="auto"/>
                              <w:rPr>
                                <w:rFonts w:asciiTheme="minorHAnsi" w:hAnsiTheme="minorHAnsi"/>
                                <w:sz w:val="22"/>
                                <w:szCs w:val="22"/>
                              </w:rPr>
                            </w:pPr>
                            <w:r w:rsidRPr="003F60FD">
                              <w:rPr>
                                <w:rFonts w:asciiTheme="minorHAnsi" w:hAnsiTheme="minorHAnsi"/>
                                <w:szCs w:val="20"/>
                              </w:rPr>
                              <w:t>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w:t>
                            </w:r>
                            <w:r>
                              <w:rPr>
                                <w:rFonts w:asciiTheme="minorHAnsi" w:hAnsiTheme="minorHAnsi"/>
                                <w:sz w:val="22"/>
                                <w:szCs w:val="22"/>
                              </w:rPr>
                              <w:t xml:space="preserve"> </w:t>
                            </w:r>
                            <w:r w:rsidRPr="003F60FD">
                              <w:rPr>
                                <w:rFonts w:asciiTheme="minorHAnsi" w:hAnsiTheme="minorHAnsi"/>
                                <w:szCs w:val="20"/>
                              </w:rPr>
                              <w:t>possible solution to an authentic audience.</w:t>
                            </w:r>
                          </w:p>
                          <w:p w:rsidR="00B83B1C" w:rsidRPr="00522552" w:rsidRDefault="00B83B1C" w:rsidP="00B83B1C">
                            <w:pPr>
                              <w:pStyle w:val="NoSpacing"/>
                              <w:spacing w:after="180" w:line="276" w:lineRule="auto"/>
                              <w:rPr>
                                <w:rFonts w:asciiTheme="minorHAnsi" w:hAnsiTheme="minorHAnsi"/>
                                <w:color w:val="1F497D" w:themeColor="text2"/>
                                <w:sz w:val="22"/>
                                <w:szCs w:val="22"/>
                              </w:rPr>
                            </w:pPr>
                          </w:p>
                        </w:txbxContent>
                      </v:textbox>
                      <w10:wrap type="tight" anchorx="page"/>
                    </v:shape>
                  </w:pict>
                </mc:Fallback>
              </mc:AlternateContent>
            </w:r>
          </w:p>
        </w:tc>
      </w:tr>
      <w:tr w:rsidR="00B83B1C" w:rsidTr="001646C0">
        <w:trPr>
          <w:trHeight w:val="1387"/>
          <w:jc w:val="center"/>
        </w:trPr>
        <w:tc>
          <w:tcPr>
            <w:tcW w:w="10790" w:type="dxa"/>
          </w:tcPr>
          <w:p w:rsidR="00B83B1C" w:rsidRDefault="003F60FD" w:rsidP="003F60FD">
            <w:pPr>
              <w:spacing w:after="180" w:line="276" w:lineRule="auto"/>
              <w:ind w:right="994"/>
              <w:rPr>
                <w:rFonts w:asciiTheme="minorHAnsi" w:hAnsiTheme="minorHAnsi"/>
                <w:sz w:val="22"/>
                <w:szCs w:val="22"/>
              </w:rPr>
            </w:pPr>
            <w:r>
              <w:rPr>
                <w:rFonts w:eastAsia="Times New Roman" w:cs="Arial"/>
                <w:noProof/>
                <w:lang w:eastAsia="zh-CN"/>
              </w:rPr>
              <mc:AlternateContent>
                <mc:Choice Requires="wps">
                  <w:drawing>
                    <wp:inline distT="0" distB="0" distL="0" distR="0">
                      <wp:extent cx="6677025" cy="1190625"/>
                      <wp:effectExtent l="19050" t="19050" r="47625" b="47625"/>
                      <wp:docPr id="2" name="Text Box 10" descr="The three diagrams on the reverse side are included to demonstrate how districts may authentically integrate Technology/Engineering standards into traditional high school science courses. Districts across the Commonwealth organize their science courses in different sequence, however the three sequences presented are typical. Each diagram shows what Technology/Engineering Disciplinary Core Ideas could naturally integrate with the content of the traditional science course. For more information about the Integration of Technology/Engineering standards please see the resources list at the end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190625"/>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5576" w:rsidRPr="003F60FD" w:rsidRDefault="00742685" w:rsidP="003F60FD">
                                  <w:pPr>
                                    <w:pStyle w:val="NoSpacing"/>
                                    <w:spacing w:line="276" w:lineRule="auto"/>
                                    <w:rPr>
                                      <w:rFonts w:asciiTheme="minorHAnsi" w:hAnsiTheme="minorHAnsi"/>
                                      <w:szCs w:val="20"/>
                                    </w:rPr>
                                  </w:pPr>
                                  <w:r w:rsidRPr="003F60FD">
                                    <w:rPr>
                                      <w:rFonts w:asciiTheme="minorHAnsi" w:hAnsiTheme="minorHAnsi"/>
                                      <w:szCs w:val="20"/>
                                    </w:rPr>
                                    <w:t>The three diagrams on the reverse side</w:t>
                                  </w:r>
                                  <w:r w:rsidR="00705576" w:rsidRPr="003F60FD">
                                    <w:rPr>
                                      <w:rFonts w:asciiTheme="minorHAnsi" w:hAnsiTheme="minorHAnsi"/>
                                      <w:szCs w:val="20"/>
                                    </w:rPr>
                                    <w:t xml:space="preserve"> are included to demonstrate how districts may authentically integrate Technology/Engineering standards into traditional high school science courses. Districts across the Commonwealth organize their science courses in different sequence, however the three sequences presented are typical. Each diagram shows what Technology/Engineering Disciplinary Core Ideas could naturally integrate with the content of the traditional science course. </w:t>
                                  </w:r>
                                  <w:r w:rsidR="003F60FD" w:rsidRPr="003F60FD">
                                    <w:rPr>
                                      <w:rFonts w:asciiTheme="minorHAnsi" w:hAnsiTheme="minorHAnsi"/>
                                      <w:b/>
                                      <w:szCs w:val="20"/>
                                    </w:rPr>
                                    <w:t>For more information about the Integration of Technology/Engineering standards please see the resources list at the end of this document.</w:t>
                                  </w:r>
                                </w:p>
                                <w:p w:rsidR="00705576" w:rsidRPr="002212F0" w:rsidRDefault="00705576" w:rsidP="003F60FD">
                                  <w:pPr>
                                    <w:pStyle w:val="NoSpacing"/>
                                    <w:ind w:left="360"/>
                                    <w:rPr>
                                      <w:rFonts w:ascii="Palatino Linotype" w:hAnsi="Palatino Linotype"/>
                                    </w:rPr>
                                  </w:pPr>
                                </w:p>
                              </w:txbxContent>
                            </wps:txbx>
                            <wps:bodyPr rot="0" vert="horz" wrap="square" lIns="91440" tIns="45720" rIns="91440" bIns="45720" anchor="t" anchorCtr="0" upright="1">
                              <a:noAutofit/>
                            </wps:bodyPr>
                          </wps:wsp>
                        </a:graphicData>
                      </a:graphic>
                    </wp:inline>
                  </w:drawing>
                </mc:Choice>
                <mc:Fallback>
                  <w:pict>
                    <v:shape id="Text Box 10" o:spid="_x0000_s1028" type="#_x0000_t202" alt="The three diagrams on the reverse side are included to demonstrate how districts may authentically integrate Technology/Engineering standards into traditional high school science courses. Districts across the Commonwealth organize their science courses in different sequence, however the three sequences presented are typical. Each diagram shows what Technology/Engineering Disciplinary Core Ideas could naturally integrate with the content of the traditional science course. For more information about the Integration of Technology/Engineering standards please see the resources list at the end of this document." style="width:525.7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" fillcolor="white [3201]" strokecolor="#0070c0" strokeweight="5pt">
                      <v:stroke linestyle="thickThin"/>
                      <v:shadow color="#868686"/>
                      <v:textbox>
                        <w:txbxContent>
                          <w:p w:rsidR="00705576" w:rsidRPr="003F60FD" w:rsidRDefault="00742685" w:rsidP="003F60FD">
                            <w:pPr>
                              <w:pStyle w:val="NoSpacing"/>
                              <w:spacing w:line="276" w:lineRule="auto"/>
                              <w:rPr>
                                <w:rFonts w:asciiTheme="minorHAnsi" w:hAnsiTheme="minorHAnsi"/>
                                <w:szCs w:val="20"/>
                              </w:rPr>
                            </w:pPr>
                            <w:r w:rsidRPr="003F60FD">
                              <w:rPr>
                                <w:rFonts w:asciiTheme="minorHAnsi" w:hAnsiTheme="minorHAnsi"/>
                                <w:szCs w:val="20"/>
                              </w:rPr>
                              <w:t>The three diagrams on the reverse side</w:t>
                            </w:r>
                            <w:r w:rsidR="00705576" w:rsidRPr="003F60FD">
                              <w:rPr>
                                <w:rFonts w:asciiTheme="minorHAnsi" w:hAnsiTheme="minorHAnsi"/>
                                <w:szCs w:val="20"/>
                              </w:rPr>
                              <w:t xml:space="preserve"> are included to demonstrate how districts may authentically integrate Technology/Engineering standards into traditional high school science courses. Districts across the Commonwealth organize their science courses in different sequence, however the three sequences presented are typical. Each diagram shows what Technology/Engineering Disciplinary Core Ideas could naturally integrate with the content of the traditional science course. </w:t>
                            </w:r>
                            <w:r w:rsidR="003F60FD" w:rsidRPr="003F60FD">
                              <w:rPr>
                                <w:rFonts w:asciiTheme="minorHAnsi" w:hAnsiTheme="minorHAnsi"/>
                                <w:b/>
                                <w:szCs w:val="20"/>
                              </w:rPr>
                              <w:t>For more information about the Integration of Technology/Engineering standards please see the resources list at the end of this document.</w:t>
                            </w:r>
                          </w:p>
                          <w:p w:rsidR="00705576" w:rsidRPr="002212F0" w:rsidRDefault="00705576" w:rsidP="003F60FD">
                            <w:pPr>
                              <w:pStyle w:val="NoSpacing"/>
                              <w:ind w:left="360"/>
                              <w:rPr>
                                <w:rFonts w:ascii="Palatino Linotype" w:hAnsi="Palatino Linotype"/>
                              </w:rPr>
                            </w:pPr>
                          </w:p>
                        </w:txbxContent>
                      </v:textbox>
                      <w10:anchorlock/>
                    </v:shape>
                  </w:pict>
                </mc:Fallback>
              </mc:AlternateContent>
            </w:r>
          </w:p>
        </w:tc>
      </w:tr>
      <w:tr w:rsidR="00B83B1C" w:rsidTr="001646C0">
        <w:trPr>
          <w:trHeight w:val="7646"/>
          <w:jc w:val="center"/>
        </w:trPr>
        <w:tc>
          <w:tcPr>
            <w:tcW w:w="10790" w:type="dxa"/>
          </w:tcPr>
          <w:p w:rsidR="00513DC0" w:rsidRDefault="00794A2A" w:rsidP="00794A2A">
            <w:pPr>
              <w:tabs>
                <w:tab w:val="left" w:pos="360"/>
              </w:tabs>
              <w:suppressAutoHyphens/>
              <w:ind w:left="348"/>
              <w:jc w:val="center"/>
              <w:rPr>
                <w:sz w:val="28"/>
                <w:szCs w:val="28"/>
              </w:rPr>
            </w:pPr>
            <w:r>
              <w:rPr>
                <w:noProof/>
                <w:lang w:eastAsia="zh-CN"/>
              </w:rPr>
              <w:lastRenderedPageBreak/>
              <w:drawing>
                <wp:inline distT="0" distB="0" distL="0" distR="0" wp14:anchorId="1F49D35C" wp14:editId="6E3E3461">
                  <wp:extent cx="6429759" cy="6852622"/>
                  <wp:effectExtent l="0" t="0" r="9525" b="3810"/>
                  <wp:docPr id="1" name="Picture 1" descr="Biology in 9th Grade, 10th Grade and 11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29759" cy="6852622"/>
                          </a:xfrm>
                          <a:prstGeom prst="rect">
                            <a:avLst/>
                          </a:prstGeom>
                        </pic:spPr>
                      </pic:pic>
                    </a:graphicData>
                  </a:graphic>
                </wp:inline>
              </w:drawing>
            </w:r>
          </w:p>
          <w:p w:rsidR="00B83B1C" w:rsidRDefault="00513DC0" w:rsidP="00204240">
            <w:pPr>
              <w:tabs>
                <w:tab w:val="left" w:pos="6743"/>
              </w:tabs>
              <w:ind w:left="438"/>
              <w:rPr>
                <w:sz w:val="28"/>
                <w:szCs w:val="28"/>
              </w:rPr>
            </w:pPr>
            <w:r>
              <w:rPr>
                <w:sz w:val="28"/>
                <w:szCs w:val="28"/>
              </w:rPr>
              <w:tab/>
            </w:r>
            <w:bookmarkStart w:id="0" w:name="_GoBack"/>
            <w:r w:rsidR="00794A2A">
              <w:rPr>
                <w:rFonts w:eastAsia="Times New Roman" w:cs="Arial"/>
                <w:noProof/>
                <w:lang w:eastAsia="zh-CN"/>
              </w:rPr>
              <mc:AlternateContent>
                <mc:Choice Requires="wps">
                  <w:drawing>
                    <wp:inline distT="0" distB="0" distL="0" distR="0">
                      <wp:extent cx="6300216" cy="612925"/>
                      <wp:effectExtent l="19050" t="19050" r="43815" b="34925"/>
                      <wp:docPr id="3" name="Text Box 11" descr="Resources&#10;Bundling the Next Generation Science Standards &#10;STEM Teaching Tool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216" cy="61292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4A2A" w:rsidRPr="008859F7" w:rsidRDefault="00794A2A" w:rsidP="00794A2A">
                                  <w:pPr>
                                    <w:pStyle w:val="NoSpacing"/>
                                    <w:ind w:left="270"/>
                                    <w:rPr>
                                      <w:b/>
                                    </w:rPr>
                                  </w:pPr>
                                  <w:r w:rsidRPr="008859F7">
                                    <w:rPr>
                                      <w:b/>
                                    </w:rPr>
                                    <w:t>Resources</w:t>
                                  </w:r>
                                </w:p>
                                <w:p w:rsidR="00794A2A" w:rsidRDefault="00B641C9" w:rsidP="00794A2A">
                                  <w:pPr>
                                    <w:ind w:left="270"/>
                                    <w:rPr>
                                      <w:rFonts w:asciiTheme="minorHAnsi" w:hAnsiTheme="minorHAnsi"/>
                                      <w:noProof/>
                                      <w:szCs w:val="20"/>
                                    </w:rPr>
                                  </w:pPr>
                                  <w:hyperlink r:id="rId15" w:history="1">
                                    <w:r w:rsidR="00794A2A" w:rsidRPr="00563510">
                                      <w:rPr>
                                        <w:rStyle w:val="Hyperlink"/>
                                        <w:rFonts w:asciiTheme="minorHAnsi" w:hAnsiTheme="minorHAnsi"/>
                                        <w:noProof/>
                                        <w:szCs w:val="20"/>
                                      </w:rPr>
                                      <w:t>Bundling the Next Generation Science Standards</w:t>
                                    </w:r>
                                  </w:hyperlink>
                                  <w:r w:rsidR="00794A2A" w:rsidRPr="00F3174E">
                                    <w:rPr>
                                      <w:rFonts w:asciiTheme="minorHAnsi" w:hAnsiTheme="minorHAnsi"/>
                                      <w:noProof/>
                                      <w:szCs w:val="20"/>
                                    </w:rPr>
                                    <w:t xml:space="preserve"> </w:t>
                                  </w:r>
                                </w:p>
                                <w:p w:rsidR="00794A2A" w:rsidRPr="00794A2A" w:rsidRDefault="00B641C9" w:rsidP="00794A2A">
                                  <w:pPr>
                                    <w:ind w:left="270"/>
                                    <w:rPr>
                                      <w:rFonts w:ascii="Palatino Linotype" w:hAnsi="Palatino Linotype"/>
                                    </w:rPr>
                                  </w:pPr>
                                  <w:hyperlink r:id="rId16" w:history="1">
                                    <w:r w:rsidR="00794A2A" w:rsidRPr="00794A2A">
                                      <w:rPr>
                                        <w:rStyle w:val="Hyperlink"/>
                                        <w:rFonts w:asciiTheme="minorHAnsi" w:hAnsiTheme="minorHAnsi"/>
                                        <w:noProof/>
                                        <w:szCs w:val="20"/>
                                      </w:rPr>
                                      <w:t>STEM Teaching Tools</w:t>
                                    </w:r>
                                  </w:hyperlink>
                                  <w:r w:rsidR="00794A2A" w:rsidRPr="00794A2A">
                                    <w:rPr>
                                      <w:rFonts w:asciiTheme="minorHAnsi" w:hAnsiTheme="minorHAnsi"/>
                                      <w:noProof/>
                                      <w:szCs w:val="20"/>
                                    </w:rPr>
                                    <w:t xml:space="preserve"> </w:t>
                                  </w:r>
                                </w:p>
                                <w:p w:rsidR="00794A2A" w:rsidRPr="008C0F3C" w:rsidRDefault="00794A2A" w:rsidP="00794A2A">
                                  <w:pPr>
                                    <w:pStyle w:val="NoSpacing"/>
                                    <w:rPr>
                                      <w:rFonts w:ascii="Palatino Linotype" w:hAnsi="Palatino Linotype"/>
                                    </w:rPr>
                                  </w:pPr>
                                </w:p>
                                <w:p w:rsidR="00794A2A" w:rsidRDefault="00794A2A" w:rsidP="00794A2A">
                                  <w:pPr>
                                    <w:pStyle w:val="NoSpacing"/>
                                  </w:pPr>
                                </w:p>
                                <w:p w:rsidR="00794A2A" w:rsidRDefault="00794A2A" w:rsidP="00794A2A">
                                  <w:pPr>
                                    <w:pStyle w:val="NoSpacing"/>
                                  </w:pPr>
                                </w:p>
                                <w:p w:rsidR="00794A2A" w:rsidRDefault="00794A2A" w:rsidP="00794A2A">
                                  <w:pPr>
                                    <w:pStyle w:val="NoSpacing"/>
                                  </w:pPr>
                                </w:p>
                              </w:txbxContent>
                            </wps:txbx>
                            <wps:bodyPr rot="0" vert="horz" wrap="square" lIns="91440" tIns="45720" rIns="91440" bIns="45720" anchor="t" anchorCtr="0" upright="1">
                              <a:noAutofit/>
                            </wps:bodyPr>
                          </wps:wsp>
                        </a:graphicData>
                      </a:graphic>
                    </wp:inline>
                  </w:drawing>
                </mc:Choice>
                <mc:Fallback>
                  <w:pict>
                    <v:shape id="Text Box 11" o:spid="_x0000_s1029" type="#_x0000_t202" alt="Resources&#10;Bundling the Next Generation Science Standards &#10;STEM Teaching Tools &#10;" style="width:496.1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" fillcolor="white [3201]" strokecolor="#f79646 [3209]" strokeweight="5pt">
                      <v:stroke linestyle="thickThin"/>
                      <v:shadow color="#868686"/>
                      <v:textbox>
                        <w:txbxContent>
                          <w:p w:rsidR="00794A2A" w:rsidRPr="008859F7" w:rsidRDefault="00794A2A" w:rsidP="00794A2A">
                            <w:pPr>
                              <w:pStyle w:val="NoSpacing"/>
                              <w:ind w:left="270"/>
                              <w:rPr>
                                <w:b/>
                              </w:rPr>
                            </w:pPr>
                            <w:r w:rsidRPr="008859F7">
                              <w:rPr>
                                <w:b/>
                              </w:rPr>
                              <w:t>Resources</w:t>
                            </w:r>
                          </w:p>
                          <w:p w:rsidR="00794A2A" w:rsidRDefault="00B641C9" w:rsidP="00794A2A">
                            <w:pPr>
                              <w:ind w:left="270"/>
                              <w:rPr>
                                <w:rFonts w:asciiTheme="minorHAnsi" w:hAnsiTheme="minorHAnsi"/>
                                <w:noProof/>
                                <w:szCs w:val="20"/>
                              </w:rPr>
                            </w:pPr>
                            <w:hyperlink r:id="rId17" w:history="1">
                              <w:r w:rsidR="00794A2A" w:rsidRPr="00563510">
                                <w:rPr>
                                  <w:rStyle w:val="Hyperlink"/>
                                  <w:rFonts w:asciiTheme="minorHAnsi" w:hAnsiTheme="minorHAnsi"/>
                                  <w:noProof/>
                                  <w:szCs w:val="20"/>
                                </w:rPr>
                                <w:t>Bundling the Next Generation Science Standards</w:t>
                              </w:r>
                            </w:hyperlink>
                            <w:r w:rsidR="00794A2A" w:rsidRPr="00F3174E">
                              <w:rPr>
                                <w:rFonts w:asciiTheme="minorHAnsi" w:hAnsiTheme="minorHAnsi"/>
                                <w:noProof/>
                                <w:szCs w:val="20"/>
                              </w:rPr>
                              <w:t xml:space="preserve"> </w:t>
                            </w:r>
                          </w:p>
                          <w:p w:rsidR="00794A2A" w:rsidRPr="00794A2A" w:rsidRDefault="00B641C9" w:rsidP="00794A2A">
                            <w:pPr>
                              <w:ind w:left="270"/>
                              <w:rPr>
                                <w:rFonts w:ascii="Palatino Linotype" w:hAnsi="Palatino Linotype"/>
                              </w:rPr>
                            </w:pPr>
                            <w:hyperlink r:id="rId18" w:history="1">
                              <w:r w:rsidR="00794A2A" w:rsidRPr="00794A2A">
                                <w:rPr>
                                  <w:rStyle w:val="Hyperlink"/>
                                  <w:rFonts w:asciiTheme="minorHAnsi" w:hAnsiTheme="minorHAnsi"/>
                                  <w:noProof/>
                                  <w:szCs w:val="20"/>
                                </w:rPr>
                                <w:t>STEM Teaching Tools</w:t>
                              </w:r>
                            </w:hyperlink>
                            <w:r w:rsidR="00794A2A" w:rsidRPr="00794A2A">
                              <w:rPr>
                                <w:rFonts w:asciiTheme="minorHAnsi" w:hAnsiTheme="minorHAnsi"/>
                                <w:noProof/>
                                <w:szCs w:val="20"/>
                              </w:rPr>
                              <w:t xml:space="preserve"> </w:t>
                            </w:r>
                          </w:p>
                          <w:p w:rsidR="00794A2A" w:rsidRPr="008C0F3C" w:rsidRDefault="00794A2A" w:rsidP="00794A2A">
                            <w:pPr>
                              <w:pStyle w:val="NoSpacing"/>
                              <w:rPr>
                                <w:rFonts w:ascii="Palatino Linotype" w:hAnsi="Palatino Linotype"/>
                              </w:rPr>
                            </w:pPr>
                          </w:p>
                          <w:p w:rsidR="00794A2A" w:rsidRDefault="00794A2A" w:rsidP="00794A2A">
                            <w:pPr>
                              <w:pStyle w:val="NoSpacing"/>
                            </w:pPr>
                          </w:p>
                          <w:p w:rsidR="00794A2A" w:rsidRDefault="00794A2A" w:rsidP="00794A2A">
                            <w:pPr>
                              <w:pStyle w:val="NoSpacing"/>
                            </w:pPr>
                          </w:p>
                          <w:p w:rsidR="00794A2A" w:rsidRDefault="00794A2A" w:rsidP="00794A2A">
                            <w:pPr>
                              <w:pStyle w:val="NoSpacing"/>
                            </w:pPr>
                          </w:p>
                        </w:txbxContent>
                      </v:textbox>
                      <w10:anchorlock/>
                    </v:shape>
                  </w:pict>
                </mc:Fallback>
              </mc:AlternateContent>
            </w:r>
            <w:bookmarkEnd w:id="0"/>
          </w:p>
        </w:tc>
      </w:tr>
    </w:tbl>
    <w:p w:rsidR="001A67D5" w:rsidRDefault="001A67D5" w:rsidP="00565DDB">
      <w:pPr>
        <w:tabs>
          <w:tab w:val="left" w:pos="2295"/>
        </w:tabs>
        <w:suppressAutoHyphens/>
        <w:rPr>
          <w:sz w:val="28"/>
          <w:szCs w:val="28"/>
        </w:rPr>
      </w:pPr>
    </w:p>
    <w:sectPr w:rsidR="001A67D5" w:rsidSect="003E5923">
      <w:headerReference w:type="default" r:id="rId19"/>
      <w:footerReference w:type="default" r:id="rId2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C9" w:rsidRDefault="00B641C9" w:rsidP="00C276BB">
      <w:r>
        <w:separator/>
      </w:r>
    </w:p>
  </w:endnote>
  <w:endnote w:type="continuationSeparator" w:id="0">
    <w:p w:rsidR="00B641C9" w:rsidRDefault="00B641C9" w:rsidP="00C2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4E" w:rsidRPr="00F3174E" w:rsidRDefault="00F3174E" w:rsidP="00F3174E">
    <w:pPr>
      <w:pStyle w:val="Footer"/>
      <w:jc w:val="center"/>
      <w:rPr>
        <w:rFonts w:asciiTheme="minorHAnsi" w:hAnsiTheme="minorHAnsi"/>
        <w:sz w:val="22"/>
        <w:szCs w:val="22"/>
      </w:rPr>
    </w:pPr>
    <w:r w:rsidRPr="00F3174E">
      <w:rPr>
        <w:rFonts w:asciiTheme="minorHAnsi" w:hAnsiTheme="minorHAnsi"/>
        <w:sz w:val="22"/>
        <w:szCs w:val="22"/>
      </w:rPr>
      <w:t>September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C9" w:rsidRDefault="00B641C9" w:rsidP="00C276BB">
      <w:r>
        <w:separator/>
      </w:r>
    </w:p>
  </w:footnote>
  <w:footnote w:type="continuationSeparator" w:id="0">
    <w:p w:rsidR="00B641C9" w:rsidRDefault="00B641C9" w:rsidP="00C27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5F" w:rsidRDefault="005E647C" w:rsidP="003F60FD">
    <w:pPr>
      <w:pStyle w:val="Heading1"/>
      <w:spacing w:before="0" w:after="0" w:line="240" w:lineRule="auto"/>
      <w:ind w:left="-270" w:right="-270"/>
    </w:pPr>
    <w:r w:rsidRPr="005E647C">
      <w:rPr>
        <w:noProof/>
        <w:lang w:eastAsia="zh-CN"/>
      </w:rPr>
      <w:drawing>
        <wp:inline distT="0" distB="0" distL="0" distR="0">
          <wp:extent cx="1038860" cy="438150"/>
          <wp:effectExtent l="19050" t="0" r="8890" b="0"/>
          <wp:docPr id="4" name="Picture 4" descr="ESE Logo"/>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038860" cy="438150"/>
                  </a:xfrm>
                  <a:prstGeom prst="rect">
                    <a:avLst/>
                  </a:prstGeom>
                  <a:noFill/>
                </pic:spPr>
              </pic:pic>
            </a:graphicData>
          </a:graphic>
        </wp:inline>
      </w:drawing>
    </w:r>
    <w:r w:rsidR="00680E2C">
      <w:rPr>
        <w:noProof/>
      </w:rPr>
      <w:t xml:space="preserve">  </w:t>
    </w:r>
    <w:r>
      <w:rPr>
        <w:noProof/>
      </w:rPr>
      <w:t xml:space="preserve">           </w:t>
    </w:r>
    <w:r w:rsidR="00B74F42">
      <w:rPr>
        <w:noProof/>
      </w:rPr>
      <w:t xml:space="preserve">                               </w:t>
    </w:r>
    <w:r>
      <w:rPr>
        <w:noProof/>
      </w:rPr>
      <w:t xml:space="preserve">                               </w:t>
    </w:r>
    <w:r w:rsidRPr="005E647C">
      <w:rPr>
        <w:noProof/>
        <w:lang w:eastAsia="zh-CN"/>
      </w:rPr>
      <w:drawing>
        <wp:inline distT="0" distB="0" distL="0" distR="0">
          <wp:extent cx="1800225" cy="447675"/>
          <wp:effectExtent l="19050" t="0" r="9525" b="0"/>
          <wp:docPr id="5" name="Picture 1" descr="Curriculum and Instruction logo"/>
          <wp:cNvGraphicFramePr/>
          <a:graphic xmlns:a="http://schemas.openxmlformats.org/drawingml/2006/main">
            <a:graphicData uri="http://schemas.openxmlformats.org/drawingml/2006/picture">
              <pic:pic xmlns:pic="http://schemas.openxmlformats.org/drawingml/2006/picture">
                <pic:nvPicPr>
                  <pic:cNvPr id="5" name="Picture 4" descr="Curriculum and Instruction logo"/>
                  <pic:cNvPicPr>
                    <a:picLocks noChangeAspect="1"/>
                  </pic:cNvPicPr>
                </pic:nvPicPr>
                <pic:blipFill>
                  <a:blip r:embed="rId2" cstate="print"/>
                  <a:srcRect t="23669" b="28994"/>
                  <a:stretch>
                    <a:fillRect/>
                  </a:stretch>
                </pic:blipFill>
                <pic:spPr>
                  <a:xfrm>
                    <a:off x="0" y="0"/>
                    <a:ext cx="1800225" cy="447675"/>
                  </a:xfrm>
                  <a:prstGeom prst="rect">
                    <a:avLst/>
                  </a:prstGeom>
                </pic:spPr>
              </pic:pic>
            </a:graphicData>
          </a:graphic>
        </wp:inline>
      </w:drawing>
    </w:r>
    <w:r w:rsidR="00680E2C">
      <w:rPr>
        <w:noProof/>
      </w:rPr>
      <w:t xml:space="preserve">                                                                                             </w:t>
    </w:r>
    <w:r w:rsidR="00680E2C">
      <w:t xml:space="preserve">  </w:t>
    </w:r>
  </w:p>
  <w:p w:rsidR="00C23EDB" w:rsidRPr="00F8288A" w:rsidRDefault="00C53792" w:rsidP="00CA26A2">
    <w:pPr>
      <w:pStyle w:val="Heading1"/>
      <w:spacing w:before="0" w:after="0"/>
      <w:ind w:right="990"/>
      <w:jc w:val="center"/>
      <w:rPr>
        <w:color w:val="4F81BD" w:themeColor="accent1"/>
      </w:rPr>
    </w:pPr>
    <w:r w:rsidRPr="00F8288A">
      <w:rPr>
        <w:color w:val="4F81BD" w:themeColor="accent1"/>
      </w:rPr>
      <w:t xml:space="preserve">Quick Reference Guide: </w:t>
    </w:r>
  </w:p>
  <w:p w:rsidR="000B1EAE" w:rsidRPr="00F8288A" w:rsidRDefault="007D13E9" w:rsidP="00032E09">
    <w:pPr>
      <w:pStyle w:val="Header"/>
      <w:jc w:val="center"/>
      <w:rPr>
        <w:b/>
        <w:color w:val="4F81BD" w:themeColor="accent1"/>
        <w:sz w:val="30"/>
        <w:szCs w:val="30"/>
      </w:rPr>
    </w:pPr>
    <w:r>
      <w:rPr>
        <w:b/>
        <w:color w:val="4F81BD" w:themeColor="accent1"/>
        <w:sz w:val="30"/>
        <w:szCs w:val="30"/>
      </w:rPr>
      <w:t xml:space="preserve">Integrating Technology &amp; Engineering </w:t>
    </w:r>
    <w:r w:rsidR="00CF61E9">
      <w:rPr>
        <w:b/>
        <w:color w:val="4F81BD" w:themeColor="accent1"/>
        <w:sz w:val="30"/>
        <w:szCs w:val="30"/>
      </w:rPr>
      <w:t>with</w:t>
    </w:r>
    <w:r>
      <w:rPr>
        <w:b/>
        <w:color w:val="4F81BD" w:themeColor="accent1"/>
        <w:sz w:val="30"/>
        <w:szCs w:val="30"/>
      </w:rPr>
      <w:t xml:space="preserve"> High School Science</w:t>
    </w:r>
  </w:p>
  <w:p w:rsidR="00C53792" w:rsidRPr="00585FA4" w:rsidRDefault="00C53792" w:rsidP="00585FA4">
    <w:pPr>
      <w:spacing w:line="276" w:lineRule="auto"/>
      <w:jc w:val="center"/>
      <w:rPr>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C85"/>
    <w:multiLevelType w:val="multilevel"/>
    <w:tmpl w:val="5BD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6710"/>
    <w:multiLevelType w:val="hybridMultilevel"/>
    <w:tmpl w:val="4ED83DC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45843"/>
    <w:multiLevelType w:val="hybridMultilevel"/>
    <w:tmpl w:val="9668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24D87"/>
    <w:multiLevelType w:val="hybridMultilevel"/>
    <w:tmpl w:val="40346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11F36"/>
    <w:multiLevelType w:val="hybridMultilevel"/>
    <w:tmpl w:val="38686842"/>
    <w:lvl w:ilvl="0" w:tplc="58F88106">
      <w:start w:val="10"/>
      <w:numFmt w:val="bullet"/>
      <w:lvlText w:val="-"/>
      <w:lvlJc w:val="left"/>
      <w:pPr>
        <w:ind w:left="735" w:hanging="360"/>
      </w:pPr>
      <w:rPr>
        <w:rFonts w:ascii="Arial" w:eastAsia="Cambria" w:hAnsi="Arial"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4121450A"/>
    <w:multiLevelType w:val="hybridMultilevel"/>
    <w:tmpl w:val="F092D87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05DAB"/>
    <w:multiLevelType w:val="hybridMultilevel"/>
    <w:tmpl w:val="BD8643C6"/>
    <w:lvl w:ilvl="0" w:tplc="662E62D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F066EFB"/>
    <w:multiLevelType w:val="hybridMultilevel"/>
    <w:tmpl w:val="CEE475C8"/>
    <w:lvl w:ilvl="0" w:tplc="04090001">
      <w:start w:val="1"/>
      <w:numFmt w:val="bullet"/>
      <w:lvlText w:val=""/>
      <w:lvlJc w:val="left"/>
      <w:pPr>
        <w:ind w:left="720" w:hanging="360"/>
      </w:pPr>
      <w:rPr>
        <w:rFonts w:ascii="Symbol" w:hAnsi="Symbo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22EC7"/>
    <w:multiLevelType w:val="hybridMultilevel"/>
    <w:tmpl w:val="04F6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979AC"/>
    <w:multiLevelType w:val="hybridMultilevel"/>
    <w:tmpl w:val="B56C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0"/>
  </w:num>
  <w:num w:numId="6">
    <w:abstractNumId w:val="8"/>
  </w:num>
  <w:num w:numId="7">
    <w:abstractNumId w:val="5"/>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BB"/>
    <w:rsid w:val="00027647"/>
    <w:rsid w:val="00032E09"/>
    <w:rsid w:val="00036B51"/>
    <w:rsid w:val="00045841"/>
    <w:rsid w:val="00050A79"/>
    <w:rsid w:val="00075743"/>
    <w:rsid w:val="00077A06"/>
    <w:rsid w:val="00084960"/>
    <w:rsid w:val="000A4B8B"/>
    <w:rsid w:val="000B09DF"/>
    <w:rsid w:val="000B1EAE"/>
    <w:rsid w:val="000B3F4A"/>
    <w:rsid w:val="000B78BE"/>
    <w:rsid w:val="000D6600"/>
    <w:rsid w:val="000E3888"/>
    <w:rsid w:val="000F51FC"/>
    <w:rsid w:val="00102D37"/>
    <w:rsid w:val="00104A89"/>
    <w:rsid w:val="001116ED"/>
    <w:rsid w:val="00121131"/>
    <w:rsid w:val="001269FA"/>
    <w:rsid w:val="00126BB2"/>
    <w:rsid w:val="001612A4"/>
    <w:rsid w:val="001646C0"/>
    <w:rsid w:val="001735DD"/>
    <w:rsid w:val="00197EB4"/>
    <w:rsid w:val="001A584F"/>
    <w:rsid w:val="001A67D5"/>
    <w:rsid w:val="001B5A8A"/>
    <w:rsid w:val="001D5CD2"/>
    <w:rsid w:val="001E1346"/>
    <w:rsid w:val="001F6DEA"/>
    <w:rsid w:val="00204240"/>
    <w:rsid w:val="00205D10"/>
    <w:rsid w:val="002212F0"/>
    <w:rsid w:val="002414B8"/>
    <w:rsid w:val="0024296F"/>
    <w:rsid w:val="00252197"/>
    <w:rsid w:val="00254234"/>
    <w:rsid w:val="00261E27"/>
    <w:rsid w:val="00266DBA"/>
    <w:rsid w:val="00270667"/>
    <w:rsid w:val="0027264F"/>
    <w:rsid w:val="00281901"/>
    <w:rsid w:val="002A08E0"/>
    <w:rsid w:val="002B12FD"/>
    <w:rsid w:val="002B5397"/>
    <w:rsid w:val="002C317E"/>
    <w:rsid w:val="00331004"/>
    <w:rsid w:val="00331C5E"/>
    <w:rsid w:val="0034401D"/>
    <w:rsid w:val="00355702"/>
    <w:rsid w:val="00360DB2"/>
    <w:rsid w:val="003665A4"/>
    <w:rsid w:val="0037313D"/>
    <w:rsid w:val="003A4641"/>
    <w:rsid w:val="003A5727"/>
    <w:rsid w:val="003B54E8"/>
    <w:rsid w:val="003C1781"/>
    <w:rsid w:val="003E5923"/>
    <w:rsid w:val="003E5E76"/>
    <w:rsid w:val="003F60FD"/>
    <w:rsid w:val="003F6124"/>
    <w:rsid w:val="003F69AC"/>
    <w:rsid w:val="003F7284"/>
    <w:rsid w:val="00407274"/>
    <w:rsid w:val="0042753E"/>
    <w:rsid w:val="00436C41"/>
    <w:rsid w:val="00454559"/>
    <w:rsid w:val="00484DAA"/>
    <w:rsid w:val="004857E5"/>
    <w:rsid w:val="0048630E"/>
    <w:rsid w:val="0049185F"/>
    <w:rsid w:val="004931B5"/>
    <w:rsid w:val="004B4BDB"/>
    <w:rsid w:val="004B7CA7"/>
    <w:rsid w:val="004D3E4F"/>
    <w:rsid w:val="004F152A"/>
    <w:rsid w:val="00513DC0"/>
    <w:rsid w:val="00522552"/>
    <w:rsid w:val="005230D3"/>
    <w:rsid w:val="00524338"/>
    <w:rsid w:val="005254AB"/>
    <w:rsid w:val="005315C5"/>
    <w:rsid w:val="00563510"/>
    <w:rsid w:val="00565DDB"/>
    <w:rsid w:val="005750A9"/>
    <w:rsid w:val="005831CA"/>
    <w:rsid w:val="00585FA4"/>
    <w:rsid w:val="005B2787"/>
    <w:rsid w:val="005B4050"/>
    <w:rsid w:val="005D40BA"/>
    <w:rsid w:val="005E0FA8"/>
    <w:rsid w:val="005E2C97"/>
    <w:rsid w:val="005E647C"/>
    <w:rsid w:val="005E7A5F"/>
    <w:rsid w:val="0060528B"/>
    <w:rsid w:val="006114CB"/>
    <w:rsid w:val="00611BB6"/>
    <w:rsid w:val="0062499F"/>
    <w:rsid w:val="006416B2"/>
    <w:rsid w:val="00646158"/>
    <w:rsid w:val="00646518"/>
    <w:rsid w:val="00656C9E"/>
    <w:rsid w:val="00680E2C"/>
    <w:rsid w:val="006860E0"/>
    <w:rsid w:val="006967AE"/>
    <w:rsid w:val="006A576A"/>
    <w:rsid w:val="006A5B2A"/>
    <w:rsid w:val="006B1578"/>
    <w:rsid w:val="006B55C1"/>
    <w:rsid w:val="006C6D72"/>
    <w:rsid w:val="006D20B4"/>
    <w:rsid w:val="006E5EC3"/>
    <w:rsid w:val="006F6F21"/>
    <w:rsid w:val="006F7FDC"/>
    <w:rsid w:val="007032BA"/>
    <w:rsid w:val="00705576"/>
    <w:rsid w:val="0071240F"/>
    <w:rsid w:val="007156D9"/>
    <w:rsid w:val="00742685"/>
    <w:rsid w:val="007658B7"/>
    <w:rsid w:val="00770553"/>
    <w:rsid w:val="00771637"/>
    <w:rsid w:val="00774057"/>
    <w:rsid w:val="00794A2A"/>
    <w:rsid w:val="007B3418"/>
    <w:rsid w:val="007D13E9"/>
    <w:rsid w:val="007D27C9"/>
    <w:rsid w:val="007D3B3E"/>
    <w:rsid w:val="007E227A"/>
    <w:rsid w:val="007E56E8"/>
    <w:rsid w:val="007F741A"/>
    <w:rsid w:val="007F7904"/>
    <w:rsid w:val="00812299"/>
    <w:rsid w:val="0082121A"/>
    <w:rsid w:val="008335B6"/>
    <w:rsid w:val="0083709F"/>
    <w:rsid w:val="0086604A"/>
    <w:rsid w:val="00871176"/>
    <w:rsid w:val="008724D3"/>
    <w:rsid w:val="008859F7"/>
    <w:rsid w:val="00896B70"/>
    <w:rsid w:val="008C0F3C"/>
    <w:rsid w:val="008E3F42"/>
    <w:rsid w:val="008F1E98"/>
    <w:rsid w:val="008F6188"/>
    <w:rsid w:val="009058D6"/>
    <w:rsid w:val="009113A0"/>
    <w:rsid w:val="00930EBE"/>
    <w:rsid w:val="0096230C"/>
    <w:rsid w:val="009672F7"/>
    <w:rsid w:val="00967DD0"/>
    <w:rsid w:val="0098608C"/>
    <w:rsid w:val="009A3716"/>
    <w:rsid w:val="009A574E"/>
    <w:rsid w:val="009B5689"/>
    <w:rsid w:val="009C6717"/>
    <w:rsid w:val="009D0A6E"/>
    <w:rsid w:val="009D2F21"/>
    <w:rsid w:val="009D4878"/>
    <w:rsid w:val="009D7DC9"/>
    <w:rsid w:val="00A0290C"/>
    <w:rsid w:val="00A16BDB"/>
    <w:rsid w:val="00A2292F"/>
    <w:rsid w:val="00A2377F"/>
    <w:rsid w:val="00A3474C"/>
    <w:rsid w:val="00A37DF9"/>
    <w:rsid w:val="00A41C67"/>
    <w:rsid w:val="00A425E0"/>
    <w:rsid w:val="00A45815"/>
    <w:rsid w:val="00A5594D"/>
    <w:rsid w:val="00A573F5"/>
    <w:rsid w:val="00A64C02"/>
    <w:rsid w:val="00A67B2E"/>
    <w:rsid w:val="00A72F5D"/>
    <w:rsid w:val="00A809DE"/>
    <w:rsid w:val="00A84E54"/>
    <w:rsid w:val="00AD36DB"/>
    <w:rsid w:val="00AE74A6"/>
    <w:rsid w:val="00AE782F"/>
    <w:rsid w:val="00AE7CA3"/>
    <w:rsid w:val="00AF1477"/>
    <w:rsid w:val="00B3190A"/>
    <w:rsid w:val="00B32B49"/>
    <w:rsid w:val="00B641C9"/>
    <w:rsid w:val="00B64655"/>
    <w:rsid w:val="00B7442E"/>
    <w:rsid w:val="00B74F42"/>
    <w:rsid w:val="00B83500"/>
    <w:rsid w:val="00B83B1C"/>
    <w:rsid w:val="00BA5381"/>
    <w:rsid w:val="00BB1CC9"/>
    <w:rsid w:val="00BE0C55"/>
    <w:rsid w:val="00BE1B56"/>
    <w:rsid w:val="00BE360E"/>
    <w:rsid w:val="00BE3E3A"/>
    <w:rsid w:val="00BE7848"/>
    <w:rsid w:val="00BF2906"/>
    <w:rsid w:val="00C04AFC"/>
    <w:rsid w:val="00C06596"/>
    <w:rsid w:val="00C23485"/>
    <w:rsid w:val="00C23EDB"/>
    <w:rsid w:val="00C26A15"/>
    <w:rsid w:val="00C276BB"/>
    <w:rsid w:val="00C53792"/>
    <w:rsid w:val="00C54630"/>
    <w:rsid w:val="00C554B9"/>
    <w:rsid w:val="00C608A5"/>
    <w:rsid w:val="00C64B4B"/>
    <w:rsid w:val="00C67E75"/>
    <w:rsid w:val="00C70615"/>
    <w:rsid w:val="00C71858"/>
    <w:rsid w:val="00C83F3A"/>
    <w:rsid w:val="00CA26A2"/>
    <w:rsid w:val="00CA3703"/>
    <w:rsid w:val="00CB787D"/>
    <w:rsid w:val="00CF1B02"/>
    <w:rsid w:val="00CF61E9"/>
    <w:rsid w:val="00D0395F"/>
    <w:rsid w:val="00D14E15"/>
    <w:rsid w:val="00D17D7B"/>
    <w:rsid w:val="00D31CD5"/>
    <w:rsid w:val="00D432D6"/>
    <w:rsid w:val="00D44347"/>
    <w:rsid w:val="00D501F5"/>
    <w:rsid w:val="00D5350E"/>
    <w:rsid w:val="00D773F8"/>
    <w:rsid w:val="00D85343"/>
    <w:rsid w:val="00DB4D86"/>
    <w:rsid w:val="00DC5206"/>
    <w:rsid w:val="00DC7A70"/>
    <w:rsid w:val="00DD3769"/>
    <w:rsid w:val="00DD6A32"/>
    <w:rsid w:val="00E025FC"/>
    <w:rsid w:val="00E10B2A"/>
    <w:rsid w:val="00E2095C"/>
    <w:rsid w:val="00E31830"/>
    <w:rsid w:val="00E41BFB"/>
    <w:rsid w:val="00E57F7B"/>
    <w:rsid w:val="00E60095"/>
    <w:rsid w:val="00E65697"/>
    <w:rsid w:val="00E87D4E"/>
    <w:rsid w:val="00E90D7A"/>
    <w:rsid w:val="00E91B46"/>
    <w:rsid w:val="00EA330F"/>
    <w:rsid w:val="00EC1173"/>
    <w:rsid w:val="00ED50B3"/>
    <w:rsid w:val="00ED6F35"/>
    <w:rsid w:val="00EE3FB2"/>
    <w:rsid w:val="00EE4E1A"/>
    <w:rsid w:val="00EF1C21"/>
    <w:rsid w:val="00EF626E"/>
    <w:rsid w:val="00EF7BC1"/>
    <w:rsid w:val="00F12637"/>
    <w:rsid w:val="00F3174E"/>
    <w:rsid w:val="00F406F2"/>
    <w:rsid w:val="00F53EF8"/>
    <w:rsid w:val="00F645DD"/>
    <w:rsid w:val="00F77016"/>
    <w:rsid w:val="00F8288A"/>
    <w:rsid w:val="00F87AEB"/>
    <w:rsid w:val="00F87BAC"/>
    <w:rsid w:val="00FA4E66"/>
    <w:rsid w:val="00FB0780"/>
    <w:rsid w:val="00FC6A39"/>
    <w:rsid w:val="00FD4D97"/>
    <w:rsid w:val="00FF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4CF14-3865-4B48-A301-4F4FBD3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BB"/>
    <w:pPr>
      <w:spacing w:after="0" w:line="240" w:lineRule="auto"/>
    </w:pPr>
    <w:rPr>
      <w:rFonts w:ascii="Arial" w:eastAsia="Cambria" w:hAnsi="Arial" w:cs="Times New Roman"/>
      <w:sz w:val="20"/>
      <w:szCs w:val="24"/>
    </w:rPr>
  </w:style>
  <w:style w:type="paragraph" w:styleId="Heading1">
    <w:name w:val="heading 1"/>
    <w:basedOn w:val="Normal"/>
    <w:next w:val="Normal"/>
    <w:link w:val="Heading1Char"/>
    <w:qFormat/>
    <w:rsid w:val="00C53792"/>
    <w:pPr>
      <w:keepNext/>
      <w:keepLines/>
      <w:spacing w:before="160" w:after="160" w:line="276" w:lineRule="auto"/>
      <w:outlineLvl w:val="0"/>
    </w:pPr>
    <w:rPr>
      <w:rFonts w:eastAsiaTheme="majorEastAsia"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76BB"/>
    <w:rPr>
      <w:rFonts w:ascii="Garamond" w:hAnsi="Garamond"/>
      <w:szCs w:val="20"/>
    </w:rPr>
  </w:style>
  <w:style w:type="character" w:customStyle="1" w:styleId="FootnoteTextChar">
    <w:name w:val="Footnote Text Char"/>
    <w:basedOn w:val="DefaultParagraphFont"/>
    <w:link w:val="FootnoteText"/>
    <w:uiPriority w:val="99"/>
    <w:rsid w:val="00C276BB"/>
    <w:rPr>
      <w:rFonts w:ascii="Garamond" w:eastAsia="Cambria" w:hAnsi="Garamond" w:cs="Times New Roman"/>
      <w:sz w:val="20"/>
      <w:szCs w:val="20"/>
    </w:rPr>
  </w:style>
  <w:style w:type="character" w:styleId="FootnoteReference">
    <w:name w:val="footnote reference"/>
    <w:rsid w:val="00C276BB"/>
    <w:rPr>
      <w:rFonts w:cs="Times New Roman"/>
      <w:vertAlign w:val="superscript"/>
    </w:rPr>
  </w:style>
  <w:style w:type="character" w:styleId="Hyperlink">
    <w:name w:val="Hyperlink"/>
    <w:rsid w:val="00C276BB"/>
    <w:rPr>
      <w:color w:val="0000FF"/>
      <w:u w:val="single"/>
    </w:rPr>
  </w:style>
  <w:style w:type="paragraph" w:styleId="Header">
    <w:name w:val="header"/>
    <w:basedOn w:val="Normal"/>
    <w:link w:val="HeaderChar"/>
    <w:unhideWhenUsed/>
    <w:rsid w:val="00C53792"/>
    <w:pPr>
      <w:tabs>
        <w:tab w:val="center" w:pos="4680"/>
        <w:tab w:val="right" w:pos="9360"/>
      </w:tabs>
    </w:pPr>
  </w:style>
  <w:style w:type="character" w:customStyle="1" w:styleId="HeaderChar">
    <w:name w:val="Header Char"/>
    <w:basedOn w:val="DefaultParagraphFont"/>
    <w:link w:val="Header"/>
    <w:rsid w:val="00C53792"/>
    <w:rPr>
      <w:rFonts w:ascii="Arial" w:eastAsia="Cambria" w:hAnsi="Arial" w:cs="Times New Roman"/>
      <w:sz w:val="20"/>
      <w:szCs w:val="24"/>
    </w:rPr>
  </w:style>
  <w:style w:type="paragraph" w:styleId="Footer">
    <w:name w:val="footer"/>
    <w:basedOn w:val="Normal"/>
    <w:link w:val="FooterChar"/>
    <w:uiPriority w:val="99"/>
    <w:unhideWhenUsed/>
    <w:rsid w:val="00C53792"/>
    <w:pPr>
      <w:tabs>
        <w:tab w:val="center" w:pos="4680"/>
        <w:tab w:val="right" w:pos="9360"/>
      </w:tabs>
    </w:pPr>
  </w:style>
  <w:style w:type="character" w:customStyle="1" w:styleId="FooterChar">
    <w:name w:val="Footer Char"/>
    <w:basedOn w:val="DefaultParagraphFont"/>
    <w:link w:val="Footer"/>
    <w:uiPriority w:val="99"/>
    <w:rsid w:val="00C53792"/>
    <w:rPr>
      <w:rFonts w:ascii="Arial" w:eastAsia="Cambria" w:hAnsi="Arial" w:cs="Times New Roman"/>
      <w:sz w:val="20"/>
      <w:szCs w:val="24"/>
    </w:rPr>
  </w:style>
  <w:style w:type="paragraph" w:styleId="BalloonText">
    <w:name w:val="Balloon Text"/>
    <w:basedOn w:val="Normal"/>
    <w:link w:val="BalloonTextChar"/>
    <w:uiPriority w:val="99"/>
    <w:semiHidden/>
    <w:unhideWhenUsed/>
    <w:rsid w:val="00C53792"/>
    <w:rPr>
      <w:rFonts w:ascii="Tahoma" w:hAnsi="Tahoma" w:cs="Tahoma"/>
      <w:sz w:val="16"/>
      <w:szCs w:val="16"/>
    </w:rPr>
  </w:style>
  <w:style w:type="character" w:customStyle="1" w:styleId="BalloonTextChar">
    <w:name w:val="Balloon Text Char"/>
    <w:basedOn w:val="DefaultParagraphFont"/>
    <w:link w:val="BalloonText"/>
    <w:uiPriority w:val="99"/>
    <w:semiHidden/>
    <w:rsid w:val="00C53792"/>
    <w:rPr>
      <w:rFonts w:ascii="Tahoma" w:eastAsia="Cambria" w:hAnsi="Tahoma" w:cs="Tahoma"/>
      <w:sz w:val="16"/>
      <w:szCs w:val="16"/>
    </w:rPr>
  </w:style>
  <w:style w:type="character" w:customStyle="1" w:styleId="Heading1Char">
    <w:name w:val="Heading 1 Char"/>
    <w:basedOn w:val="DefaultParagraphFont"/>
    <w:link w:val="Heading1"/>
    <w:rsid w:val="00C53792"/>
    <w:rPr>
      <w:rFonts w:ascii="Arial" w:eastAsiaTheme="majorEastAsia" w:hAnsi="Arial" w:cstheme="majorBidi"/>
      <w:b/>
      <w:bCs/>
      <w:color w:val="365F91" w:themeColor="accent1" w:themeShade="BF"/>
      <w:sz w:val="32"/>
      <w:szCs w:val="28"/>
    </w:rPr>
  </w:style>
  <w:style w:type="character" w:customStyle="1" w:styleId="01-sidebartextChar">
    <w:name w:val="01-sidebar text Char"/>
    <w:link w:val="01-sidebartext"/>
    <w:locked/>
    <w:rsid w:val="004B4BDB"/>
    <w:rPr>
      <w:rFonts w:ascii="Franklin Gothic Book" w:eastAsia="Times New Roman" w:hAnsi="Franklin Gothic Book"/>
      <w:i/>
      <w:color w:val="007AB2"/>
      <w:sz w:val="18"/>
      <w:szCs w:val="30"/>
    </w:rPr>
  </w:style>
  <w:style w:type="paragraph" w:customStyle="1" w:styleId="01-sidebartext">
    <w:name w:val="01-sidebar text"/>
    <w:basedOn w:val="Normal"/>
    <w:link w:val="01-sidebartextChar"/>
    <w:qFormat/>
    <w:rsid w:val="004B4BDB"/>
    <w:pPr>
      <w:spacing w:line="360" w:lineRule="auto"/>
    </w:pPr>
    <w:rPr>
      <w:rFonts w:ascii="Franklin Gothic Book" w:eastAsia="Times New Roman" w:hAnsi="Franklin Gothic Book" w:cstheme="minorBidi"/>
      <w:i/>
      <w:color w:val="007AB2"/>
      <w:sz w:val="18"/>
      <w:szCs w:val="30"/>
    </w:rPr>
  </w:style>
  <w:style w:type="paragraph" w:styleId="ListParagraph">
    <w:name w:val="List Paragraph"/>
    <w:basedOn w:val="Normal"/>
    <w:uiPriority w:val="34"/>
    <w:qFormat/>
    <w:rsid w:val="006F7FDC"/>
    <w:pPr>
      <w:ind w:left="720"/>
      <w:contextualSpacing/>
    </w:pPr>
  </w:style>
  <w:style w:type="character" w:styleId="CommentReference">
    <w:name w:val="annotation reference"/>
    <w:basedOn w:val="DefaultParagraphFont"/>
    <w:uiPriority w:val="99"/>
    <w:semiHidden/>
    <w:unhideWhenUsed/>
    <w:rsid w:val="00A72F5D"/>
    <w:rPr>
      <w:sz w:val="16"/>
      <w:szCs w:val="16"/>
    </w:rPr>
  </w:style>
  <w:style w:type="paragraph" w:styleId="CommentText">
    <w:name w:val="annotation text"/>
    <w:basedOn w:val="Normal"/>
    <w:link w:val="CommentTextChar"/>
    <w:uiPriority w:val="99"/>
    <w:semiHidden/>
    <w:unhideWhenUsed/>
    <w:rsid w:val="00A72F5D"/>
    <w:rPr>
      <w:szCs w:val="20"/>
    </w:rPr>
  </w:style>
  <w:style w:type="character" w:customStyle="1" w:styleId="CommentTextChar">
    <w:name w:val="Comment Text Char"/>
    <w:basedOn w:val="DefaultParagraphFont"/>
    <w:link w:val="CommentText"/>
    <w:uiPriority w:val="99"/>
    <w:semiHidden/>
    <w:rsid w:val="00A72F5D"/>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A72F5D"/>
    <w:rPr>
      <w:b/>
      <w:bCs/>
    </w:rPr>
  </w:style>
  <w:style w:type="character" w:customStyle="1" w:styleId="CommentSubjectChar">
    <w:name w:val="Comment Subject Char"/>
    <w:basedOn w:val="CommentTextChar"/>
    <w:link w:val="CommentSubject"/>
    <w:uiPriority w:val="99"/>
    <w:semiHidden/>
    <w:rsid w:val="00A72F5D"/>
    <w:rPr>
      <w:rFonts w:ascii="Arial" w:eastAsia="Cambria" w:hAnsi="Arial" w:cs="Times New Roman"/>
      <w:b/>
      <w:bCs/>
      <w:sz w:val="20"/>
      <w:szCs w:val="20"/>
    </w:rPr>
  </w:style>
  <w:style w:type="paragraph" w:styleId="Revision">
    <w:name w:val="Revision"/>
    <w:hidden/>
    <w:uiPriority w:val="99"/>
    <w:semiHidden/>
    <w:rsid w:val="009D2F21"/>
    <w:pPr>
      <w:spacing w:after="0" w:line="240" w:lineRule="auto"/>
    </w:pPr>
    <w:rPr>
      <w:rFonts w:ascii="Arial" w:eastAsia="Cambria" w:hAnsi="Arial" w:cs="Times New Roman"/>
      <w:sz w:val="20"/>
      <w:szCs w:val="24"/>
    </w:rPr>
  </w:style>
  <w:style w:type="character" w:styleId="SubtleReference">
    <w:name w:val="Subtle Reference"/>
    <w:basedOn w:val="DefaultParagraphFont"/>
    <w:uiPriority w:val="31"/>
    <w:qFormat/>
    <w:rsid w:val="000B1EAE"/>
    <w:rPr>
      <w:smallCaps/>
      <w:color w:val="C0504D"/>
      <w:u w:val="single"/>
    </w:rPr>
  </w:style>
  <w:style w:type="paragraph" w:customStyle="1" w:styleId="01-LevelC">
    <w:name w:val="01-Level C"/>
    <w:basedOn w:val="Normal"/>
    <w:autoRedefine/>
    <w:rsid w:val="001A67D5"/>
    <w:pPr>
      <w:keepNext/>
      <w:tabs>
        <w:tab w:val="left" w:pos="360"/>
      </w:tabs>
    </w:pPr>
    <w:rPr>
      <w:sz w:val="28"/>
      <w:szCs w:val="28"/>
    </w:rPr>
  </w:style>
  <w:style w:type="character" w:customStyle="1" w:styleId="apple-converted-space">
    <w:name w:val="apple-converted-space"/>
    <w:basedOn w:val="DefaultParagraphFont"/>
    <w:rsid w:val="002B5397"/>
  </w:style>
  <w:style w:type="paragraph" w:styleId="NoSpacing">
    <w:name w:val="No Spacing"/>
    <w:uiPriority w:val="1"/>
    <w:qFormat/>
    <w:rsid w:val="00032E09"/>
    <w:pPr>
      <w:spacing w:after="0" w:line="240" w:lineRule="auto"/>
    </w:pPr>
    <w:rPr>
      <w:rFonts w:ascii="Arial" w:eastAsia="Cambria" w:hAnsi="Arial" w:cs="Times New Roman"/>
      <w:sz w:val="20"/>
      <w:szCs w:val="24"/>
    </w:rPr>
  </w:style>
  <w:style w:type="paragraph" w:styleId="NormalWeb">
    <w:name w:val="Normal (Web)"/>
    <w:basedOn w:val="Normal"/>
    <w:uiPriority w:val="99"/>
    <w:semiHidden/>
    <w:unhideWhenUsed/>
    <w:rsid w:val="006E5EC3"/>
    <w:pPr>
      <w:spacing w:before="100" w:beforeAutospacing="1" w:after="100" w:afterAutospacing="1"/>
    </w:pPr>
    <w:rPr>
      <w:rFonts w:ascii="Times New Roman" w:eastAsia="Times New Roman" w:hAnsi="Times New Roman"/>
      <w:sz w:val="24"/>
    </w:rPr>
  </w:style>
  <w:style w:type="paragraph" w:styleId="Index2">
    <w:name w:val="index 2"/>
    <w:basedOn w:val="Normal"/>
    <w:next w:val="Normal"/>
    <w:autoRedefine/>
    <w:semiHidden/>
    <w:rsid w:val="00FA4E66"/>
    <w:pPr>
      <w:ind w:left="400" w:hanging="200"/>
    </w:pPr>
    <w:rPr>
      <w:rFonts w:ascii="Times New Roman" w:eastAsia="Times New Roman" w:hAnsi="Times New Roman"/>
      <w:szCs w:val="20"/>
    </w:rPr>
  </w:style>
  <w:style w:type="table" w:styleId="TableGrid">
    <w:name w:val="Table Grid"/>
    <w:basedOn w:val="TableNormal"/>
    <w:uiPriority w:val="59"/>
    <w:rsid w:val="009A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53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5347">
      <w:bodyDiv w:val="1"/>
      <w:marLeft w:val="0"/>
      <w:marRight w:val="0"/>
      <w:marTop w:val="0"/>
      <w:marBottom w:val="0"/>
      <w:divBdr>
        <w:top w:val="none" w:sz="0" w:space="0" w:color="auto"/>
        <w:left w:val="none" w:sz="0" w:space="0" w:color="auto"/>
        <w:bottom w:val="none" w:sz="0" w:space="0" w:color="auto"/>
        <w:right w:val="none" w:sz="0" w:space="0" w:color="auto"/>
      </w:divBdr>
    </w:div>
    <w:div w:id="1060906402">
      <w:bodyDiv w:val="1"/>
      <w:marLeft w:val="0"/>
      <w:marRight w:val="0"/>
      <w:marTop w:val="0"/>
      <w:marBottom w:val="0"/>
      <w:divBdr>
        <w:top w:val="none" w:sz="0" w:space="0" w:color="auto"/>
        <w:left w:val="none" w:sz="0" w:space="0" w:color="auto"/>
        <w:bottom w:val="none" w:sz="0" w:space="0" w:color="auto"/>
        <w:right w:val="none" w:sz="0" w:space="0" w:color="auto"/>
      </w:divBdr>
    </w:div>
    <w:div w:id="1837181559">
      <w:bodyDiv w:val="1"/>
      <w:marLeft w:val="0"/>
      <w:marRight w:val="0"/>
      <w:marTop w:val="0"/>
      <w:marBottom w:val="0"/>
      <w:divBdr>
        <w:top w:val="none" w:sz="0" w:space="0" w:color="auto"/>
        <w:left w:val="none" w:sz="0" w:space="0" w:color="auto"/>
        <w:bottom w:val="none" w:sz="0" w:space="0" w:color="auto"/>
        <w:right w:val="none" w:sz="0" w:space="0" w:color="auto"/>
      </w:divBdr>
    </w:div>
    <w:div w:id="18971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temteachingtool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frameworks/" TargetMode="External"/><Relationship Id="rId17" Type="http://schemas.openxmlformats.org/officeDocument/2006/relationships/hyperlink" Target="https://www.nextgenscience.org/resources/bundling-ngss" TargetMode="External"/><Relationship Id="rId2" Type="http://schemas.openxmlformats.org/officeDocument/2006/relationships/customXml" Target="../customXml/item2.xml"/><Relationship Id="rId16" Type="http://schemas.openxmlformats.org/officeDocument/2006/relationships/hyperlink" Target="http://stemteachingtool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xtgenscience.org/resources/bundling-ngs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DESE-231-37481</_dlc_DocId>
    <_dlc_DocIdUrl xmlns="733efe1c-5bbe-4968-87dc-d400e65c879f">
      <Url>https://sharepoint.doemass.org/ese/webteam/cps/_layouts/DocIdRedir.aspx?ID=DESE-231-37481</Url>
      <Description>DESE-231-37481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6524B-648C-4376-BF93-59819106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BC90D-69A3-496B-BC92-D99F99981CCF}">
  <ds:schemaRefs>
    <ds:schemaRef ds:uri="http://schemas.microsoft.com/sharepoint/events"/>
  </ds:schemaRefs>
</ds:datastoreItem>
</file>

<file path=customXml/itemProps3.xml><?xml version="1.0" encoding="utf-8"?>
<ds:datastoreItem xmlns:ds="http://schemas.openxmlformats.org/officeDocument/2006/customXml" ds:itemID="{D947BA8D-F965-41A6-94E0-B75C3710FC18}">
  <ds:schemaRefs>
    <ds:schemaRef ds:uri="http://schemas.microsoft.com/sharepoint/v3/contenttype/forms"/>
  </ds:schemaRefs>
</ds:datastoreItem>
</file>

<file path=customXml/itemProps4.xml><?xml version="1.0" encoding="utf-8"?>
<ds:datastoreItem xmlns:ds="http://schemas.openxmlformats.org/officeDocument/2006/customXml" ds:itemID="{C10BCF1C-D7F7-4B5E-A9DE-CB1C5489C8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BEF3323-09CE-4EB9-8552-33A37612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Quick Reference Guide (QRG) - Integrating Technology &amp; Engineering in High School - October 19, 2017</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(QRG) - Integrating Technology &amp; Engineering in High School - October 19, 2017</dc:title>
  <dc:creator>ESE</dc:creator>
  <cp:lastModifiedBy>Zou, Dong</cp:lastModifiedBy>
  <cp:revision>24</cp:revision>
  <cp:lastPrinted>2017-10-19T19:51:00Z</cp:lastPrinted>
  <dcterms:created xsi:type="dcterms:W3CDTF">2017-10-19T16:36:00Z</dcterms:created>
  <dcterms:modified xsi:type="dcterms:W3CDTF">2017-10-19T19:52:00Z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2017</vt:lpwstr>
  </property>
</Properties>
</file>