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9A" w:rsidRDefault="00C6240F" w:rsidP="00F3549A">
      <w:pPr>
        <w:ind w:left="2610"/>
        <w:rPr>
          <w:b/>
        </w:rPr>
      </w:pPr>
      <w:r>
        <w:rPr>
          <w:noProof/>
        </w:rPr>
        <w:drawing>
          <wp:anchor distT="0" distB="0" distL="114300" distR="114300" simplePos="0" relativeHeight="251646976" behindDoc="1" locked="0" layoutInCell="1" allowOverlap="1">
            <wp:simplePos x="0" y="0"/>
            <wp:positionH relativeFrom="column">
              <wp:posOffset>-1088390</wp:posOffset>
            </wp:positionH>
            <wp:positionV relativeFrom="paragraph">
              <wp:posOffset>-965200</wp:posOffset>
            </wp:positionV>
            <wp:extent cx="7209790" cy="10181590"/>
            <wp:effectExtent l="19050" t="0" r="0" b="0"/>
            <wp:wrapNone/>
            <wp:docPr id="8" name="Picture 8" descr="AIR Logo and chart showing the relationship between Level 4 schools chosen for this study, which focuses on exited level 4 schools that have shown continuous improvement and current level 4 schools that are impro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header.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9790" cy="10181590"/>
                    </a:xfrm>
                    <a:prstGeom prst="rect">
                      <a:avLst/>
                    </a:prstGeom>
                  </pic:spPr>
                </pic:pic>
              </a:graphicData>
            </a:graphic>
          </wp:anchor>
        </w:drawing>
      </w:r>
      <w:r w:rsidR="00B96919">
        <w:rPr>
          <w:noProof/>
        </w:rPr>
        <w:t xml:space="preserve"> </w:t>
      </w:r>
    </w:p>
    <w:p w:rsidR="005830A4" w:rsidRPr="005830A4" w:rsidRDefault="00967F2C" w:rsidP="005830A4">
      <w:pPr>
        <w:pStyle w:val="Heading1"/>
        <w:spacing w:before="480" w:after="0"/>
        <w:ind w:left="2520"/>
        <w:rPr>
          <w:noProof/>
          <w:sz w:val="46"/>
          <w:szCs w:val="46"/>
        </w:rPr>
      </w:pPr>
      <w:r>
        <w:rPr>
          <w:noProof/>
          <w:sz w:val="46"/>
          <w:szCs w:val="46"/>
        </w:rPr>
        <w:pict>
          <v:shapetype id="_x0000_t202" coordsize="21600,21600" o:spt="202" path="m,l,21600r21600,l21600,xe">
            <v:stroke joinstyle="miter"/>
            <v:path gradientshapeok="t" o:connecttype="rect"/>
          </v:shapetype>
          <v:shape id="Text Box 2" o:spid="_x0000_s1026" type="#_x0000_t202" style="position:absolute;left:0;text-align:left;margin-left:-72.75pt;margin-top:37.2pt;width:162.9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" fillcolor="#a5a5a5 [2092]" stroked="f">
            <v:textbox>
              <w:txbxContent>
                <w:p w:rsidR="00FC77D7" w:rsidRPr="002C0959" w:rsidRDefault="00025A06" w:rsidP="0099304F">
                  <w:pPr>
                    <w:pStyle w:val="CoverDate"/>
                    <w:spacing w:before="40" w:after="0"/>
                    <w:ind w:firstLine="270"/>
                    <w:rPr>
                      <w:color w:val="F2F2F2" w:themeColor="background1" w:themeShade="F2"/>
                      <w:sz w:val="28"/>
                      <w:szCs w:val="28"/>
                    </w:rPr>
                  </w:pPr>
                  <w:r>
                    <w:rPr>
                      <w:color w:val="F2F2F2" w:themeColor="background1" w:themeShade="F2"/>
                      <w:sz w:val="28"/>
                      <w:szCs w:val="28"/>
                    </w:rPr>
                    <w:t>September</w:t>
                  </w:r>
                  <w:r w:rsidR="00982AB6" w:rsidRPr="002C0959">
                    <w:rPr>
                      <w:color w:val="F2F2F2" w:themeColor="background1" w:themeShade="F2"/>
                      <w:sz w:val="28"/>
                      <w:szCs w:val="28"/>
                    </w:rPr>
                    <w:t xml:space="preserve"> </w:t>
                  </w:r>
                  <w:r w:rsidR="00FC77D7" w:rsidRPr="002C0959">
                    <w:rPr>
                      <w:color w:val="F2F2F2" w:themeColor="background1" w:themeShade="F2"/>
                      <w:sz w:val="28"/>
                      <w:szCs w:val="28"/>
                    </w:rPr>
                    <w:t>201</w:t>
                  </w:r>
                  <w:r w:rsidR="0044722B">
                    <w:rPr>
                      <w:color w:val="F2F2F2" w:themeColor="background1" w:themeShade="F2"/>
                      <w:sz w:val="28"/>
                      <w:szCs w:val="28"/>
                    </w:rPr>
                    <w:t>6</w:t>
                  </w:r>
                </w:p>
                <w:p w:rsidR="00FC77D7" w:rsidRPr="00511139" w:rsidRDefault="00FC77D7" w:rsidP="002C0959">
                  <w:pPr>
                    <w:pStyle w:val="CoverDate"/>
                  </w:pPr>
                </w:p>
              </w:txbxContent>
            </v:textbox>
          </v:shape>
        </w:pict>
      </w:r>
      <w:r w:rsidR="005830A4" w:rsidRPr="005830A4">
        <w:rPr>
          <w:noProof/>
          <w:sz w:val="46"/>
          <w:szCs w:val="46"/>
        </w:rPr>
        <w:t xml:space="preserve">How to Succeed in School Turnaround: </w:t>
      </w:r>
    </w:p>
    <w:p w:rsidR="00D62D05" w:rsidRPr="005830A4" w:rsidRDefault="00122DA1" w:rsidP="005830A4">
      <w:pPr>
        <w:pStyle w:val="Heading2"/>
        <w:spacing w:after="0"/>
        <w:ind w:left="2520"/>
        <w:rPr>
          <w:sz w:val="36"/>
          <w:szCs w:val="36"/>
        </w:rPr>
      </w:pPr>
      <w:r w:rsidRPr="00AB077E">
        <w:rPr>
          <w:noProof/>
          <w:sz w:val="36"/>
          <w:szCs w:val="36"/>
        </w:rPr>
        <w:t>Strategies</w:t>
      </w:r>
      <w:r w:rsidR="002E465F" w:rsidRPr="005830A4">
        <w:rPr>
          <w:noProof/>
          <w:sz w:val="36"/>
          <w:szCs w:val="36"/>
        </w:rPr>
        <w:t xml:space="preserve"> </w:t>
      </w:r>
      <w:r w:rsidR="006448AA" w:rsidRPr="005830A4">
        <w:rPr>
          <w:noProof/>
          <w:sz w:val="36"/>
          <w:szCs w:val="36"/>
        </w:rPr>
        <w:t xml:space="preserve">That </w:t>
      </w:r>
      <w:r w:rsidR="002E465F" w:rsidRPr="005830A4">
        <w:rPr>
          <w:noProof/>
          <w:sz w:val="36"/>
          <w:szCs w:val="36"/>
        </w:rPr>
        <w:t xml:space="preserve">Characterize Successful Turnaround Schools </w:t>
      </w:r>
      <w:r w:rsidR="005830A4" w:rsidRPr="005830A4">
        <w:rPr>
          <w:noProof/>
          <w:sz w:val="36"/>
          <w:szCs w:val="36"/>
        </w:rPr>
        <w:t>in Massachusetts</w:t>
      </w:r>
    </w:p>
    <w:p w:rsidR="00F3549A" w:rsidRPr="004D77CE" w:rsidRDefault="00967F2C" w:rsidP="005830A4">
      <w:pPr>
        <w:pStyle w:val="CoverSubtitle"/>
        <w:pBdr>
          <w:bottom w:val="single" w:sz="12" w:space="0" w:color="BFBFBF" w:themeColor="background1" w:themeShade="BF"/>
        </w:pBdr>
        <w:spacing w:after="120"/>
        <w:rPr>
          <w:b/>
          <w:sz w:val="16"/>
          <w:szCs w:val="16"/>
        </w:rPr>
      </w:pPr>
      <w:r w:rsidRPr="00967F2C">
        <w:rPr>
          <w:noProof/>
        </w:rPr>
        <w:pict>
          <v:shape id="_x0000_s1027" type="#_x0000_t202" style="position:absolute;left:0;text-align:left;margin-left:-59.25pt;margin-top:43.75pt;width:144.9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" filled="f" stroked="f">
            <v:textbox>
              <w:txbxContent>
                <w:p w:rsidR="0044722B" w:rsidRDefault="0044722B" w:rsidP="00503D4E">
                  <w:pPr>
                    <w:pStyle w:val="CoverDate"/>
                    <w:spacing w:after="120"/>
                    <w:rPr>
                      <w:spacing w:val="0"/>
                      <w:sz w:val="28"/>
                      <w:szCs w:val="28"/>
                    </w:rPr>
                  </w:pPr>
                  <w:r>
                    <w:rPr>
                      <w:spacing w:val="0"/>
                      <w:sz w:val="28"/>
                      <w:szCs w:val="28"/>
                    </w:rPr>
                    <w:t>Prepared for the Massachusetts Department of Elementary and Secondary Education</w:t>
                  </w:r>
                </w:p>
                <w:p w:rsidR="00503D4E" w:rsidRPr="00503D4E" w:rsidRDefault="0044722B" w:rsidP="00503D4E">
                  <w:pPr>
                    <w:pStyle w:val="CoverDate"/>
                    <w:spacing w:after="120"/>
                    <w:rPr>
                      <w:rFonts w:ascii="Franklin Gothic Book" w:hAnsi="Franklin Gothic Book"/>
                      <w:spacing w:val="0"/>
                      <w:sz w:val="28"/>
                      <w:szCs w:val="28"/>
                    </w:rPr>
                  </w:pPr>
                  <w:r>
                    <w:rPr>
                      <w:rFonts w:ascii="Franklin Gothic Book" w:hAnsi="Franklin Gothic Book"/>
                      <w:spacing w:val="0"/>
                      <w:sz w:val="28"/>
                      <w:szCs w:val="28"/>
                    </w:rPr>
                    <w:t>Office of District and School Turnaround</w:t>
                  </w:r>
                </w:p>
                <w:p w:rsidR="00503D4E" w:rsidRPr="00511139" w:rsidRDefault="00503D4E" w:rsidP="00503D4E">
                  <w:pPr>
                    <w:pStyle w:val="CoverDate"/>
                    <w:spacing w:after="120"/>
                  </w:pPr>
                </w:p>
              </w:txbxContent>
            </v:textbox>
          </v:shape>
        </w:pict>
      </w:r>
    </w:p>
    <w:p w:rsidR="00C6240F" w:rsidRPr="00950515" w:rsidRDefault="0044722B" w:rsidP="0044722B">
      <w:pPr>
        <w:pStyle w:val="BodyText"/>
        <w:ind w:left="2520"/>
        <w:rPr>
          <w:spacing w:val="-6"/>
        </w:rPr>
      </w:pPr>
      <w:r w:rsidRPr="00950515">
        <w:rPr>
          <w:spacing w:val="-6"/>
        </w:rPr>
        <w:t>In 2013</w:t>
      </w:r>
      <w:r w:rsidR="006448AA" w:rsidRPr="00950515">
        <w:rPr>
          <w:spacing w:val="-6"/>
        </w:rPr>
        <w:t>,</w:t>
      </w:r>
      <w:r w:rsidRPr="00950515">
        <w:rPr>
          <w:spacing w:val="-6"/>
        </w:rPr>
        <w:t xml:space="preserve"> </w:t>
      </w:r>
      <w:r w:rsidR="00847D20" w:rsidRPr="00950515">
        <w:rPr>
          <w:spacing w:val="-6"/>
        </w:rPr>
        <w:t>the Massachusetts Department of Elementary and Secondary Education (</w:t>
      </w:r>
      <w:r w:rsidRPr="00950515">
        <w:rPr>
          <w:spacing w:val="-6"/>
        </w:rPr>
        <w:t>ESE</w:t>
      </w:r>
      <w:r w:rsidR="00847D20" w:rsidRPr="00950515">
        <w:rPr>
          <w:spacing w:val="-6"/>
        </w:rPr>
        <w:t>)</w:t>
      </w:r>
      <w:r w:rsidRPr="00950515">
        <w:rPr>
          <w:spacing w:val="-6"/>
        </w:rPr>
        <w:t xml:space="preserve"> collaborated with </w:t>
      </w:r>
      <w:r w:rsidR="006448AA" w:rsidRPr="00950515">
        <w:rPr>
          <w:spacing w:val="-6"/>
        </w:rPr>
        <w:t>American Institutes for Research (</w:t>
      </w:r>
      <w:r w:rsidRPr="00950515">
        <w:rPr>
          <w:spacing w:val="-6"/>
        </w:rPr>
        <w:t>AIR</w:t>
      </w:r>
      <w:r w:rsidR="006448AA" w:rsidRPr="00950515">
        <w:rPr>
          <w:spacing w:val="-6"/>
        </w:rPr>
        <w:t>)</w:t>
      </w:r>
      <w:r w:rsidRPr="00950515">
        <w:rPr>
          <w:spacing w:val="-6"/>
        </w:rPr>
        <w:t xml:space="preserve"> </w:t>
      </w:r>
      <w:r w:rsidR="00982AB6">
        <w:rPr>
          <w:spacing w:val="-6"/>
        </w:rPr>
        <w:t xml:space="preserve">to measure the impact of </w:t>
      </w:r>
      <w:r w:rsidR="00315D8A" w:rsidRPr="00950515">
        <w:rPr>
          <w:spacing w:val="-6"/>
        </w:rPr>
        <w:t>School Redesign Grants (SRGs)</w:t>
      </w:r>
      <w:r w:rsidRPr="00950515">
        <w:rPr>
          <w:spacing w:val="-6"/>
        </w:rPr>
        <w:t xml:space="preserve"> </w:t>
      </w:r>
      <w:r w:rsidR="00982AB6">
        <w:rPr>
          <w:spacing w:val="-6"/>
        </w:rPr>
        <w:t xml:space="preserve">on student academic performance. In 2016, AIR replicated these analyses with additional schools and years of performance data. Both studies showed that students in SRG schools </w:t>
      </w:r>
      <w:r w:rsidRPr="00950515">
        <w:rPr>
          <w:spacing w:val="-6"/>
        </w:rPr>
        <w:t xml:space="preserve">performed better on the English </w:t>
      </w:r>
      <w:r w:rsidR="006448AA" w:rsidRPr="00950515">
        <w:rPr>
          <w:spacing w:val="-6"/>
        </w:rPr>
        <w:t xml:space="preserve">language </w:t>
      </w:r>
      <w:r w:rsidRPr="00950515">
        <w:rPr>
          <w:spacing w:val="-6"/>
        </w:rPr>
        <w:t xml:space="preserve">arts and mathematics sections of </w:t>
      </w:r>
      <w:r w:rsidR="00982AB6">
        <w:rPr>
          <w:spacing w:val="-6"/>
        </w:rPr>
        <w:t>standardized state assessments</w:t>
      </w:r>
      <w:r w:rsidR="008E62B7">
        <w:rPr>
          <w:spacing w:val="-6"/>
        </w:rPr>
        <w:t xml:space="preserve"> </w:t>
      </w:r>
      <w:r w:rsidR="006448AA" w:rsidRPr="00950515">
        <w:rPr>
          <w:spacing w:val="-6"/>
        </w:rPr>
        <w:t xml:space="preserve">than </w:t>
      </w:r>
      <w:r w:rsidRPr="00950515">
        <w:rPr>
          <w:spacing w:val="-6"/>
        </w:rPr>
        <w:t xml:space="preserve">students in non-SRG schools. </w:t>
      </w:r>
    </w:p>
    <w:p w:rsidR="0044722B" w:rsidRDefault="00B96919" w:rsidP="0044722B">
      <w:pPr>
        <w:pStyle w:val="BodyText"/>
        <w:ind w:left="2520"/>
      </w:pPr>
      <w:r>
        <w:t>Despite the positive impact of SRGs observed in these schools</w:t>
      </w:r>
      <w:r w:rsidR="00982AB6">
        <w:t xml:space="preserve"> overall</w:t>
      </w:r>
      <w:r>
        <w:t xml:space="preserve">, compared </w:t>
      </w:r>
      <w:r w:rsidR="006448AA">
        <w:t xml:space="preserve">with </w:t>
      </w:r>
      <w:r>
        <w:t xml:space="preserve">non-SRG schools, </w:t>
      </w:r>
      <w:r w:rsidR="0044722B">
        <w:t>not all schools receiving a</w:t>
      </w:r>
      <w:r w:rsidR="00315D8A">
        <w:t>n</w:t>
      </w:r>
      <w:r w:rsidR="0044722B">
        <w:t xml:space="preserve"> SRG have </w:t>
      </w:r>
      <w:r>
        <w:t>improve</w:t>
      </w:r>
      <w:r w:rsidR="006448AA">
        <w:t>d</w:t>
      </w:r>
      <w:r>
        <w:t xml:space="preserve"> student outcomes and </w:t>
      </w:r>
      <w:r w:rsidR="0044722B">
        <w:t>exit</w:t>
      </w:r>
      <w:r w:rsidR="00246E05">
        <w:t>ed</w:t>
      </w:r>
      <w:r w:rsidR="0044722B">
        <w:t xml:space="preserve"> turnaround status.</w:t>
      </w:r>
      <w:r w:rsidR="00AA72D4">
        <w:t xml:space="preserve"> </w:t>
      </w:r>
      <w:r>
        <w:t>The current study explored why some schools receiving an SRG have been able to improve student outcomes while others have not.</w:t>
      </w:r>
      <w:r w:rsidR="00982AB6">
        <w:t xml:space="preserve"> Results from the study contributed to a technical report for researchers, a turnaround practices field guide for practitioners, and this research brief, which summarizes key findings from both components</w:t>
      </w:r>
      <w:r w:rsidR="00AA72D4">
        <w:t>, along with two new videos for ESE’s Turnaround Practices in Achievement Gain Schools series</w:t>
      </w:r>
      <w:r w:rsidR="00982AB6">
        <w:t>.</w:t>
      </w:r>
      <w:r w:rsidR="0005305C">
        <w:t xml:space="preserve"> </w:t>
      </w:r>
      <w:r w:rsidR="0044722B">
        <w:t xml:space="preserve"> </w:t>
      </w:r>
    </w:p>
    <w:p w:rsidR="000E67E5" w:rsidRDefault="009A76DD" w:rsidP="009A76DD">
      <w:pPr>
        <w:pStyle w:val="BodyTextLongQuote"/>
        <w:spacing w:after="0"/>
        <w:ind w:left="2520" w:right="0"/>
      </w:pPr>
      <w:r w:rsidRPr="009A76DD">
        <w:rPr>
          <w:rStyle w:val="Heading4Char"/>
        </w:rPr>
        <w:t>Study Overview.</w:t>
      </w:r>
      <w:r>
        <w:rPr>
          <w:b/>
        </w:rPr>
        <w:t xml:space="preserve"> </w:t>
      </w:r>
      <w:r w:rsidR="00B96919">
        <w:t xml:space="preserve">For this study, </w:t>
      </w:r>
      <w:r w:rsidR="00847D20">
        <w:t xml:space="preserve">AIR </w:t>
      </w:r>
      <w:r w:rsidR="00B96919">
        <w:t>focused</w:t>
      </w:r>
      <w:r w:rsidR="0044722B">
        <w:t xml:space="preserve"> on a subset of current and exited Level 4 schools that </w:t>
      </w:r>
      <w:r w:rsidR="002503E3">
        <w:t xml:space="preserve">have </w:t>
      </w:r>
      <w:r w:rsidR="0044722B">
        <w:t>received SRG</w:t>
      </w:r>
      <w:r>
        <w:t>s</w:t>
      </w:r>
      <w:r w:rsidR="00B96919">
        <w:t>. We used</w:t>
      </w:r>
      <w:r w:rsidR="0044722B">
        <w:t xml:space="preserve"> data collected f</w:t>
      </w:r>
      <w:r w:rsidR="00B96919">
        <w:t>rom current Level 4 schools f</w:t>
      </w:r>
      <w:r w:rsidR="0044722B">
        <w:t xml:space="preserve">or the </w:t>
      </w:r>
      <w:r w:rsidR="00B96919">
        <w:t>2014</w:t>
      </w:r>
      <w:r w:rsidR="006448AA">
        <w:t>–</w:t>
      </w:r>
      <w:r w:rsidR="00B96919">
        <w:t xml:space="preserve">15 </w:t>
      </w:r>
      <w:r w:rsidR="0044722B">
        <w:t xml:space="preserve">Massachusetts </w:t>
      </w:r>
      <w:r w:rsidR="00B96919">
        <w:t>School Monitoring Site Visits</w:t>
      </w:r>
      <w:r w:rsidR="008A2D66">
        <w:t xml:space="preserve"> (see sidebar on </w:t>
      </w:r>
      <w:r w:rsidR="00AA72D4">
        <w:t>P</w:t>
      </w:r>
      <w:r w:rsidR="008A2D66">
        <w:t>age</w:t>
      </w:r>
      <w:r w:rsidR="00AA72D4">
        <w:t xml:space="preserve"> </w:t>
      </w:r>
      <w:r>
        <w:t>2</w:t>
      </w:r>
      <w:r w:rsidR="008A2D66">
        <w:t>)</w:t>
      </w:r>
      <w:r w:rsidR="0044722B">
        <w:t xml:space="preserve">, </w:t>
      </w:r>
      <w:r w:rsidR="00B96919">
        <w:t>along with survey data collected from exited schools</w:t>
      </w:r>
      <w:r w:rsidR="00C6240F">
        <w:t xml:space="preserve">, to identify a set of schools demonstrating </w:t>
      </w:r>
      <w:r w:rsidR="00C6240F" w:rsidRPr="00AB077E">
        <w:t xml:space="preserve">promising </w:t>
      </w:r>
      <w:r w:rsidR="00122DA1" w:rsidRPr="00AB077E">
        <w:t>strategies</w:t>
      </w:r>
      <w:r w:rsidR="00C6240F" w:rsidRPr="00AB077E">
        <w:t xml:space="preserve"> for successful turnaround, as evidenced by high monitoring site visit ratings or prior exit from Level 4 status. The figure below shows the relationship between all Level 4 schools </w:t>
      </w:r>
      <w:r w:rsidR="008A2D66" w:rsidRPr="00AB077E">
        <w:t xml:space="preserve">(dark blue) </w:t>
      </w:r>
      <w:r w:rsidR="00C6240F" w:rsidRPr="00AB077E">
        <w:t>and the schools selected for inclusion in this study</w:t>
      </w:r>
      <w:r w:rsidR="008A2D66" w:rsidRPr="00AB077E">
        <w:t xml:space="preserve"> (light blue)</w:t>
      </w:r>
      <w:r w:rsidR="00C6240F" w:rsidRPr="00AB077E">
        <w:t xml:space="preserve">. </w:t>
      </w:r>
      <w:r w:rsidR="00122DA1" w:rsidRPr="00AB077E">
        <w:t>Strategies</w:t>
      </w:r>
      <w:r w:rsidRPr="00AB077E">
        <w:t xml:space="preserve"> highlighted in this research brief were described as essential in improving and continuous improvement schools, while struggling schools often found these same </w:t>
      </w:r>
      <w:r w:rsidR="00122DA1" w:rsidRPr="00AB077E">
        <w:t xml:space="preserve">topic </w:t>
      </w:r>
      <w:r w:rsidRPr="00AB077E">
        <w:t>areas challenging</w:t>
      </w:r>
      <w:r>
        <w:t xml:space="preserve"> to address.</w:t>
      </w:r>
    </w:p>
    <w:p w:rsidR="000E67E5" w:rsidRDefault="009A76DD">
      <w:pPr>
        <w:spacing w:after="200" w:line="276" w:lineRule="auto"/>
        <w:rPr>
          <w:rFonts w:ascii="Franklin Gothic Book" w:eastAsiaTheme="minorHAnsi" w:hAnsi="Franklin Gothic Book" w:cstheme="minorBidi"/>
          <w:sz w:val="22"/>
          <w:szCs w:val="22"/>
        </w:rPr>
      </w:pPr>
      <w:r>
        <w:rPr>
          <w:noProof/>
        </w:rPr>
        <w:drawing>
          <wp:anchor distT="0" distB="0" distL="114300" distR="114300" simplePos="0" relativeHeight="251585536" behindDoc="1" locked="0" layoutInCell="1" allowOverlap="1">
            <wp:simplePos x="0" y="0"/>
            <wp:positionH relativeFrom="margin">
              <wp:posOffset>1629410</wp:posOffset>
            </wp:positionH>
            <wp:positionV relativeFrom="paragraph">
              <wp:posOffset>107618</wp:posOffset>
            </wp:positionV>
            <wp:extent cx="4333240" cy="1139190"/>
            <wp:effectExtent l="38100" t="0" r="10160" b="60960"/>
            <wp:wrapTight wrapText="bothSides">
              <wp:wrapPolygon edited="0">
                <wp:start x="-190" y="361"/>
                <wp:lineTo x="-95" y="22756"/>
                <wp:lineTo x="17377" y="22756"/>
                <wp:lineTo x="20891" y="22756"/>
                <wp:lineTo x="21651" y="22033"/>
                <wp:lineTo x="21651" y="361"/>
                <wp:lineTo x="-190" y="361"/>
              </wp:wrapPolygon>
            </wp:wrapTight>
            <wp:docPr id="10" name="Diagram 10" descr="The figure shows the nested relationship between all Level 4 schools, some of which are still Level 4 and some of which have exited Level 4. Of the schools that are still Level 4 - current Level 4 schools - some schools are improving, some are showing mixed results, and others are struggling. Of the exited Level 4 shools, some have shown continuous improvement and others have stagnated or declined. Improving current Level 4 and continuous improvement exited Level 4 are highlighted in this figure to illustrate which schools we focused on for this stud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0E67E5">
        <w:br w:type="page"/>
      </w:r>
    </w:p>
    <w:p w:rsidR="00AA72D4" w:rsidRPr="00BC6AF9" w:rsidRDefault="00967F2C" w:rsidP="009A76DD">
      <w:pPr>
        <w:pStyle w:val="Heading2"/>
      </w:pPr>
      <w:r>
        <w:rPr>
          <w:noProof/>
        </w:rPr>
        <w:lastRenderedPageBreak/>
        <w:pict>
          <v:roundrect id="Rounded Rectangle 2" o:spid="_x0000_s1028" alt="Title: Background on Massachusetts' Accountability and Monitoring System - Description: Text describes Massachusetts' 5-Level accountability system and the turnaround practices monitored, at the school level, for all Level 4 and 5 schools." style="position:absolute;margin-left:422pt;margin-top:0;width:184.4pt;height:667.8pt;z-index:251641344;visibility:visible;mso-wrap-style:square;mso-width-percent:0;mso-height-percent:0;mso-wrap-distance-left:9pt;mso-wrap-distance-top:0;mso-wrap-distance-right:9pt;mso-wrap-distance-bottom:7.2pt;mso-position-horizontal:right;mso-position-horizontal-relative:margin;mso-position-vertical:top;mso-position-vertical-relative:margin;mso-width-percent:0;mso-height-percent:0;mso-width-relative:margin;mso-height-relative:margin;v-text-anchor:middle"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" fillcolor="#7a9fcc" stroked="f" strokeweight="2pt">
            <v:textbox inset=",7.2pt,,0">
              <w:txbxContent>
                <w:p w:rsidR="006B4116" w:rsidRPr="000E67E5" w:rsidRDefault="00EF6A8E" w:rsidP="00C95B90">
                  <w:pPr>
                    <w:pStyle w:val="CalloutBoxHeader"/>
                    <w:rPr>
                      <w:color w:val="FFFFFF" w:themeColor="background1"/>
                    </w:rPr>
                  </w:pPr>
                  <w:r w:rsidRPr="00AA72D4">
                    <w:rPr>
                      <w:color w:val="FFFFFF" w:themeColor="background1"/>
                    </w:rPr>
                    <w:t>Background</w:t>
                  </w:r>
                </w:p>
                <w:p w:rsidR="00EF6A8E" w:rsidRPr="006B4116" w:rsidRDefault="00EF6A8E" w:rsidP="00654CD4">
                  <w:pPr>
                    <w:pStyle w:val="CalloutBoxText"/>
                    <w:spacing w:line="280" w:lineRule="exact"/>
                    <w:rPr>
                      <w:color w:val="FFFFFF" w:themeColor="background1"/>
                      <w:spacing w:val="-4"/>
                      <w:sz w:val="19"/>
                      <w:szCs w:val="19"/>
                    </w:rPr>
                  </w:pPr>
                  <w:r w:rsidRPr="006B4116">
                    <w:rPr>
                      <w:color w:val="FFFFFF" w:themeColor="background1"/>
                      <w:spacing w:val="-4"/>
                      <w:sz w:val="19"/>
                      <w:szCs w:val="19"/>
                    </w:rPr>
                    <w:t>In 2010</w:t>
                  </w:r>
                  <w:r w:rsidR="00CC3370" w:rsidRPr="006B4116">
                    <w:rPr>
                      <w:color w:val="FFFFFF" w:themeColor="background1"/>
                      <w:spacing w:val="-4"/>
                      <w:sz w:val="19"/>
                      <w:szCs w:val="19"/>
                    </w:rPr>
                    <w:t>,</w:t>
                  </w:r>
                  <w:r w:rsidRPr="006B4116">
                    <w:rPr>
                      <w:color w:val="FFFFFF" w:themeColor="background1"/>
                      <w:spacing w:val="-4"/>
                      <w:sz w:val="19"/>
                      <w:szCs w:val="19"/>
                    </w:rPr>
                    <w:t xml:space="preserve"> Massachusetts passed the Act Relative to the Achievement Gap, allowing the state to intervene in struggling schools. The Massachusetts Board of Elementary and Secondary Education subsequently adopted regulations to formalize the Massachusetts Department of Elementary and Secondary Educations’ approach to engaging with these schools to improve student performance.  </w:t>
                  </w:r>
                </w:p>
                <w:p w:rsidR="00EF6A8E" w:rsidRPr="006B4116" w:rsidRDefault="00EF6A8E" w:rsidP="00654CD4">
                  <w:pPr>
                    <w:pStyle w:val="CalloutBoxText"/>
                    <w:spacing w:line="280" w:lineRule="exact"/>
                    <w:rPr>
                      <w:color w:val="FFFFFF" w:themeColor="background1"/>
                      <w:sz w:val="19"/>
                      <w:szCs w:val="19"/>
                    </w:rPr>
                  </w:pPr>
                  <w:r w:rsidRPr="006B4116">
                    <w:rPr>
                      <w:color w:val="FFFFFF" w:themeColor="background1"/>
                      <w:sz w:val="19"/>
                      <w:szCs w:val="19"/>
                    </w:rPr>
                    <w:t>Based on the regulations, all schools would henceforth be classified into Levels 1 through 5 based on a number of factors</w:t>
                  </w:r>
                  <w:r w:rsidR="00CC3370" w:rsidRPr="006B4116">
                    <w:rPr>
                      <w:color w:val="FFFFFF" w:themeColor="background1"/>
                      <w:sz w:val="19"/>
                      <w:szCs w:val="19"/>
                    </w:rPr>
                    <w:t xml:space="preserve">. </w:t>
                  </w:r>
                  <w:r w:rsidRPr="006B4116">
                    <w:rPr>
                      <w:color w:val="FFFFFF" w:themeColor="background1"/>
                      <w:sz w:val="19"/>
                      <w:szCs w:val="19"/>
                    </w:rPr>
                    <w:t xml:space="preserve">Level 1 </w:t>
                  </w:r>
                  <w:r w:rsidR="00CC3370" w:rsidRPr="006B4116">
                    <w:rPr>
                      <w:color w:val="FFFFFF" w:themeColor="background1"/>
                      <w:sz w:val="19"/>
                      <w:szCs w:val="19"/>
                    </w:rPr>
                    <w:t xml:space="preserve">represents </w:t>
                  </w:r>
                  <w:r w:rsidRPr="006B4116">
                    <w:rPr>
                      <w:color w:val="FFFFFF" w:themeColor="background1"/>
                      <w:sz w:val="19"/>
                      <w:szCs w:val="19"/>
                    </w:rPr>
                    <w:t xml:space="preserve">the highest performing schools in need of the least support, and Level 5 </w:t>
                  </w:r>
                  <w:r w:rsidR="00CC3370" w:rsidRPr="006B4116">
                    <w:rPr>
                      <w:color w:val="FFFFFF" w:themeColor="background1"/>
                      <w:sz w:val="19"/>
                      <w:szCs w:val="19"/>
                    </w:rPr>
                    <w:t xml:space="preserve">includes </w:t>
                  </w:r>
                  <w:r w:rsidRPr="006B4116">
                    <w:rPr>
                      <w:color w:val="FFFFFF" w:themeColor="background1"/>
                      <w:sz w:val="19"/>
                      <w:szCs w:val="19"/>
                    </w:rPr>
                    <w:t>the lowest performing schools in need of the most support and placed under state control. Level 4 represents the state’s most struggling schools not under state control.</w:t>
                  </w:r>
                </w:p>
                <w:p w:rsidR="00EF6A8E" w:rsidRPr="006B4116" w:rsidRDefault="00802A71" w:rsidP="00654CD4">
                  <w:pPr>
                    <w:pStyle w:val="CalloutBoxText"/>
                    <w:spacing w:line="280" w:lineRule="exact"/>
                    <w:rPr>
                      <w:color w:val="FFFFFF" w:themeColor="background1"/>
                      <w:sz w:val="19"/>
                      <w:szCs w:val="19"/>
                    </w:rPr>
                  </w:pPr>
                  <w:r w:rsidRPr="006B4116">
                    <w:rPr>
                      <w:color w:val="FFFFFF" w:themeColor="background1"/>
                      <w:sz w:val="19"/>
                      <w:szCs w:val="19"/>
                    </w:rPr>
                    <w:t xml:space="preserve">Every year, each Level 4 and 5 school is monitored to determine the school’s level of implementation with regard to </w:t>
                  </w:r>
                  <w:r w:rsidR="00EF6A8E" w:rsidRPr="006B4116">
                    <w:rPr>
                      <w:color w:val="FFFFFF" w:themeColor="background1"/>
                      <w:sz w:val="19"/>
                      <w:szCs w:val="19"/>
                    </w:rPr>
                    <w:t>four key turnaround practices</w:t>
                  </w:r>
                  <w:r w:rsidRPr="006B4116">
                    <w:rPr>
                      <w:color w:val="FFFFFF" w:themeColor="background1"/>
                      <w:sz w:val="19"/>
                      <w:szCs w:val="19"/>
                    </w:rPr>
                    <w:t xml:space="preserve"> and related indicators,</w:t>
                  </w:r>
                  <w:r w:rsidR="006B4116" w:rsidRPr="006B4116">
                    <w:rPr>
                      <w:color w:val="FFFFFF" w:themeColor="background1"/>
                      <w:sz w:val="19"/>
                      <w:szCs w:val="19"/>
                    </w:rPr>
                    <w:t xml:space="preserve"> </w:t>
                  </w:r>
                  <w:r w:rsidR="00EF6A8E" w:rsidRPr="006B4116">
                    <w:rPr>
                      <w:color w:val="FFFFFF" w:themeColor="background1"/>
                      <w:sz w:val="19"/>
                      <w:szCs w:val="19"/>
                    </w:rPr>
                    <w:t xml:space="preserve"> </w:t>
                  </w:r>
                  <w:r w:rsidR="00CC3370" w:rsidRPr="006B4116">
                    <w:rPr>
                      <w:color w:val="FFFFFF" w:themeColor="background1"/>
                      <w:sz w:val="19"/>
                      <w:szCs w:val="19"/>
                    </w:rPr>
                    <w:t xml:space="preserve">which </w:t>
                  </w:r>
                  <w:r w:rsidRPr="006B4116">
                    <w:rPr>
                      <w:color w:val="FFFFFF" w:themeColor="background1"/>
                      <w:sz w:val="19"/>
                      <w:szCs w:val="19"/>
                    </w:rPr>
                    <w:t xml:space="preserve">typically </w:t>
                  </w:r>
                  <w:r w:rsidR="00EF6A8E" w:rsidRPr="006B4116">
                    <w:rPr>
                      <w:color w:val="FFFFFF" w:themeColor="background1"/>
                      <w:sz w:val="19"/>
                      <w:szCs w:val="19"/>
                    </w:rPr>
                    <w:t xml:space="preserve">characterize achievement gain schools: </w:t>
                  </w:r>
                </w:p>
                <w:p w:rsidR="00EF6A8E" w:rsidRPr="006B4116" w:rsidRDefault="00EF6A8E" w:rsidP="00654CD4">
                  <w:pPr>
                    <w:pStyle w:val="CalloutBoxText"/>
                    <w:spacing w:line="280" w:lineRule="exact"/>
                    <w:ind w:left="360" w:hanging="360"/>
                    <w:rPr>
                      <w:color w:val="FFFFFF" w:themeColor="background1"/>
                      <w:sz w:val="19"/>
                      <w:szCs w:val="19"/>
                    </w:rPr>
                  </w:pPr>
                  <w:r w:rsidRPr="006B4116">
                    <w:rPr>
                      <w:color w:val="FFFFFF" w:themeColor="background1"/>
                      <w:sz w:val="19"/>
                      <w:szCs w:val="19"/>
                    </w:rPr>
                    <w:t>•</w:t>
                  </w:r>
                  <w:r w:rsidR="00654CD4" w:rsidRPr="006B4116">
                    <w:rPr>
                      <w:color w:val="FFFFFF" w:themeColor="background1"/>
                      <w:sz w:val="19"/>
                      <w:szCs w:val="19"/>
                    </w:rPr>
                    <w:tab/>
                  </w:r>
                  <w:r w:rsidRPr="006B4116">
                    <w:rPr>
                      <w:color w:val="FFFFFF" w:themeColor="background1"/>
                      <w:sz w:val="19"/>
                      <w:szCs w:val="19"/>
                    </w:rPr>
                    <w:t xml:space="preserve">Turnaround Practice 1. Leadership, Shared Responsibility, and Professional Collaboration </w:t>
                  </w:r>
                </w:p>
                <w:p w:rsidR="00EF6A8E" w:rsidRPr="006B4116" w:rsidRDefault="00EF6A8E" w:rsidP="00654CD4">
                  <w:pPr>
                    <w:pStyle w:val="CalloutBoxText"/>
                    <w:numPr>
                      <w:ilvl w:val="0"/>
                      <w:numId w:val="11"/>
                    </w:numPr>
                    <w:spacing w:line="280" w:lineRule="exact"/>
                    <w:ind w:left="360"/>
                    <w:rPr>
                      <w:color w:val="FFFFFF" w:themeColor="background1"/>
                      <w:sz w:val="19"/>
                      <w:szCs w:val="19"/>
                    </w:rPr>
                  </w:pPr>
                  <w:r w:rsidRPr="006B4116">
                    <w:rPr>
                      <w:color w:val="FFFFFF" w:themeColor="background1"/>
                      <w:sz w:val="19"/>
                      <w:szCs w:val="19"/>
                    </w:rPr>
                    <w:t>Turnaround Practice 2. Intentional Practices for Improving Instruction</w:t>
                  </w:r>
                </w:p>
                <w:p w:rsidR="00EF6A8E" w:rsidRPr="006B4116" w:rsidRDefault="00EF6A8E" w:rsidP="00654CD4">
                  <w:pPr>
                    <w:pStyle w:val="CalloutBoxText"/>
                    <w:numPr>
                      <w:ilvl w:val="0"/>
                      <w:numId w:val="11"/>
                    </w:numPr>
                    <w:spacing w:line="280" w:lineRule="exact"/>
                    <w:ind w:left="360"/>
                    <w:rPr>
                      <w:color w:val="FFFFFF" w:themeColor="background1"/>
                      <w:sz w:val="19"/>
                      <w:szCs w:val="19"/>
                    </w:rPr>
                  </w:pPr>
                  <w:r w:rsidRPr="006B4116">
                    <w:rPr>
                      <w:color w:val="FFFFFF" w:themeColor="background1"/>
                      <w:sz w:val="19"/>
                      <w:szCs w:val="19"/>
                    </w:rPr>
                    <w:t xml:space="preserve">Turnaround Practice 3. Student-Specific Supports and Instruction to </w:t>
                  </w:r>
                  <w:r w:rsidR="009378C9" w:rsidRPr="006B4116">
                    <w:rPr>
                      <w:color w:val="FFFFFF" w:themeColor="background1"/>
                      <w:sz w:val="19"/>
                      <w:szCs w:val="19"/>
                    </w:rPr>
                    <w:t xml:space="preserve">All </w:t>
                  </w:r>
                  <w:r w:rsidRPr="006B4116">
                    <w:rPr>
                      <w:color w:val="FFFFFF" w:themeColor="background1"/>
                      <w:sz w:val="19"/>
                      <w:szCs w:val="19"/>
                    </w:rPr>
                    <w:t>Students</w:t>
                  </w:r>
                </w:p>
                <w:p w:rsidR="006B4116" w:rsidRDefault="00EF6A8E" w:rsidP="00654CD4">
                  <w:pPr>
                    <w:pStyle w:val="CalloutBoxText"/>
                    <w:numPr>
                      <w:ilvl w:val="0"/>
                      <w:numId w:val="11"/>
                    </w:numPr>
                    <w:spacing w:line="280" w:lineRule="exact"/>
                    <w:ind w:left="360"/>
                    <w:rPr>
                      <w:color w:val="FFFFFF" w:themeColor="background1"/>
                      <w:sz w:val="19"/>
                      <w:szCs w:val="19"/>
                    </w:rPr>
                  </w:pPr>
                  <w:r w:rsidRPr="006B4116">
                    <w:rPr>
                      <w:color w:val="FFFFFF" w:themeColor="background1"/>
                      <w:sz w:val="19"/>
                      <w:szCs w:val="19"/>
                    </w:rPr>
                    <w:t>Turnaround Practice 4. School Climate and Cultu</w:t>
                  </w:r>
                  <w:r w:rsidR="006B4116">
                    <w:rPr>
                      <w:color w:val="FFFFFF" w:themeColor="background1"/>
                      <w:sz w:val="19"/>
                      <w:szCs w:val="19"/>
                    </w:rPr>
                    <w:t>re</w:t>
                  </w:r>
                </w:p>
                <w:p w:rsidR="006B4116" w:rsidRDefault="006B4116" w:rsidP="006B4116">
                  <w:pPr>
                    <w:pStyle w:val="CalloutBoxText"/>
                    <w:spacing w:line="280" w:lineRule="exact"/>
                    <w:rPr>
                      <w:color w:val="FFFFFF" w:themeColor="background1"/>
                      <w:sz w:val="19"/>
                      <w:szCs w:val="19"/>
                    </w:rPr>
                  </w:pPr>
                  <w:r>
                    <w:rPr>
                      <w:color w:val="FFFFFF" w:themeColor="background1"/>
                      <w:sz w:val="19"/>
                      <w:szCs w:val="19"/>
                    </w:rPr>
                    <w:t>For more information</w:t>
                  </w:r>
                  <w:r w:rsidR="001A75E4">
                    <w:rPr>
                      <w:color w:val="FFFFFF" w:themeColor="background1"/>
                      <w:sz w:val="19"/>
                      <w:szCs w:val="19"/>
                    </w:rPr>
                    <w:t xml:space="preserve"> on the turnaround practices and indicators</w:t>
                  </w:r>
                  <w:r>
                    <w:rPr>
                      <w:color w:val="FFFFFF" w:themeColor="background1"/>
                      <w:sz w:val="19"/>
                      <w:szCs w:val="19"/>
                    </w:rPr>
                    <w:t>, see:</w:t>
                  </w:r>
                </w:p>
                <w:p w:rsidR="00EF6A8E" w:rsidRPr="006B4116" w:rsidRDefault="00967F2C" w:rsidP="006B4116">
                  <w:pPr>
                    <w:pStyle w:val="CalloutBoxText"/>
                    <w:spacing w:line="280" w:lineRule="exact"/>
                    <w:rPr>
                      <w:color w:val="FFFFFF" w:themeColor="background1"/>
                      <w:sz w:val="19"/>
                      <w:szCs w:val="19"/>
                    </w:rPr>
                  </w:pPr>
                  <w:hyperlink r:id="rId14" w:history="1">
                    <w:r w:rsidR="006B4116" w:rsidRPr="00AB077E">
                      <w:rPr>
                        <w:rStyle w:val="Hyperlink"/>
                        <w:sz w:val="19"/>
                        <w:szCs w:val="19"/>
                      </w:rPr>
                      <w:t>http://www.mass.gov/edu/docs/ese/accountability/turnaround/monitor-site-visits-turnaround-indicators.pdf</w:t>
                    </w:r>
                  </w:hyperlink>
                </w:p>
              </w:txbxContent>
            </v:textbox>
            <w10:wrap type="square" anchorx="margin" anchory="margin"/>
          </v:roundrect>
        </w:pict>
      </w:r>
      <w:r w:rsidR="00AA72D4" w:rsidRPr="0044722B">
        <w:t>Turnaround Practice 1. Leadership, Shared Responsibility, and Professional Collaboration</w:t>
      </w:r>
    </w:p>
    <w:p w:rsidR="00AA72D4" w:rsidRDefault="00AA72D4" w:rsidP="00AA72D4">
      <w:pPr>
        <w:pStyle w:val="BodyTextLongQuote"/>
        <w:ind w:left="0"/>
        <w:rPr>
          <w:rFonts w:ascii="Franklin Gothic Demi" w:eastAsiaTheme="majorEastAsia" w:hAnsi="Franklin Gothic Demi" w:cstheme="majorBidi"/>
          <w:bCs/>
          <w:color w:val="002C5F"/>
          <w:sz w:val="40"/>
          <w:szCs w:val="26"/>
        </w:rPr>
      </w:pPr>
      <w:r>
        <w:t>Successful turnaround requires a</w:t>
      </w:r>
      <w:r w:rsidRPr="0044722B">
        <w:t xml:space="preserve"> number of </w:t>
      </w:r>
      <w:r>
        <w:t xml:space="preserve">initial, foundational </w:t>
      </w:r>
      <w:r w:rsidRPr="0044722B">
        <w:t xml:space="preserve">steps. </w:t>
      </w:r>
      <w:r>
        <w:t>Perhaps t</w:t>
      </w:r>
      <w:r w:rsidRPr="0044722B">
        <w:t xml:space="preserve">he most important of these is ensuring that </w:t>
      </w:r>
      <w:r>
        <w:t>capable leaders are in place who can</w:t>
      </w:r>
      <w:r w:rsidRPr="0044722B">
        <w:t xml:space="preserve"> work together with teachers to triage the needs of the school and establish a strong core of personnel who are similarly dedicat</w:t>
      </w:r>
      <w:r>
        <w:t>ed</w:t>
      </w:r>
      <w:r w:rsidRPr="0044722B">
        <w:t xml:space="preserve"> to school improvement.</w:t>
      </w:r>
      <w:r w:rsidRPr="0099304F">
        <w:t xml:space="preserve"> </w:t>
      </w:r>
      <w:r>
        <w:t>In addition, improving schools were characterized by their strategic use of staffing and scheduling autonomy and focus on creating a culture of open, two-way communication.</w:t>
      </w:r>
    </w:p>
    <w:p w:rsidR="00DC40A0" w:rsidRPr="00400DB9" w:rsidRDefault="0044722B" w:rsidP="00400DB9">
      <w:pPr>
        <w:pStyle w:val="Heading3"/>
      </w:pPr>
      <w:r w:rsidRPr="0044722B">
        <w:rPr>
          <w:noProof/>
        </w:rPr>
        <w:t>Autonomy</w:t>
      </w:r>
    </w:p>
    <w:p w:rsidR="0044722B" w:rsidRPr="00DF572C" w:rsidRDefault="004B387D" w:rsidP="00EF6A8E">
      <w:pPr>
        <w:pStyle w:val="BodyTextLongQuote"/>
        <w:ind w:left="0"/>
        <w:rPr>
          <w:i/>
        </w:rPr>
      </w:pPr>
      <w:r>
        <w:t xml:space="preserve">All Level 4 schools in Massachusetts are afforded </w:t>
      </w:r>
      <w:r w:rsidR="008F5863">
        <w:t xml:space="preserve">a level of autonomy </w:t>
      </w:r>
      <w:r w:rsidR="005E7D6F">
        <w:t xml:space="preserve">by state statute </w:t>
      </w:r>
      <w:r w:rsidR="008F5863">
        <w:t xml:space="preserve">that is not </w:t>
      </w:r>
      <w:r w:rsidR="005E7D6F">
        <w:t xml:space="preserve">automatically </w:t>
      </w:r>
      <w:r w:rsidR="008F5863">
        <w:t>extended to other schools throughout the Commonwealth.</w:t>
      </w:r>
      <w:r>
        <w:t xml:space="preserve"> </w:t>
      </w:r>
      <w:r w:rsidR="008F5863">
        <w:t>This policy is grounded in the assumption that</w:t>
      </w:r>
      <w:r w:rsidR="00F40558">
        <w:t xml:space="preserve"> if some of the traditional barriers to school improvement</w:t>
      </w:r>
      <w:r w:rsidR="00B518F7">
        <w:t xml:space="preserve"> are removed</w:t>
      </w:r>
      <w:r w:rsidR="00F40558">
        <w:t xml:space="preserve">, such as staffing and scheduling constraints, then schools can more nimbly and effectively </w:t>
      </w:r>
      <w:r w:rsidR="00227F88">
        <w:t xml:space="preserve">implement strategies designed to </w:t>
      </w:r>
      <w:r w:rsidR="00F40558">
        <w:t xml:space="preserve">improve student outcomes. </w:t>
      </w:r>
      <w:r w:rsidR="008F5863">
        <w:t>H</w:t>
      </w:r>
      <w:r>
        <w:t>owever, only some</w:t>
      </w:r>
      <w:r w:rsidR="008F5863">
        <w:t xml:space="preserve"> Level 4 schools</w:t>
      </w:r>
      <w:r>
        <w:t xml:space="preserve"> strategically use these autonomies to improve the quality of teaching and learning</w:t>
      </w:r>
      <w:r w:rsidR="00652F52">
        <w:t>; principals from schools struggling to make gains, for example, had difficulty making full use of the staffing autonomy they had been given</w:t>
      </w:r>
      <w:r>
        <w:t>. Successful</w:t>
      </w:r>
      <w:r w:rsidR="0044722B" w:rsidRPr="0044722B">
        <w:t xml:space="preserve"> principals describe</w:t>
      </w:r>
      <w:r w:rsidR="00802A71">
        <w:t>d</w:t>
      </w:r>
      <w:r w:rsidR="0044722B" w:rsidRPr="0044722B">
        <w:t xml:space="preserve"> using their autonomy to address core issues such as appropriate staffing and scheduling as a way to make targeted changes in their schools. With increased </w:t>
      </w:r>
      <w:r w:rsidR="0011005D" w:rsidRPr="0044722B">
        <w:t>autonomy,</w:t>
      </w:r>
      <w:r w:rsidR="0044722B" w:rsidRPr="0044722B">
        <w:t xml:space="preserve"> principals can hire staff </w:t>
      </w:r>
      <w:r w:rsidR="00C50BB5">
        <w:t xml:space="preserve">willing and able to improve instruction </w:t>
      </w:r>
      <w:r w:rsidR="0044722B" w:rsidRPr="0044722B">
        <w:t xml:space="preserve">and dismiss those who are poorly matched or detrimental to the school’s changing needs. </w:t>
      </w:r>
      <w:r w:rsidR="008F5863">
        <w:t>By cultivating a set of staff who share a common commitment to the needs of their students and the challenges of turning around a history of low performance, these principal</w:t>
      </w:r>
      <w:r w:rsidR="00C50BB5">
        <w:t>s</w:t>
      </w:r>
      <w:r w:rsidR="008F5863">
        <w:t xml:space="preserve"> build buy-in among faculty.</w:t>
      </w:r>
      <w:r w:rsidR="0044722B" w:rsidRPr="0044722B">
        <w:t xml:space="preserve"> Many </w:t>
      </w:r>
      <w:r w:rsidR="00802A71">
        <w:t xml:space="preserve">improving </w:t>
      </w:r>
      <w:r w:rsidR="0044722B" w:rsidRPr="0044722B">
        <w:t>schools employ</w:t>
      </w:r>
      <w:r w:rsidR="00802A71">
        <w:t>ed</w:t>
      </w:r>
      <w:r w:rsidR="0044722B" w:rsidRPr="0044722B">
        <w:t xml:space="preserve"> scheduling autonomy to </w:t>
      </w:r>
      <w:r w:rsidR="00802A71">
        <w:t>increase</w:t>
      </w:r>
      <w:r w:rsidR="0044722B" w:rsidRPr="0044722B">
        <w:t xml:space="preserve"> instructional and intervention time for core subject areas</w:t>
      </w:r>
      <w:r w:rsidR="00802A71">
        <w:t xml:space="preserve"> as well as time</w:t>
      </w:r>
      <w:r>
        <w:t xml:space="preserve"> for teacher collaboration</w:t>
      </w:r>
      <w:r w:rsidR="0044722B" w:rsidRPr="0044722B">
        <w:t xml:space="preserve"> and in-school professional development. According to one </w:t>
      </w:r>
      <w:r w:rsidR="0044722B" w:rsidRPr="0044722B">
        <w:lastRenderedPageBreak/>
        <w:t xml:space="preserve">principal, </w:t>
      </w:r>
      <w:r w:rsidR="0044722B" w:rsidRPr="00950515">
        <w:t>“Ensuring that professional time was built into the schedule—a significant amount of professional time (</w:t>
      </w:r>
      <w:r w:rsidR="00802A71" w:rsidRPr="00950515">
        <w:t>three to four</w:t>
      </w:r>
      <w:r w:rsidR="0044722B" w:rsidRPr="00950515">
        <w:t xml:space="preserve"> hours per week)—was a critical component of the turnaround work.”</w:t>
      </w:r>
      <w:r w:rsidR="0044722B" w:rsidRPr="00DF572C">
        <w:rPr>
          <w:i/>
        </w:rPr>
        <w:t xml:space="preserve"> </w:t>
      </w:r>
    </w:p>
    <w:p w:rsidR="0044722B" w:rsidRPr="00400DB9" w:rsidRDefault="0044722B" w:rsidP="0044722B">
      <w:pPr>
        <w:pStyle w:val="Heading3"/>
      </w:pPr>
      <w:r>
        <w:rPr>
          <w:noProof/>
        </w:rPr>
        <w:t>Communication</w:t>
      </w:r>
      <w:r w:rsidR="00673080">
        <w:rPr>
          <w:noProof/>
        </w:rPr>
        <w:t xml:space="preserve"> </w:t>
      </w:r>
      <w:r w:rsidR="00664FD4">
        <w:rPr>
          <w:noProof/>
        </w:rPr>
        <w:t>Culture</w:t>
      </w:r>
    </w:p>
    <w:p w:rsidR="00FC77D7" w:rsidRDefault="0044722B" w:rsidP="0044722B">
      <w:pPr>
        <w:pStyle w:val="BodyTextLongQuote"/>
        <w:ind w:left="0"/>
      </w:pPr>
      <w:r w:rsidRPr="0044722B">
        <w:t>Along with s</w:t>
      </w:r>
      <w:r w:rsidR="00664FD4">
        <w:t>trategic use of increased s</w:t>
      </w:r>
      <w:r w:rsidRPr="0044722B">
        <w:t>chool autonom</w:t>
      </w:r>
      <w:r w:rsidR="00664FD4">
        <w:t>ies</w:t>
      </w:r>
      <w:r w:rsidRPr="0044722B">
        <w:t>,</w:t>
      </w:r>
      <w:r w:rsidR="00664FD4">
        <w:t xml:space="preserve"> establishing effective</w:t>
      </w:r>
      <w:r w:rsidRPr="0044722B">
        <w:t xml:space="preserve"> two-way communication between leadership and staff </w:t>
      </w:r>
      <w:r w:rsidR="00E30012">
        <w:t>emerged as</w:t>
      </w:r>
      <w:r w:rsidRPr="0044722B">
        <w:t xml:space="preserve"> </w:t>
      </w:r>
      <w:r w:rsidR="00E30012">
        <w:t>a practice characteristic of improving schools.</w:t>
      </w:r>
      <w:r w:rsidRPr="0044722B">
        <w:t xml:space="preserve"> </w:t>
      </w:r>
      <w:r w:rsidR="00802A71">
        <w:t>Successful</w:t>
      </w:r>
      <w:r w:rsidRPr="0044722B">
        <w:t xml:space="preserve"> principals encourage</w:t>
      </w:r>
      <w:r w:rsidR="00664FD4">
        <w:t>d</w:t>
      </w:r>
      <w:r w:rsidRPr="0044722B">
        <w:t xml:space="preserve"> open communication </w:t>
      </w:r>
      <w:r w:rsidR="00802A71">
        <w:t xml:space="preserve">in many ways, including </w:t>
      </w:r>
      <w:r w:rsidRPr="0044722B">
        <w:t>through regular staff meetings, newsletters, open</w:t>
      </w:r>
      <w:r w:rsidR="00673080">
        <w:t xml:space="preserve"> </w:t>
      </w:r>
      <w:r w:rsidRPr="0044722B">
        <w:t xml:space="preserve">committees, and teacher surveys. </w:t>
      </w:r>
      <w:r w:rsidR="00E30012">
        <w:t>S</w:t>
      </w:r>
      <w:r w:rsidRPr="0044722B">
        <w:t xml:space="preserve">taff </w:t>
      </w:r>
      <w:r w:rsidR="00802A71">
        <w:t xml:space="preserve">from improving schools </w:t>
      </w:r>
      <w:r w:rsidRPr="0044722B">
        <w:t>emphasize</w:t>
      </w:r>
      <w:r w:rsidR="00802A71">
        <w:t>d</w:t>
      </w:r>
      <w:r w:rsidRPr="0044722B">
        <w:t xml:space="preserve"> the importance of </w:t>
      </w:r>
      <w:r w:rsidR="00673080">
        <w:t xml:space="preserve">school leaders </w:t>
      </w:r>
      <w:r w:rsidRPr="0044722B">
        <w:t>encouraging an open-door policy and having the opportunity to influence schoolwide decision making</w:t>
      </w:r>
      <w:r w:rsidR="00652F52">
        <w:t>, whereas staff from struggling schools often described communication strategies as limited or ineffective</w:t>
      </w:r>
      <w:r w:rsidRPr="0044722B">
        <w:t>. Communication of instructional goals</w:t>
      </w:r>
      <w:r w:rsidR="00673080">
        <w:t>, specifically,</w:t>
      </w:r>
      <w:r w:rsidRPr="0044722B">
        <w:t xml:space="preserve"> </w:t>
      </w:r>
      <w:r w:rsidR="00B518F7">
        <w:t>was reported as</w:t>
      </w:r>
      <w:r w:rsidRPr="0044722B">
        <w:t xml:space="preserve"> essential to school improvement efforts so that staff and students alike are aware of what is expected of them. </w:t>
      </w:r>
      <w:r w:rsidR="005E7D6F">
        <w:t xml:space="preserve">Beyond this, leaders in these schools encouraged teacher agency and responsibility for helping meet schoolwide goals. </w:t>
      </w:r>
      <w:r w:rsidR="00802A71">
        <w:t>Improving</w:t>
      </w:r>
      <w:r w:rsidRPr="0044722B">
        <w:t xml:space="preserve"> schools communicate</w:t>
      </w:r>
      <w:r w:rsidR="00802A71">
        <w:t>d</w:t>
      </w:r>
      <w:r w:rsidRPr="0044722B">
        <w:t xml:space="preserve"> and monitor</w:t>
      </w:r>
      <w:r w:rsidR="00802A71">
        <w:t>ed</w:t>
      </w:r>
      <w:r w:rsidRPr="0044722B">
        <w:t xml:space="preserve"> expectations </w:t>
      </w:r>
      <w:r w:rsidR="00802A71">
        <w:t>by r</w:t>
      </w:r>
      <w:r w:rsidRPr="0044722B">
        <w:t>eviewing lesson plan</w:t>
      </w:r>
      <w:r w:rsidR="005E7D6F">
        <w:t>s</w:t>
      </w:r>
      <w:r w:rsidRPr="0044722B">
        <w:t xml:space="preserve">, </w:t>
      </w:r>
      <w:r w:rsidR="00802A71">
        <w:t xml:space="preserve">conducting </w:t>
      </w:r>
      <w:r w:rsidRPr="0044722B">
        <w:t xml:space="preserve">systematic classroom observations, </w:t>
      </w:r>
      <w:r w:rsidR="00802A71">
        <w:t xml:space="preserve">and encouraging </w:t>
      </w:r>
      <w:r w:rsidRPr="0044722B">
        <w:t xml:space="preserve">peer observations. </w:t>
      </w:r>
      <w:r w:rsidR="00673080">
        <w:t>Staff from improving schools reported that receivin</w:t>
      </w:r>
      <w:r w:rsidR="00802A71">
        <w:t>g t</w:t>
      </w:r>
      <w:r w:rsidRPr="0044722B">
        <w:t>imely and actionable feedback</w:t>
      </w:r>
      <w:r w:rsidR="00673080">
        <w:t xml:space="preserve">, </w:t>
      </w:r>
      <w:r w:rsidRPr="0044722B">
        <w:t xml:space="preserve">from </w:t>
      </w:r>
      <w:r w:rsidR="00673080">
        <w:t>both formal and informal</w:t>
      </w:r>
      <w:r w:rsidRPr="0044722B">
        <w:t xml:space="preserve"> observations</w:t>
      </w:r>
      <w:r w:rsidR="00673080">
        <w:t>,</w:t>
      </w:r>
      <w:r w:rsidRPr="0044722B">
        <w:t xml:space="preserve"> </w:t>
      </w:r>
      <w:r w:rsidR="00673080">
        <w:t xml:space="preserve">further </w:t>
      </w:r>
      <w:r w:rsidRPr="0044722B">
        <w:t>help</w:t>
      </w:r>
      <w:r w:rsidR="00802A71">
        <w:t>ed</w:t>
      </w:r>
      <w:r w:rsidRPr="0044722B">
        <w:t xml:space="preserve"> to </w:t>
      </w:r>
      <w:r w:rsidR="00673080">
        <w:t>ensure clear and consistent communication of</w:t>
      </w:r>
      <w:r w:rsidR="00802A71">
        <w:t xml:space="preserve"> </w:t>
      </w:r>
      <w:r w:rsidR="00673080">
        <w:t>instructional</w:t>
      </w:r>
      <w:r w:rsidR="00802A71">
        <w:t xml:space="preserve"> expectations</w:t>
      </w:r>
      <w:r w:rsidR="00673080">
        <w:t>.</w:t>
      </w:r>
      <w:r w:rsidRPr="00DF572C">
        <w:rPr>
          <w:i/>
        </w:rPr>
        <w:t xml:space="preserve"> </w:t>
      </w:r>
    </w:p>
    <w:p w:rsidR="00AA72D4" w:rsidRDefault="00AA72D4" w:rsidP="00AA72D4">
      <w:pPr>
        <w:pStyle w:val="Heading2"/>
      </w:pPr>
      <w:r w:rsidRPr="0044722B">
        <w:t>Turnaround Practice 2. Intentional Practices for Improving Instruction</w:t>
      </w:r>
    </w:p>
    <w:p w:rsidR="00AA72D4" w:rsidRDefault="00AA72D4" w:rsidP="00AA72D4">
      <w:pPr>
        <w:pStyle w:val="BodyTextLongQuote"/>
        <w:ind w:left="0"/>
      </w:pPr>
      <w:r>
        <w:t xml:space="preserve">With regard to implementing intentional practices for improving instruction, two </w:t>
      </w:r>
      <w:r w:rsidRPr="00AB077E">
        <w:t xml:space="preserve">key </w:t>
      </w:r>
      <w:r w:rsidR="00122DA1" w:rsidRPr="00AB077E">
        <w:t>strategies</w:t>
      </w:r>
      <w:r>
        <w:t xml:space="preserve"> characterized improving schools: (1) establishing clear, consistent, and aligned instructional foci and expectations, and (2) using regular classroom observations to improve instruction.</w:t>
      </w:r>
    </w:p>
    <w:p w:rsidR="00AA72D4" w:rsidRDefault="00AA72D4" w:rsidP="00AA72D4">
      <w:pPr>
        <w:pStyle w:val="Heading3"/>
      </w:pPr>
      <w:r>
        <w:t>Instructional Focus and Expectations</w:t>
      </w:r>
    </w:p>
    <w:p w:rsidR="009A76DD" w:rsidRDefault="00AA72D4" w:rsidP="00AA72D4">
      <w:pPr>
        <w:pStyle w:val="BodyTextLongQuote"/>
        <w:ind w:left="0"/>
      </w:pPr>
      <w:r>
        <w:t>Improving</w:t>
      </w:r>
      <w:r w:rsidRPr="0044722B">
        <w:t xml:space="preserve"> schools </w:t>
      </w:r>
      <w:r>
        <w:t xml:space="preserve">described the importance of setting and communicating high and consistent expectations for staff and students, and then monitoring the consistent </w:t>
      </w:r>
      <w:r w:rsidR="009A76DD">
        <w:t>implementation of those expectations through regular observations or other mechanisms</w:t>
      </w:r>
      <w:r w:rsidR="009A76DD" w:rsidRPr="0044722B">
        <w:t xml:space="preserve">. </w:t>
      </w:r>
      <w:r w:rsidR="009A76DD">
        <w:t>Staff at</w:t>
      </w:r>
      <w:r w:rsidR="009A76DD" w:rsidRPr="00BB44AF">
        <w:t xml:space="preserve"> </w:t>
      </w:r>
      <w:r w:rsidR="009A76DD">
        <w:t>many improving and exited schools</w:t>
      </w:r>
      <w:r w:rsidR="009A76DD" w:rsidRPr="00BB44AF">
        <w:t xml:space="preserve"> </w:t>
      </w:r>
      <w:r w:rsidR="009A76DD">
        <w:t>reported</w:t>
      </w:r>
      <w:r w:rsidR="009A76DD" w:rsidRPr="00BB44AF">
        <w:t xml:space="preserve"> </w:t>
      </w:r>
      <w:r w:rsidR="009A76DD">
        <w:t xml:space="preserve">a focus on increased </w:t>
      </w:r>
      <w:r w:rsidR="009A76DD" w:rsidRPr="00BB44AF">
        <w:t xml:space="preserve">instructional rigor as a key aspect of their turnaround goals. </w:t>
      </w:r>
      <w:r w:rsidR="009A76DD">
        <w:t>Many schools, both improving and otherwise, described using d</w:t>
      </w:r>
      <w:r w:rsidR="009A76DD" w:rsidRPr="0044722B">
        <w:t xml:space="preserve">ata to establish clear instructional goals and </w:t>
      </w:r>
      <w:r w:rsidR="009A76DD">
        <w:t xml:space="preserve">plans for </w:t>
      </w:r>
      <w:r w:rsidR="009A76DD" w:rsidRPr="0044722B">
        <w:t xml:space="preserve">monitoring progress throughout the year. </w:t>
      </w:r>
      <w:r w:rsidR="009A76DD">
        <w:t>Improving schools utilized many of the effective communication structures described above to ensure expectations were clearly and consistently communicated among and owned by all staff, whereas principals from schools struggling to make gains described consistent communication of expectations as an ongoing challenge during turnaround.</w:t>
      </w:r>
      <w:r w:rsidR="009A76DD" w:rsidRPr="00BB44AF">
        <w:t xml:space="preserve"> Several </w:t>
      </w:r>
      <w:r w:rsidR="009A76DD">
        <w:t xml:space="preserve">improving </w:t>
      </w:r>
      <w:r w:rsidR="009A76DD" w:rsidRPr="00BB44AF">
        <w:t>schools also use</w:t>
      </w:r>
      <w:r w:rsidR="009A76DD">
        <w:t>d</w:t>
      </w:r>
      <w:r w:rsidR="009A76DD" w:rsidRPr="00BB44AF">
        <w:t xml:space="preserve"> targeted professional development to </w:t>
      </w:r>
      <w:r w:rsidR="009A76DD" w:rsidRPr="004404E9">
        <w:rPr>
          <w:i/>
        </w:rPr>
        <w:t>“</w:t>
      </w:r>
      <w:r w:rsidR="009A76DD" w:rsidRPr="00950515">
        <w:rPr>
          <w:color w:val="000000"/>
        </w:rPr>
        <w:t>establish expectations and common practices and language to use in the classroom”</w:t>
      </w:r>
      <w:r w:rsidR="009A76DD" w:rsidRPr="00BB44AF">
        <w:rPr>
          <w:color w:val="000000"/>
        </w:rPr>
        <w:t xml:space="preserve"> and </w:t>
      </w:r>
      <w:r w:rsidR="009A76DD">
        <w:rPr>
          <w:color w:val="000000"/>
        </w:rPr>
        <w:t xml:space="preserve">to </w:t>
      </w:r>
      <w:r w:rsidR="009A76DD" w:rsidRPr="00BB44AF">
        <w:rPr>
          <w:color w:val="000000"/>
        </w:rPr>
        <w:t xml:space="preserve">familiarize teachers with </w:t>
      </w:r>
      <w:r w:rsidR="009A76DD">
        <w:rPr>
          <w:color w:val="000000"/>
        </w:rPr>
        <w:t xml:space="preserve">new materials, such as </w:t>
      </w:r>
      <w:r w:rsidR="009A76DD" w:rsidRPr="00BB44AF">
        <w:rPr>
          <w:color w:val="000000"/>
        </w:rPr>
        <w:t>curriculum maps.</w:t>
      </w:r>
    </w:p>
    <w:p w:rsidR="009A76DD" w:rsidRDefault="009A76DD" w:rsidP="00AA72D4">
      <w:pPr>
        <w:pStyle w:val="BodyTextLongQuote"/>
        <w:ind w:left="0"/>
      </w:pPr>
    </w:p>
    <w:p w:rsidR="000E67E5" w:rsidRDefault="00526FC5" w:rsidP="00654CD4">
      <w:pPr>
        <w:pStyle w:val="Heading3"/>
        <w:keepNext w:val="0"/>
      </w:pPr>
      <w:r w:rsidRPr="0044722B">
        <w:lastRenderedPageBreak/>
        <w:t xml:space="preserve">Classroom </w:t>
      </w:r>
      <w:r>
        <w:t>Observation Feedback and Data Use</w:t>
      </w:r>
      <w:r w:rsidR="00AA72D4" w:rsidRPr="00AA72D4">
        <w:t xml:space="preserve"> </w:t>
      </w:r>
    </w:p>
    <w:p w:rsidR="00526FC5" w:rsidRDefault="009A76DD" w:rsidP="009A76DD">
      <w:pPr>
        <w:pStyle w:val="BodyTextLongQuote"/>
        <w:spacing w:after="0"/>
        <w:ind w:left="0"/>
      </w:pPr>
      <w:r w:rsidRPr="00706EAC">
        <w:rPr>
          <w:noProof/>
        </w:rPr>
        <w:drawing>
          <wp:anchor distT="0" distB="0" distL="114300" distR="114300" simplePos="0" relativeHeight="251664384" behindDoc="0" locked="0" layoutInCell="1" allowOverlap="1">
            <wp:simplePos x="0" y="0"/>
            <wp:positionH relativeFrom="page">
              <wp:align>center</wp:align>
            </wp:positionH>
            <wp:positionV relativeFrom="paragraph">
              <wp:posOffset>5815385</wp:posOffset>
            </wp:positionV>
            <wp:extent cx="5170805" cy="2239010"/>
            <wp:effectExtent l="0" t="0" r="0" b="8890"/>
            <wp:wrapSquare wrapText="bothSides"/>
            <wp:docPr id="15" name="Picture 15" descr="The figure shows that SRG receipt had a significant impact on both ELA and mathematics achievement 1, 2, and 3 years after SRG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0805" cy="2239010"/>
                    </a:xfrm>
                    <a:prstGeom prst="rect">
                      <a:avLst/>
                    </a:prstGeom>
                    <a:noFill/>
                    <a:ln>
                      <a:noFill/>
                    </a:ln>
                  </pic:spPr>
                </pic:pic>
              </a:graphicData>
            </a:graphic>
          </wp:anchor>
        </w:drawing>
      </w:r>
      <w:r w:rsidR="00967F2C">
        <w:rPr>
          <w:noProof/>
        </w:rPr>
        <w:pict>
          <v:roundrect id="Rounded Rectangle 5" o:spid="_x0000_s1029" alt="Title: Impact of SRG on Student Outcomes - Description: Text describes comparative interrupted time series analysis conducted to measure the impact of SRGs on student achievement in English language arts and mathematics." style="position:absolute;margin-left:0;margin-top:0;width:467.25pt;height:389.2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arcsize="5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" fillcolor="#7a9fcc" stroked="f" strokeweight="2pt">
            <v:path arrowok="t"/>
            <v:textbox inset=",7.2pt,,0">
              <w:txbxContent>
                <w:p w:rsidR="00654CD4" w:rsidRPr="00AA72D4" w:rsidRDefault="00654CD4" w:rsidP="00654CD4">
                  <w:pPr>
                    <w:pStyle w:val="CalloutBoxHeader"/>
                    <w:rPr>
                      <w:color w:val="FFFFFF" w:themeColor="background1"/>
                    </w:rPr>
                  </w:pPr>
                  <w:r w:rsidRPr="00AA72D4">
                    <w:rPr>
                      <w:color w:val="FFFFFF" w:themeColor="background1"/>
                    </w:rPr>
                    <w:t>Impact of School Redesign Grants on Student Outcomes</w:t>
                  </w:r>
                </w:p>
                <w:p w:rsidR="00654CD4" w:rsidRPr="00692869" w:rsidRDefault="00654CD4" w:rsidP="00654CD4">
                  <w:pPr>
                    <w:pStyle w:val="CalloutBoxText"/>
                    <w:rPr>
                      <w:sz w:val="20"/>
                      <w:szCs w:val="20"/>
                    </w:rPr>
                  </w:pPr>
                  <w:r w:rsidRPr="00692869">
                    <w:rPr>
                      <w:sz w:val="20"/>
                      <w:szCs w:val="20"/>
                    </w:rPr>
                    <w:t xml:space="preserve">As part of this work, we conducted a comparative interrupted </w:t>
                  </w:r>
                  <w:r w:rsidR="00BF024A" w:rsidRPr="00692869">
                    <w:rPr>
                      <w:sz w:val="20"/>
                      <w:szCs w:val="20"/>
                    </w:rPr>
                    <w:t>time-</w:t>
                  </w:r>
                  <w:r w:rsidRPr="00692869">
                    <w:rPr>
                      <w:sz w:val="20"/>
                      <w:szCs w:val="20"/>
                    </w:rPr>
                    <w:t>series (CITS) analysis of the impact of SRG receipt on student outcomes one, two, and three years after receiving the grant. CITS analysis compares pre</w:t>
                  </w:r>
                  <w:r w:rsidR="00BF024A" w:rsidRPr="00692869">
                    <w:rPr>
                      <w:sz w:val="20"/>
                      <w:szCs w:val="20"/>
                    </w:rPr>
                    <w:t>treatment</w:t>
                  </w:r>
                  <w:r w:rsidRPr="00692869">
                    <w:rPr>
                      <w:sz w:val="20"/>
                      <w:szCs w:val="20"/>
                    </w:rPr>
                    <w:t xml:space="preserve"> and posttreatment trends in student performance, where SRG receipt is considered the treatment, between SRG schools and non-SRG comparison schools. Consistent with findings from a 2013 analysis of the impact of SRG receipt on Commissioner’s District schools, the impact of SRG receipt on student outcomes is statistically significant (at the</w:t>
                  </w:r>
                  <w:r w:rsidR="00BF024A" w:rsidRPr="00692869">
                    <w:rPr>
                      <w:sz w:val="20"/>
                      <w:szCs w:val="20"/>
                    </w:rPr>
                    <w:t xml:space="preserve"> </w:t>
                  </w:r>
                  <w:r w:rsidR="00BF024A" w:rsidRPr="00692869">
                    <w:rPr>
                      <w:i/>
                      <w:sz w:val="20"/>
                      <w:szCs w:val="20"/>
                    </w:rPr>
                    <w:t>p</w:t>
                  </w:r>
                  <w:r w:rsidR="00BF024A" w:rsidRPr="00692869">
                    <w:rPr>
                      <w:sz w:val="20"/>
                      <w:szCs w:val="20"/>
                    </w:rPr>
                    <w:t xml:space="preserve"> = .0</w:t>
                  </w:r>
                  <w:r w:rsidR="00982AB6" w:rsidRPr="00692869">
                    <w:rPr>
                      <w:sz w:val="20"/>
                      <w:szCs w:val="20"/>
                    </w:rPr>
                    <w:t>0</w:t>
                  </w:r>
                  <w:r w:rsidR="00BF024A" w:rsidRPr="00692869">
                    <w:rPr>
                      <w:sz w:val="20"/>
                      <w:szCs w:val="20"/>
                    </w:rPr>
                    <w:t>1</w:t>
                  </w:r>
                  <w:r w:rsidRPr="00692869">
                    <w:rPr>
                      <w:sz w:val="20"/>
                      <w:szCs w:val="20"/>
                    </w:rPr>
                    <w:t xml:space="preserve"> level) one, two, and three years after receipt, and the impact of SRG receipt on outcomes for </w:t>
                  </w:r>
                  <w:r w:rsidR="00BF024A" w:rsidRPr="00692869">
                    <w:rPr>
                      <w:sz w:val="20"/>
                      <w:szCs w:val="20"/>
                    </w:rPr>
                    <w:t>English</w:t>
                  </w:r>
                  <w:r w:rsidR="00B518F7">
                    <w:rPr>
                      <w:sz w:val="20"/>
                      <w:szCs w:val="20"/>
                    </w:rPr>
                    <w:t xml:space="preserve"> language</w:t>
                  </w:r>
                  <w:r w:rsidR="00BF024A" w:rsidRPr="00692869">
                    <w:rPr>
                      <w:sz w:val="20"/>
                      <w:szCs w:val="20"/>
                    </w:rPr>
                    <w:t xml:space="preserve"> learner</w:t>
                  </w:r>
                  <w:r w:rsidR="009378C9" w:rsidRPr="00692869">
                    <w:rPr>
                      <w:sz w:val="20"/>
                      <w:szCs w:val="20"/>
                    </w:rPr>
                    <w:t>s</w:t>
                  </w:r>
                  <w:r w:rsidR="00BF024A" w:rsidRPr="00692869">
                    <w:rPr>
                      <w:sz w:val="20"/>
                      <w:szCs w:val="20"/>
                    </w:rPr>
                    <w:t xml:space="preserve"> </w:t>
                  </w:r>
                  <w:r w:rsidRPr="00692869">
                    <w:rPr>
                      <w:sz w:val="20"/>
                      <w:szCs w:val="20"/>
                    </w:rPr>
                    <w:t xml:space="preserve">specifically is even greater. These findings suggest that, even though some schools may not show sufficient improvement to exit Level 4 status within three years (SRG funding timeframe), SRGs are accelerating student improvement, in both English language arts and mathematics, overall. </w:t>
                  </w: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Default="00654CD4" w:rsidP="00654CD4">
                  <w:pPr>
                    <w:pStyle w:val="CalloutBoxText"/>
                  </w:pPr>
                </w:p>
                <w:p w:rsidR="00654CD4" w:rsidRPr="00400DB9" w:rsidRDefault="00654CD4" w:rsidP="00654CD4">
                  <w:pPr>
                    <w:pStyle w:val="CalloutBoxText"/>
                  </w:pPr>
                </w:p>
              </w:txbxContent>
            </v:textbox>
            <w10:wrap type="square" anchorx="margin" anchory="margin"/>
          </v:roundrect>
        </w:pict>
      </w:r>
      <w:r w:rsidR="000E67E5" w:rsidRPr="00AA72D4">
        <w:t>As previously mentioned, an important practice for all turnaround schools is the use of regular classroom observations to monitor instructional practice and ensure consistent implementation of instructional expectations. Staff appreciated that traditional classroom observations conducted by school leaders resulted in timely and actionable feedback. More importantly, teachers from improving schools also mentioned the value of peer observations, coupled with data use and collaboration, which allowed teachers to learn from their colleagues. As one teacher described, “We go around as department teams and we'll observe people within our</w:t>
      </w:r>
      <w:r w:rsidR="000E67E5" w:rsidRPr="00950515">
        <w:t xml:space="preserve"> department, we'll observe people in other departments, we'll see those classrooms, and then we can see what's working.”</w:t>
      </w:r>
      <w:r w:rsidR="000E67E5">
        <w:t xml:space="preserve"> Teachers said that peer observations were especially helpful because they could see examples of high-quality instruction and, after observing instruction of higher grade levels, prepare their students for the instruction they</w:t>
      </w:r>
      <w:r>
        <w:t xml:space="preserve"> </w:t>
      </w:r>
      <w:r w:rsidR="00AA72D4">
        <w:t>would receive in future years. In contrast to struggling schools where data from classroom observations was primarily used only to provide feedback to individual teachers, improving</w:t>
      </w:r>
      <w:r w:rsidR="00526FC5">
        <w:t xml:space="preserve"> schools often used data from classroom observations to target additional instructional </w:t>
      </w:r>
      <w:r w:rsidR="00AA72D4">
        <w:t xml:space="preserve"> s</w:t>
      </w:r>
      <w:r w:rsidR="00526FC5">
        <w:t xml:space="preserve">upports, make decisions about professional development, and plan instructional leadership team activities. </w:t>
      </w:r>
    </w:p>
    <w:p w:rsidR="0044722B" w:rsidRDefault="0044722B" w:rsidP="0044722B">
      <w:pPr>
        <w:pStyle w:val="Heading2"/>
      </w:pPr>
      <w:r>
        <w:lastRenderedPageBreak/>
        <w:t xml:space="preserve">Turnaround Practice 3. Student-Specific Supports and Instruction to </w:t>
      </w:r>
      <w:r w:rsidR="009378C9">
        <w:t xml:space="preserve">All </w:t>
      </w:r>
      <w:r>
        <w:t>Students</w:t>
      </w:r>
    </w:p>
    <w:p w:rsidR="0044722B" w:rsidRPr="001F7D47" w:rsidRDefault="0044722B" w:rsidP="0044722B">
      <w:pPr>
        <w:pStyle w:val="BodyTextLongQuote"/>
        <w:ind w:left="0"/>
        <w:rPr>
          <w:rFonts w:asciiTheme="minorHAnsi" w:hAnsiTheme="minorHAnsi"/>
        </w:rPr>
      </w:pPr>
      <w:r>
        <w:t xml:space="preserve">Turnaround Practice 3 </w:t>
      </w:r>
      <w:r w:rsidR="00526FC5">
        <w:t>focuses</w:t>
      </w:r>
      <w:r>
        <w:t xml:space="preserve"> </w:t>
      </w:r>
      <w:r w:rsidR="00526FC5">
        <w:t xml:space="preserve">on </w:t>
      </w:r>
      <w:r>
        <w:t xml:space="preserve">providing </w:t>
      </w:r>
      <w:r w:rsidR="00526FC5">
        <w:t>individualized</w:t>
      </w:r>
      <w:r>
        <w:t xml:space="preserve"> </w:t>
      </w:r>
      <w:r w:rsidR="00213DDA">
        <w:t xml:space="preserve">academic and nonacademic </w:t>
      </w:r>
      <w:r>
        <w:t>support</w:t>
      </w:r>
      <w:r w:rsidR="00526FC5">
        <w:t>s</w:t>
      </w:r>
      <w:r>
        <w:t xml:space="preserve"> for </w:t>
      </w:r>
      <w:r w:rsidR="00526FC5">
        <w:t xml:space="preserve">each </w:t>
      </w:r>
      <w:r>
        <w:t>student</w:t>
      </w:r>
      <w:r w:rsidR="00526FC5">
        <w:t>, in a systematic way. Improving schools tend to have well-established, well-functioning multitiered system</w:t>
      </w:r>
      <w:r w:rsidR="00E30012">
        <w:t>s</w:t>
      </w:r>
      <w:r w:rsidR="00526FC5">
        <w:t xml:space="preserve"> of supports and offer a </w:t>
      </w:r>
      <w:r w:rsidR="00E30012">
        <w:t xml:space="preserve">wide </w:t>
      </w:r>
      <w:r w:rsidR="00526FC5">
        <w:t>range of nonacademic student supports to meet social-emotional and behavioral needs.</w:t>
      </w:r>
    </w:p>
    <w:p w:rsidR="00EF6A8E" w:rsidRDefault="003922B8" w:rsidP="00EF6A8E">
      <w:pPr>
        <w:pStyle w:val="Heading3"/>
      </w:pPr>
      <w:r>
        <w:t>Multi</w:t>
      </w:r>
      <w:r w:rsidR="00EF6A8E">
        <w:t>tiered Systems of Support</w:t>
      </w:r>
    </w:p>
    <w:p w:rsidR="00E8645E" w:rsidRDefault="003922B8" w:rsidP="00EF6A8E">
      <w:pPr>
        <w:pStyle w:val="BodyTextLongQuote"/>
        <w:ind w:left="0"/>
      </w:pPr>
      <w:r>
        <w:t>Improving</w:t>
      </w:r>
      <w:r w:rsidR="00EF6A8E">
        <w:t xml:space="preserve"> schools </w:t>
      </w:r>
      <w:r>
        <w:t>all established, or were in the process of establishing,</w:t>
      </w:r>
      <w:r w:rsidR="00EF6A8E">
        <w:t xml:space="preserve"> a multitiered system of supports for struggling students</w:t>
      </w:r>
      <w:r>
        <w:t xml:space="preserve"> that</w:t>
      </w:r>
      <w:r w:rsidR="00EF6A8E">
        <w:t xml:space="preserve"> uses multiple data points to </w:t>
      </w:r>
      <w:r>
        <w:t xml:space="preserve">frequently </w:t>
      </w:r>
      <w:r w:rsidR="00EF6A8E">
        <w:t xml:space="preserve">identify and adjust </w:t>
      </w:r>
      <w:r w:rsidR="00BF0248">
        <w:t xml:space="preserve">both academic and non-academic </w:t>
      </w:r>
      <w:r>
        <w:t xml:space="preserve">student-specific </w:t>
      </w:r>
      <w:r w:rsidR="00EF6A8E">
        <w:t xml:space="preserve">supports. According to one </w:t>
      </w:r>
      <w:r>
        <w:t>principal</w:t>
      </w:r>
      <w:r w:rsidR="00922D5D">
        <w:t xml:space="preserve">: </w:t>
      </w:r>
    </w:p>
    <w:p w:rsidR="00E8645E" w:rsidRPr="00246E05" w:rsidRDefault="003922B8" w:rsidP="00922D5D">
      <w:pPr>
        <w:pStyle w:val="BodyTextLongQuote"/>
        <w:rPr>
          <w:i/>
        </w:rPr>
      </w:pPr>
      <w:r w:rsidRPr="00246E05">
        <w:rPr>
          <w:i/>
        </w:rPr>
        <w:t>We have a student support team that meets every week, on Fridays, to go through the list and analyze which students are struggling from a behavioral standpoint. They look at referral data, they look at notes that have come out of cohorts meeting as to who is struggling. Based on that, they develop interventions, follow-up or even sometimes go observe that student in class and provide advice to the teachers.</w:t>
      </w:r>
    </w:p>
    <w:p w:rsidR="00EF6A8E" w:rsidRDefault="00EF6A8E" w:rsidP="00EF6A8E">
      <w:pPr>
        <w:pStyle w:val="BodyTextLongQuote"/>
        <w:ind w:left="0"/>
      </w:pPr>
      <w:r>
        <w:t>To be most effective</w:t>
      </w:r>
      <w:r w:rsidR="003922B8">
        <w:t>,</w:t>
      </w:r>
      <w:r>
        <w:t xml:space="preserve"> </w:t>
      </w:r>
      <w:r w:rsidR="00227F88">
        <w:t xml:space="preserve">staff from improving schools explained that </w:t>
      </w:r>
      <w:r>
        <w:t>all staff members should be aware of the process for identifying and supporting students</w:t>
      </w:r>
      <w:r w:rsidR="00227F88">
        <w:t xml:space="preserve"> and</w:t>
      </w:r>
      <w:r>
        <w:t xml:space="preserve"> </w:t>
      </w:r>
      <w:r w:rsidR="004713EB">
        <w:t xml:space="preserve">should </w:t>
      </w:r>
      <w:r>
        <w:t>have access to pertinent data such as attendance, behavior, and academic performance. In addition</w:t>
      </w:r>
      <w:r w:rsidR="00213DDA">
        <w:t>,</w:t>
      </w:r>
      <w:r>
        <w:t xml:space="preserve"> staff at many improving schools </w:t>
      </w:r>
      <w:r w:rsidR="003922B8">
        <w:t>described receiving targeted</w:t>
      </w:r>
      <w:r>
        <w:t xml:space="preserve"> training in identifying student academic needs and providing differentiated instruction. </w:t>
      </w:r>
      <w:r w:rsidR="00652F52">
        <w:t>In contrast, staff from struggling schools often had difficulty articulating the process for identifying and addressing student needs, suggesting that systematic procedures were not yet in place or well understood.</w:t>
      </w:r>
      <w:r>
        <w:t xml:space="preserve"> </w:t>
      </w:r>
    </w:p>
    <w:p w:rsidR="00EF6A8E" w:rsidRPr="005B7B57" w:rsidRDefault="00EF6A8E" w:rsidP="00EF6A8E">
      <w:pPr>
        <w:pStyle w:val="Heading3"/>
      </w:pPr>
      <w:r>
        <w:t>Nonacademic Student Supports</w:t>
      </w:r>
    </w:p>
    <w:p w:rsidR="00EF6A8E" w:rsidRDefault="00EF6A8E" w:rsidP="00EF6A8E">
      <w:pPr>
        <w:pStyle w:val="BodyTextLongQuote"/>
        <w:ind w:left="0"/>
      </w:pPr>
      <w:r>
        <w:t xml:space="preserve">In addition to providing tiered academic support, many </w:t>
      </w:r>
      <w:r w:rsidR="003C3A63">
        <w:t xml:space="preserve">turnaround </w:t>
      </w:r>
      <w:r>
        <w:t>schools struggle with</w:t>
      </w:r>
      <w:r w:rsidR="003C3A63">
        <w:t xml:space="preserve"> how to address</w:t>
      </w:r>
      <w:r>
        <w:t xml:space="preserve"> the behavioral and social-emotional needs of their student population. </w:t>
      </w:r>
      <w:r w:rsidR="003C3A63">
        <w:t>Most improving schools utilize their multitiered system of supports for identifying and addressing these nonacademic needs as well. Successful schools address these needs in many ways</w:t>
      </w:r>
      <w:r w:rsidR="00495393">
        <w:t>:</w:t>
      </w:r>
      <w:r w:rsidR="003C3A63">
        <w:t xml:space="preserve"> by</w:t>
      </w:r>
      <w:r>
        <w:t xml:space="preserve"> partnering with social workers, mental health providers, and external partners that provide social-emotional supports, as well as</w:t>
      </w:r>
      <w:r w:rsidR="00495393">
        <w:t xml:space="preserve"> by</w:t>
      </w:r>
      <w:r>
        <w:t xml:space="preserve"> establishing clear structures for developing adult</w:t>
      </w:r>
      <w:r w:rsidR="00495393">
        <w:t>–</w:t>
      </w:r>
      <w:r>
        <w:t>student relationships. Advisory periods</w:t>
      </w:r>
      <w:r w:rsidR="003C3A63">
        <w:t xml:space="preserve"> and</w:t>
      </w:r>
      <w:r>
        <w:t xml:space="preserve"> afterschool clubs</w:t>
      </w:r>
      <w:r w:rsidR="003C3A63">
        <w:t xml:space="preserve"> </w:t>
      </w:r>
      <w:r>
        <w:t xml:space="preserve">are two ways </w:t>
      </w:r>
      <w:r w:rsidR="00213DDA">
        <w:t xml:space="preserve">in which </w:t>
      </w:r>
      <w:r>
        <w:t>schools have encouraged healthy relationships between teachers and small groups of students. Many</w:t>
      </w:r>
      <w:r w:rsidR="003C3A63">
        <w:t xml:space="preserve"> improving</w:t>
      </w:r>
      <w:r>
        <w:t xml:space="preserve"> schools </w:t>
      </w:r>
      <w:r w:rsidR="003C3A63">
        <w:t xml:space="preserve">have </w:t>
      </w:r>
      <w:r>
        <w:t>also establish</w:t>
      </w:r>
      <w:r w:rsidR="003C3A63">
        <w:t>ed</w:t>
      </w:r>
      <w:r>
        <w:t xml:space="preserve"> wraparound services to students and families, </w:t>
      </w:r>
      <w:r w:rsidR="00213DDA">
        <w:t>including</w:t>
      </w:r>
      <w:r>
        <w:t xml:space="preserve"> local Departments for Children and Families, medical providers, food pantries, and homeless shelters. </w:t>
      </w:r>
      <w:r w:rsidR="00652F52">
        <w:t>Struggling schools often lacked structures for developing positive adult-student relationships and had difficulty systematically addressing non-academic student needs, including social-emotional supports.</w:t>
      </w:r>
    </w:p>
    <w:p w:rsidR="00EF6A8E" w:rsidRPr="00AA72D4" w:rsidRDefault="00EF6A8E" w:rsidP="00AA72D4">
      <w:pPr>
        <w:pStyle w:val="Heading2"/>
      </w:pPr>
      <w:r w:rsidRPr="00AA72D4">
        <w:lastRenderedPageBreak/>
        <w:t>Turnaround Practice 4. School Climate and Culture</w:t>
      </w:r>
    </w:p>
    <w:p w:rsidR="004D08DC" w:rsidRDefault="00EF6A8E" w:rsidP="004D08DC">
      <w:pPr>
        <w:pStyle w:val="BodyText"/>
      </w:pPr>
      <w:r>
        <w:t xml:space="preserve">Turnaround Practice 4 </w:t>
      </w:r>
      <w:r w:rsidR="00550197">
        <w:t>focuses on creating a</w:t>
      </w:r>
      <w:r>
        <w:t xml:space="preserve"> </w:t>
      </w:r>
      <w:r w:rsidR="00550197">
        <w:t xml:space="preserve">safe, orderly, and respectful environment for students and families. Establishing an effective schoolwide behavior plan and offering opportunities for meaningful family engagement emerged as two </w:t>
      </w:r>
      <w:r w:rsidR="00550197" w:rsidRPr="00AB077E">
        <w:t xml:space="preserve">key </w:t>
      </w:r>
      <w:r w:rsidR="00122DA1" w:rsidRPr="00AB077E">
        <w:t>strategies</w:t>
      </w:r>
      <w:r w:rsidR="00550197" w:rsidRPr="00AB077E">
        <w:t xml:space="preserve"> characteristic of improving schools. </w:t>
      </w:r>
      <w:r w:rsidR="004D08DC" w:rsidRPr="00AB077E">
        <w:t xml:space="preserve">In addition, most exited schools and all </w:t>
      </w:r>
      <w:r w:rsidR="004D08DC" w:rsidRPr="00AB077E">
        <w:rPr>
          <w:rFonts w:cstheme="minorHAnsi"/>
        </w:rPr>
        <w:t xml:space="preserve">improving </w:t>
      </w:r>
      <w:r w:rsidR="004D08DC" w:rsidRPr="00AB077E">
        <w:t>schools provide a number</w:t>
      </w:r>
      <w:r w:rsidR="004D08DC">
        <w:t xml:space="preserve"> of expanded learning opportunities to students, including most commonly, afterschool tutoring. </w:t>
      </w:r>
    </w:p>
    <w:p w:rsidR="00EF6A8E" w:rsidRDefault="00526FC5" w:rsidP="00EF6A8E">
      <w:pPr>
        <w:pStyle w:val="Heading3"/>
      </w:pPr>
      <w:r>
        <w:t>S</w:t>
      </w:r>
      <w:r w:rsidR="00EF6A8E">
        <w:t>choolwide Student Behavior Plan</w:t>
      </w:r>
    </w:p>
    <w:p w:rsidR="00EF6A8E" w:rsidRPr="00654CD4" w:rsidRDefault="003C3A63" w:rsidP="00EF6A8E">
      <w:pPr>
        <w:pStyle w:val="BodyTextLongQuote"/>
        <w:ind w:left="0"/>
        <w:rPr>
          <w:spacing w:val="-4"/>
        </w:rPr>
      </w:pPr>
      <w:r w:rsidRPr="00654CD4">
        <w:rPr>
          <w:spacing w:val="-4"/>
        </w:rPr>
        <w:t xml:space="preserve">Many turnaround schools must address pervasive behavior issues before they can focus on improving instruction. Improving schools established a </w:t>
      </w:r>
      <w:r w:rsidR="00EF6A8E" w:rsidRPr="00654CD4">
        <w:rPr>
          <w:spacing w:val="-4"/>
        </w:rPr>
        <w:t>schoolwide behavior plan</w:t>
      </w:r>
      <w:r w:rsidRPr="00654CD4">
        <w:rPr>
          <w:spacing w:val="-4"/>
        </w:rPr>
        <w:t xml:space="preserve"> and ensured consistent implementation of the plan across all staff</w:t>
      </w:r>
      <w:r w:rsidR="00EF6A8E" w:rsidRPr="00654CD4">
        <w:rPr>
          <w:spacing w:val="-4"/>
        </w:rPr>
        <w:t xml:space="preserve">. </w:t>
      </w:r>
      <w:r w:rsidRPr="00654CD4">
        <w:rPr>
          <w:spacing w:val="-4"/>
        </w:rPr>
        <w:t>Some</w:t>
      </w:r>
      <w:r w:rsidR="00EF6A8E" w:rsidRPr="00654CD4">
        <w:rPr>
          <w:spacing w:val="-4"/>
        </w:rPr>
        <w:t xml:space="preserve"> </w:t>
      </w:r>
      <w:r w:rsidRPr="00654CD4">
        <w:rPr>
          <w:spacing w:val="-4"/>
        </w:rPr>
        <w:t xml:space="preserve">improving </w:t>
      </w:r>
      <w:r w:rsidR="00EF6A8E" w:rsidRPr="00654CD4">
        <w:rPr>
          <w:spacing w:val="-4"/>
        </w:rPr>
        <w:t xml:space="preserve">schools included teachers in the </w:t>
      </w:r>
      <w:r w:rsidRPr="00654CD4">
        <w:rPr>
          <w:spacing w:val="-4"/>
        </w:rPr>
        <w:t xml:space="preserve">behavior management </w:t>
      </w:r>
      <w:r w:rsidR="00EF6A8E" w:rsidRPr="00654CD4">
        <w:rPr>
          <w:spacing w:val="-4"/>
        </w:rPr>
        <w:t>planning process</w:t>
      </w:r>
      <w:r w:rsidR="00CA5427" w:rsidRPr="00654CD4">
        <w:rPr>
          <w:spacing w:val="-4"/>
        </w:rPr>
        <w:t xml:space="preserve"> to encourage buy-in. M</w:t>
      </w:r>
      <w:r w:rsidRPr="00654CD4">
        <w:rPr>
          <w:spacing w:val="-4"/>
        </w:rPr>
        <w:t>any</w:t>
      </w:r>
      <w:r w:rsidR="00CA5427" w:rsidRPr="00654CD4">
        <w:rPr>
          <w:spacing w:val="-4"/>
        </w:rPr>
        <w:t xml:space="preserve"> improving schools</w:t>
      </w:r>
      <w:r w:rsidR="00EF6A8E" w:rsidRPr="00654CD4">
        <w:rPr>
          <w:spacing w:val="-4"/>
        </w:rPr>
        <w:t xml:space="preserve"> embed aspects of </w:t>
      </w:r>
      <w:r w:rsidRPr="00654CD4">
        <w:rPr>
          <w:spacing w:val="-4"/>
        </w:rPr>
        <w:t xml:space="preserve">the </w:t>
      </w:r>
      <w:r w:rsidR="00B042F1" w:rsidRPr="00654CD4">
        <w:rPr>
          <w:spacing w:val="-4"/>
        </w:rPr>
        <w:t xml:space="preserve">positive behavioral intervention system </w:t>
      </w:r>
      <w:r w:rsidRPr="00654CD4">
        <w:rPr>
          <w:spacing w:val="-4"/>
        </w:rPr>
        <w:t xml:space="preserve">(PBIS) </w:t>
      </w:r>
      <w:r w:rsidR="00EF6A8E" w:rsidRPr="00654CD4">
        <w:rPr>
          <w:spacing w:val="-4"/>
        </w:rPr>
        <w:t xml:space="preserve">or other positive behavior models into their structures and provide incentives for students for good behavior. </w:t>
      </w:r>
      <w:r w:rsidR="00CA5427" w:rsidRPr="00654CD4">
        <w:rPr>
          <w:spacing w:val="-4"/>
        </w:rPr>
        <w:t>Many improving</w:t>
      </w:r>
      <w:r w:rsidR="00EF6A8E" w:rsidRPr="00654CD4">
        <w:rPr>
          <w:spacing w:val="-4"/>
        </w:rPr>
        <w:t xml:space="preserve"> schools display</w:t>
      </w:r>
      <w:r w:rsidR="00CA5427" w:rsidRPr="00654CD4">
        <w:rPr>
          <w:spacing w:val="-4"/>
        </w:rPr>
        <w:t xml:space="preserve"> behavior</w:t>
      </w:r>
      <w:r w:rsidR="00EF6A8E" w:rsidRPr="00654CD4">
        <w:rPr>
          <w:spacing w:val="-4"/>
        </w:rPr>
        <w:t xml:space="preserve"> expectations prominently throughout the school. </w:t>
      </w:r>
      <w:r w:rsidR="00652F52">
        <w:rPr>
          <w:spacing w:val="-4"/>
        </w:rPr>
        <w:t>In contrast, a</w:t>
      </w:r>
      <w:r w:rsidR="00652F52" w:rsidRPr="00652F52">
        <w:rPr>
          <w:spacing w:val="-4"/>
        </w:rPr>
        <w:t xml:space="preserve">ll of the struggling schools </w:t>
      </w:r>
      <w:r w:rsidR="00652F52">
        <w:rPr>
          <w:spacing w:val="-4"/>
        </w:rPr>
        <w:t xml:space="preserve">examined </w:t>
      </w:r>
      <w:r w:rsidR="00692869">
        <w:rPr>
          <w:spacing w:val="-4"/>
        </w:rPr>
        <w:t>described</w:t>
      </w:r>
      <w:r w:rsidR="00652F52" w:rsidRPr="00652F52">
        <w:rPr>
          <w:spacing w:val="-4"/>
        </w:rPr>
        <w:t xml:space="preserve"> consisten</w:t>
      </w:r>
      <w:r w:rsidR="00692869">
        <w:rPr>
          <w:spacing w:val="-4"/>
        </w:rPr>
        <w:t>tly</w:t>
      </w:r>
      <w:r w:rsidR="00652F52" w:rsidRPr="00652F52">
        <w:rPr>
          <w:spacing w:val="-4"/>
        </w:rPr>
        <w:t xml:space="preserve"> implement</w:t>
      </w:r>
      <w:r w:rsidR="00692869">
        <w:rPr>
          <w:spacing w:val="-4"/>
        </w:rPr>
        <w:t>ing</w:t>
      </w:r>
      <w:r w:rsidR="00652F52" w:rsidRPr="00652F52">
        <w:rPr>
          <w:spacing w:val="-4"/>
        </w:rPr>
        <w:t xml:space="preserve"> behavior expectations </w:t>
      </w:r>
      <w:r w:rsidR="00652F52">
        <w:rPr>
          <w:spacing w:val="-4"/>
        </w:rPr>
        <w:t>as a major challenge to their turnaround efforts</w:t>
      </w:r>
      <w:r w:rsidR="00652F52" w:rsidRPr="00652F52">
        <w:rPr>
          <w:spacing w:val="-4"/>
        </w:rPr>
        <w:t>.</w:t>
      </w:r>
    </w:p>
    <w:p w:rsidR="00EF6A8E" w:rsidRDefault="00EF6A8E" w:rsidP="00EF6A8E">
      <w:pPr>
        <w:pStyle w:val="Heading3"/>
      </w:pPr>
      <w:r>
        <w:t>Family Engagement</w:t>
      </w:r>
    </w:p>
    <w:p w:rsidR="00922D5D" w:rsidRDefault="00EF6A8E" w:rsidP="00EF6A8E">
      <w:pPr>
        <w:pStyle w:val="BodyText"/>
      </w:pPr>
      <w:r w:rsidRPr="00DB689E">
        <w:t xml:space="preserve">Family engagement is a constant struggle for many schools, </w:t>
      </w:r>
      <w:r w:rsidR="00CA5427">
        <w:t>not just turnaround schools</w:t>
      </w:r>
      <w:r w:rsidR="00227F88">
        <w:t xml:space="preserve">. However, </w:t>
      </w:r>
      <w:r w:rsidR="00D76334">
        <w:t>i</w:t>
      </w:r>
      <w:r w:rsidR="00CA5427">
        <w:t xml:space="preserve">mproving schools </w:t>
      </w:r>
      <w:r w:rsidR="00D76334">
        <w:t>found</w:t>
      </w:r>
      <w:r w:rsidR="00CA5427">
        <w:t xml:space="preserve"> ways </w:t>
      </w:r>
      <w:r w:rsidR="00D76334">
        <w:t>to engage parents both socially and in planning for and collaborating in the implementation of academic and nonacademic supports</w:t>
      </w:r>
      <w:r w:rsidR="00652F52">
        <w:t>, whereas struggling schools had difficulty overcoming these common barriers to family engagement</w:t>
      </w:r>
      <w:r w:rsidR="00227F88">
        <w:t xml:space="preserve">. </w:t>
      </w:r>
      <w:r w:rsidR="00B518F7">
        <w:t>Improving schools</w:t>
      </w:r>
      <w:r w:rsidR="00227F88">
        <w:t xml:space="preserve"> did this,</w:t>
      </w:r>
      <w:r w:rsidR="00D76334">
        <w:t xml:space="preserve"> in part</w:t>
      </w:r>
      <w:r w:rsidR="00227F88">
        <w:t xml:space="preserve">, by </w:t>
      </w:r>
      <w:r w:rsidR="00CA5427">
        <w:rPr>
          <w:iCs/>
        </w:rPr>
        <w:t>communicating with parents</w:t>
      </w:r>
      <w:r w:rsidR="008B16AA" w:rsidRPr="008B16AA">
        <w:t xml:space="preserve"> </w:t>
      </w:r>
      <w:r w:rsidR="008B16AA">
        <w:t>proactively, not reactively</w:t>
      </w:r>
      <w:r w:rsidR="00CA5427">
        <w:rPr>
          <w:iCs/>
        </w:rPr>
        <w:t xml:space="preserve">. Teachers at these schools routinely reached out through phone calls and home visits to build a relationship, giving parents positive information about their children and breaking down negative associations some parents </w:t>
      </w:r>
      <w:r w:rsidR="00B518F7">
        <w:rPr>
          <w:iCs/>
        </w:rPr>
        <w:t xml:space="preserve">may have </w:t>
      </w:r>
      <w:r w:rsidR="00CA5427">
        <w:rPr>
          <w:iCs/>
        </w:rPr>
        <w:t xml:space="preserve">previously held about the school. </w:t>
      </w:r>
      <w:r w:rsidRPr="00DB689E">
        <w:t xml:space="preserve">One school restructured </w:t>
      </w:r>
      <w:r w:rsidR="00B518F7">
        <w:t>its</w:t>
      </w:r>
      <w:r w:rsidRPr="00DB689E">
        <w:t xml:space="preserve"> parent teacher conferences in an attempt to more positively involve parents in their children’s education. According to a staff member</w:t>
      </w:r>
      <w:r w:rsidR="00922D5D">
        <w:t>:</w:t>
      </w:r>
      <w:r w:rsidRPr="00DB689E">
        <w:t xml:space="preserve"> </w:t>
      </w:r>
    </w:p>
    <w:p w:rsidR="00922D5D" w:rsidRPr="00246E05" w:rsidRDefault="00EF6A8E" w:rsidP="00F40806">
      <w:pPr>
        <w:pStyle w:val="BodyText"/>
        <w:ind w:left="720"/>
        <w:rPr>
          <w:i/>
        </w:rPr>
      </w:pPr>
      <w:r w:rsidRPr="00246E05">
        <w:rPr>
          <w:i/>
        </w:rPr>
        <w:t>Our school has restructured our open house model to engage our parents in their child's learning. Teachers share classroom data on two to three specific skills and then model and share activity materials with parents that they can do to help support the skill presented.</w:t>
      </w:r>
    </w:p>
    <w:p w:rsidR="00EF6A8E" w:rsidRDefault="00F40806" w:rsidP="00EF6A8E">
      <w:pPr>
        <w:pStyle w:val="BodyText"/>
      </w:pPr>
      <w:r>
        <w:t>T</w:t>
      </w:r>
      <w:r w:rsidR="00EF6A8E" w:rsidRPr="00DB689E">
        <w:t>hese schools improve parent engagement</w:t>
      </w:r>
      <w:r>
        <w:t xml:space="preserve"> in many ways</w:t>
      </w:r>
      <w:r w:rsidR="00EF6A8E" w:rsidRPr="00DB689E">
        <w:t xml:space="preserve">, </w:t>
      </w:r>
      <w:r w:rsidR="00227F88">
        <w:t>including</w:t>
      </w:r>
      <w:r w:rsidR="00EF6A8E" w:rsidRPr="00DB689E">
        <w:t xml:space="preserve"> hiring a parent liaison or coordinator, implementing regular home visits, conferences, and phones calls for positive communication as well as expressing concerns, and sending regular communications vie e</w:t>
      </w:r>
      <w:r w:rsidR="00362372">
        <w:t>-</w:t>
      </w:r>
      <w:r w:rsidR="00EF6A8E" w:rsidRPr="00DB689E">
        <w:t xml:space="preserve">mail and newsletters in multiple languages. </w:t>
      </w:r>
    </w:p>
    <w:p w:rsidR="009A76DD" w:rsidRDefault="009A76DD" w:rsidP="009A76DD">
      <w:pPr>
        <w:pStyle w:val="Heading2"/>
      </w:pPr>
      <w:r>
        <w:t>Sustaining Efforts</w:t>
      </w:r>
    </w:p>
    <w:p w:rsidR="009A76DD" w:rsidRDefault="009A76DD" w:rsidP="00EF6A8E">
      <w:pPr>
        <w:pStyle w:val="BodyText"/>
      </w:pPr>
      <w:r>
        <w:t xml:space="preserve">How can schools implement and sustain these promising </w:t>
      </w:r>
      <w:r w:rsidRPr="00AB077E">
        <w:t xml:space="preserve">turnaround </w:t>
      </w:r>
      <w:r w:rsidR="00122DA1" w:rsidRPr="00AB077E">
        <w:t>strategies</w:t>
      </w:r>
      <w:r w:rsidRPr="00AB077E">
        <w:t xml:space="preserve"> after</w:t>
      </w:r>
      <w:r>
        <w:t xml:space="preserve"> exiting turnaround status and losing targeted funds? Reports from exited schools highlight the importance of establishing systems that can be sustained after turnaround, particularly comprehensive multitiered</w:t>
      </w:r>
    </w:p>
    <w:p w:rsidR="000E67E5" w:rsidRPr="0044722B" w:rsidRDefault="008D17EC" w:rsidP="009A76DD">
      <w:pPr>
        <w:pStyle w:val="BodyText"/>
      </w:pPr>
      <w:r>
        <w:rPr>
          <w:noProof/>
        </w:rPr>
        <w:lastRenderedPageBreak/>
        <w:drawing>
          <wp:anchor distT="0" distB="0" distL="114300" distR="114300" simplePos="0" relativeHeight="251670528" behindDoc="0" locked="0" layoutInCell="1" allowOverlap="1">
            <wp:simplePos x="0" y="0"/>
            <wp:positionH relativeFrom="column">
              <wp:posOffset>286385</wp:posOffset>
            </wp:positionH>
            <wp:positionV relativeFrom="paragraph">
              <wp:posOffset>5390515</wp:posOffset>
            </wp:positionV>
            <wp:extent cx="982345" cy="1245235"/>
            <wp:effectExtent l="19050" t="19050" r="27305" b="12065"/>
            <wp:wrapTight wrapText="bothSides">
              <wp:wrapPolygon edited="0">
                <wp:start x="-419" y="-330"/>
                <wp:lineTo x="-419" y="21479"/>
                <wp:lineTo x="21782" y="21479"/>
                <wp:lineTo x="21782" y="-330"/>
                <wp:lineTo x="-419" y="-330"/>
              </wp:wrapPolygon>
            </wp:wrapTight>
            <wp:docPr id="14" name="Picture 14" descr="Image of the turnaround practices field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the turnaround practices field guide"/>
                    <pic:cNvPicPr>
                      <a:picLocks noChangeAspect="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79" t="17317" r="63806" b="12395"/>
                    <a:stretch/>
                  </pic:blipFill>
                  <pic:spPr bwMode="auto">
                    <a:xfrm>
                      <a:off x="0" y="0"/>
                      <a:ext cx="982345" cy="1245235"/>
                    </a:xfrm>
                    <a:prstGeom prst="rect">
                      <a:avLst/>
                    </a:prstGeom>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67F2C">
        <w:rPr>
          <w:noProof/>
        </w:rPr>
        <w:pict>
          <v:roundrect id="Rounded Rectangle 9" o:spid="_x0000_s1030" alt="Title: Other ESE School Turnaround Support Resources - Description: Shows all of the turnaround support resouces related to this study, including the two-part techincal report, the turnaround practices field guide, and the new achievement gain schools videos." style="position:absolute;margin-left:0;margin-top:189.75pt;width:472.95pt;height:474.7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5212f" wrapcoords="1403 0 1130 34 377 444 274 717 34 1092 -34 1467 -34 20201 171 20747 685 21327 1301 21566 1403 21566 20162 21566 20299 21566 20881 21327 21395 20747 21600 20201 21600 1467 21532 1092 21223 580 21189 444 20436 34 20162 0 140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" fillcolor="#7a9fcc" stroked="f" strokeweight="2pt">
            <v:textbox inset=",7.2pt,,0">
              <w:txbxContent>
                <w:p w:rsidR="000E67E5" w:rsidRPr="009A76DD" w:rsidRDefault="008D17EC" w:rsidP="009A76DD">
                  <w:pPr>
                    <w:pStyle w:val="CalloutBoxHeader"/>
                    <w:spacing w:after="240"/>
                    <w:jc w:val="center"/>
                    <w:rPr>
                      <w:color w:val="FFFFFF" w:themeColor="background1"/>
                      <w:sz w:val="32"/>
                      <w:szCs w:val="32"/>
                    </w:rPr>
                  </w:pPr>
                  <w:r>
                    <w:rPr>
                      <w:color w:val="FFFFFF" w:themeColor="background1"/>
                      <w:sz w:val="32"/>
                      <w:szCs w:val="32"/>
                    </w:rPr>
                    <w:t xml:space="preserve">New </w:t>
                  </w:r>
                  <w:r w:rsidR="003F2F9A">
                    <w:rPr>
                      <w:color w:val="FFFFFF" w:themeColor="background1"/>
                      <w:sz w:val="32"/>
                      <w:szCs w:val="32"/>
                    </w:rPr>
                    <w:t xml:space="preserve">2016 </w:t>
                  </w:r>
                  <w:r w:rsidR="00CC6A76">
                    <w:rPr>
                      <w:color w:val="FFFFFF" w:themeColor="background1"/>
                      <w:sz w:val="32"/>
                      <w:szCs w:val="32"/>
                    </w:rPr>
                    <w:t>Turnaround Practices</w:t>
                  </w:r>
                  <w:r w:rsidR="000E67E5" w:rsidRPr="009A76DD">
                    <w:rPr>
                      <w:color w:val="FFFFFF" w:themeColor="background1"/>
                      <w:sz w:val="32"/>
                      <w:szCs w:val="32"/>
                    </w:rPr>
                    <w:t xml:space="preserve"> Resources</w:t>
                  </w:r>
                </w:p>
                <w:p w:rsidR="000E67E5" w:rsidRPr="000E67E5" w:rsidRDefault="000E67E5" w:rsidP="009A76DD">
                  <w:pPr>
                    <w:pStyle w:val="CalloutBoxHeader"/>
                    <w:rPr>
                      <w:rStyle w:val="Heading4Char"/>
                      <w:rFonts w:ascii="Franklin Gothic Demi Cond" w:hAnsi="Franklin Gothic Demi Cond" w:cs="Times New Roman"/>
                      <w:b w:val="0"/>
                      <w:bCs w:val="0"/>
                      <w:i w:val="0"/>
                      <w:iCs w:val="0"/>
                      <w:color w:val="FFFFFF" w:themeColor="background1"/>
                      <w:sz w:val="28"/>
                    </w:rPr>
                  </w:pPr>
                  <w:r w:rsidRPr="000E67E5">
                    <w:rPr>
                      <w:color w:val="FFFFFF" w:themeColor="background1"/>
                    </w:rPr>
                    <w:t>E</w:t>
                  </w:r>
                  <w:r w:rsidRPr="000E67E5">
                    <w:rPr>
                      <w:rStyle w:val="Heading4Char"/>
                      <w:rFonts w:ascii="Franklin Gothic Demi Cond" w:hAnsi="Franklin Gothic Demi Cond" w:cs="Times New Roman"/>
                      <w:b w:val="0"/>
                      <w:bCs w:val="0"/>
                      <w:i w:val="0"/>
                      <w:iCs w:val="0"/>
                      <w:color w:val="FFFFFF" w:themeColor="background1"/>
                      <w:sz w:val="28"/>
                    </w:rPr>
                    <w:t>valuation of Level 4 School Turnaround Efforts in Massachusetts</w:t>
                  </w:r>
                </w:p>
                <w:p w:rsidR="000E67E5" w:rsidRPr="000E67E5" w:rsidRDefault="000E67E5" w:rsidP="009A76DD">
                  <w:pPr>
                    <w:pStyle w:val="BodyTextLongQuote"/>
                    <w:spacing w:after="120"/>
                    <w:ind w:left="0" w:right="58"/>
                    <w:rPr>
                      <w:color w:val="FFFFFF" w:themeColor="background1"/>
                      <w:sz w:val="20"/>
                      <w:szCs w:val="20"/>
                    </w:rPr>
                  </w:pPr>
                  <w:r w:rsidRPr="000E67E5">
                    <w:rPr>
                      <w:color w:val="FFFFFF" w:themeColor="background1"/>
                      <w:sz w:val="20"/>
                      <w:szCs w:val="20"/>
                    </w:rPr>
                    <w:t>This two-part technical report summarizes findings from our implementation and impact studies of SRG schools.</w:t>
                  </w:r>
                </w:p>
                <w:p w:rsidR="000E67E5" w:rsidRPr="000E67E5" w:rsidRDefault="000E67E5" w:rsidP="009A76DD">
                  <w:pPr>
                    <w:pStyle w:val="BodyTextLongQuote"/>
                    <w:spacing w:after="0"/>
                    <w:ind w:left="450" w:right="2466"/>
                    <w:rPr>
                      <w:color w:val="FFFFFF" w:themeColor="background1"/>
                      <w:sz w:val="20"/>
                      <w:szCs w:val="20"/>
                    </w:rPr>
                  </w:pPr>
                  <w:r w:rsidRPr="000E67E5">
                    <w:rPr>
                      <w:color w:val="FFFFFF" w:themeColor="background1"/>
                      <w:sz w:val="20"/>
                      <w:szCs w:val="20"/>
                    </w:rPr>
                    <w:t xml:space="preserve">Part 1: Implementation Study, summarizes the specific </w:t>
                  </w:r>
                  <w:r w:rsidR="00122DA1" w:rsidRPr="00AB077E">
                    <w:rPr>
                      <w:color w:val="FFFFFF" w:themeColor="background1"/>
                      <w:sz w:val="20"/>
                      <w:szCs w:val="20"/>
                    </w:rPr>
                    <w:t>strategies</w:t>
                  </w:r>
                  <w:r w:rsidRPr="000E67E5">
                    <w:rPr>
                      <w:color w:val="FFFFFF" w:themeColor="background1"/>
                      <w:sz w:val="20"/>
                      <w:szCs w:val="20"/>
                    </w:rPr>
                    <w:t xml:space="preserve"> that characterize successful turnaround schools and keys to sustaining improvement efforts</w:t>
                  </w:r>
                </w:p>
                <w:p w:rsidR="000E67E5" w:rsidRPr="000E67E5" w:rsidRDefault="000E67E5" w:rsidP="009A76DD">
                  <w:pPr>
                    <w:pStyle w:val="CalloutBoxText"/>
                    <w:ind w:left="450" w:right="2466"/>
                    <w:rPr>
                      <w:color w:val="FFFFFF" w:themeColor="background1"/>
                      <w:sz w:val="20"/>
                      <w:szCs w:val="20"/>
                    </w:rPr>
                  </w:pPr>
                  <w:r w:rsidRPr="000E67E5">
                    <w:rPr>
                      <w:color w:val="FFFFFF" w:themeColor="background1"/>
                      <w:sz w:val="20"/>
                      <w:szCs w:val="20"/>
                    </w:rPr>
                    <w:t>Part 2: Impact Study, summarizes findings from a comparative interrupted time series analysis of Level 4 SRG schools, as compared to non-SRG schools.</w:t>
                  </w:r>
                </w:p>
                <w:p w:rsidR="000E67E5" w:rsidRPr="000E67E5" w:rsidRDefault="000E67E5" w:rsidP="009A76DD">
                  <w:pPr>
                    <w:pStyle w:val="BodyTextLongQuote"/>
                    <w:spacing w:before="240" w:after="120"/>
                    <w:ind w:left="0"/>
                    <w:rPr>
                      <w:rStyle w:val="Heading4Char"/>
                      <w:rFonts w:ascii="Franklin Gothic Demi Cond" w:hAnsi="Franklin Gothic Demi Cond" w:cs="Times New Roman"/>
                      <w:b w:val="0"/>
                      <w:bCs w:val="0"/>
                      <w:i w:val="0"/>
                      <w:iCs w:val="0"/>
                      <w:color w:val="FFFFFF" w:themeColor="background1"/>
                      <w:sz w:val="28"/>
                    </w:rPr>
                  </w:pPr>
                  <w:r w:rsidRPr="000E67E5">
                    <w:rPr>
                      <w:rStyle w:val="Heading4Char"/>
                      <w:rFonts w:ascii="Franklin Gothic Demi Cond" w:hAnsi="Franklin Gothic Demi Cond" w:cs="Times New Roman"/>
                      <w:b w:val="0"/>
                      <w:bCs w:val="0"/>
                      <w:i w:val="0"/>
                      <w:iCs w:val="0"/>
                      <w:color w:val="FFFFFF" w:themeColor="background1"/>
                      <w:sz w:val="28"/>
                    </w:rPr>
                    <w:t>2016 Massachusetts Turnaround Practices Field Guide</w:t>
                  </w:r>
                </w:p>
                <w:p w:rsidR="000E67E5" w:rsidRPr="000E67E5" w:rsidRDefault="000E67E5" w:rsidP="009A76DD">
                  <w:pPr>
                    <w:pStyle w:val="CalloutBoxText"/>
                    <w:ind w:left="1980" w:right="-43"/>
                    <w:rPr>
                      <w:color w:val="FFFFFF" w:themeColor="background1"/>
                      <w:sz w:val="20"/>
                      <w:szCs w:val="20"/>
                    </w:rPr>
                  </w:pPr>
                  <w:r w:rsidRPr="000E67E5">
                    <w:rPr>
                      <w:color w:val="FFFFFF" w:themeColor="background1"/>
                      <w:sz w:val="20"/>
                      <w:szCs w:val="20"/>
                    </w:rPr>
                    <w:t>This guide, designed for school- and district-level practitioners, describes how successful turnaround schools implement the Massachusetts Turnaround Practices. The guide highlights strategic turnaround actions especially important in the first year of turnaround, and includes four detailed school profiles. Each profile describes how school leaders and staff implemented school-specific strategies that contributed to successful turnaround. Authentic artifacts from each school are included in the Appendix.</w:t>
                  </w:r>
                </w:p>
                <w:p w:rsidR="000E67E5" w:rsidRPr="000E67E5" w:rsidRDefault="000E67E5" w:rsidP="009A76DD">
                  <w:pPr>
                    <w:pStyle w:val="CalloutBoxHeader"/>
                    <w:spacing w:before="240"/>
                    <w:rPr>
                      <w:rStyle w:val="Heading4Char"/>
                      <w:rFonts w:ascii="Franklin Gothic Demi Cond" w:hAnsi="Franklin Gothic Demi Cond" w:cs="Times New Roman"/>
                      <w:b w:val="0"/>
                      <w:bCs w:val="0"/>
                      <w:i w:val="0"/>
                      <w:iCs w:val="0"/>
                      <w:color w:val="FFFFFF" w:themeColor="background1"/>
                      <w:sz w:val="28"/>
                    </w:rPr>
                  </w:pPr>
                  <w:r w:rsidRPr="000E67E5">
                    <w:rPr>
                      <w:rStyle w:val="Heading4Char"/>
                      <w:rFonts w:ascii="Franklin Gothic Demi Cond" w:hAnsi="Franklin Gothic Demi Cond" w:cs="Times New Roman"/>
                      <w:b w:val="0"/>
                      <w:bCs w:val="0"/>
                      <w:i w:val="0"/>
                      <w:iCs w:val="0"/>
                      <w:color w:val="FFFFFF" w:themeColor="background1"/>
                      <w:sz w:val="28"/>
                    </w:rPr>
                    <w:t>Turnaround Practices in Achievement Gain Schools Video Series</w:t>
                  </w:r>
                </w:p>
                <w:p w:rsidR="000E67E5" w:rsidRPr="000E67E5" w:rsidRDefault="000E67E5" w:rsidP="009A76DD">
                  <w:pPr>
                    <w:pStyle w:val="CalloutBoxText"/>
                    <w:ind w:right="2651"/>
                    <w:rPr>
                      <w:rStyle w:val="Heading4Char"/>
                      <w:rFonts w:ascii="Franklin Gothic Book" w:eastAsiaTheme="minorHAnsi" w:hAnsi="Franklin Gothic Book" w:cstheme="minorBidi"/>
                      <w:b w:val="0"/>
                      <w:bCs w:val="0"/>
                      <w:i w:val="0"/>
                      <w:iCs w:val="0"/>
                      <w:color w:val="FFFFFF" w:themeColor="background1"/>
                      <w:sz w:val="20"/>
                      <w:szCs w:val="20"/>
                    </w:rPr>
                  </w:pPr>
                  <w:r w:rsidRPr="000E67E5">
                    <w:rPr>
                      <w:rStyle w:val="Heading4Char"/>
                      <w:rFonts w:ascii="Franklin Gothic Book" w:eastAsiaTheme="minorHAnsi" w:hAnsi="Franklin Gothic Book" w:cstheme="minorBidi"/>
                      <w:b w:val="0"/>
                      <w:bCs w:val="0"/>
                      <w:i w:val="0"/>
                      <w:iCs w:val="0"/>
                      <w:color w:val="FFFFFF" w:themeColor="background1"/>
                      <w:sz w:val="20"/>
                      <w:szCs w:val="20"/>
                    </w:rPr>
                    <w:t>ESE has developed a video series to highlight the work of achievement gain schools. In each video, school staff and leadership tell their unique story through the lens of the four key turnaround practices. Two of the four schools profiled in the field guide (Connery and Union Hill) are featured in new videos for the Achievement Gain Schools series, and a third (Burke High School) had been featured previously.</w:t>
                  </w:r>
                </w:p>
              </w:txbxContent>
            </v:textbox>
            <w10:wrap type="tight"/>
          </v:roundrect>
        </w:pict>
      </w:r>
      <w:r w:rsidR="00967F2C">
        <w:rPr>
          <w:noProof/>
        </w:rPr>
        <w:pict>
          <v:group id="Group 28" o:spid="_x0000_s1031" alt="Image of Part 1 and Part 2 of the full evaluation report." style="position:absolute;margin-left:324.5pt;margin-top:286.8pt;width:126.95pt;height:102.95pt;z-index:251669504;mso-position-horizontal-relative:text;mso-position-vertical-relative:text" coordsize="16125,13077" wrapcoords="-128 0 -128 18920 4473 20181 8563 20181 8563 21442 21600 21442 21600 2523 12653 2523 12653 0 -12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3" type="#_x0000_t75" style="position:absolute;left:6626;top:1590;width:9499;height:11487;visibility:visible;mso-wrap-style:square">
              <v:imagedata r:id="rId17" o:title="" croptop="10201f" cropbottom="10023f" cropleft="9935f" cropright="33507f"/>
              <v:path arrowok="t"/>
            </v:shape>
            <v:shape id="Picture 26" o:spid="_x0000_s1032" type="#_x0000_t75" style="position:absolute;width:9328;height:11487;visibility:visible;mso-wrap-style:square">
              <v:imagedata r:id="rId18" o:title=""/>
              <v:path arrowok="t"/>
            </v:shape>
            <w10:wrap type="tight"/>
          </v:group>
        </w:pict>
      </w:r>
      <w:r>
        <w:rPr>
          <w:noProof/>
        </w:rPr>
        <w:drawing>
          <wp:anchor distT="0" distB="0" distL="114300" distR="114300" simplePos="0" relativeHeight="251671552" behindDoc="0" locked="0" layoutInCell="1" allowOverlap="1">
            <wp:simplePos x="0" y="0"/>
            <wp:positionH relativeFrom="column">
              <wp:posOffset>4187687</wp:posOffset>
            </wp:positionH>
            <wp:positionV relativeFrom="paragraph">
              <wp:posOffset>7220364</wp:posOffset>
            </wp:positionV>
            <wp:extent cx="1593850" cy="914400"/>
            <wp:effectExtent l="0" t="0" r="6350" b="0"/>
            <wp:wrapTight wrapText="bothSides">
              <wp:wrapPolygon edited="0">
                <wp:start x="0" y="0"/>
                <wp:lineTo x="0" y="21150"/>
                <wp:lineTo x="21428" y="21150"/>
                <wp:lineTo x="21428" y="0"/>
                <wp:lineTo x="0" y="0"/>
              </wp:wrapPolygon>
            </wp:wrapTight>
            <wp:docPr id="16" name="Picture 16" descr="Screen grab from one of the achievement gain schools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grab from one of the achievement gain schools videos."/>
                    <pic:cNvPicPr>
                      <a:picLocks noChangeAspect="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193" t="27634" r="45718" b="42407"/>
                    <a:stretch/>
                  </pic:blipFill>
                  <pic:spPr bwMode="auto">
                    <a:xfrm>
                      <a:off x="0" y="0"/>
                      <a:ext cx="1593850" cy="9144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11F92">
        <w:t>systems of support</w:t>
      </w:r>
      <w:r w:rsidR="00BF0248">
        <w:t>,</w:t>
      </w:r>
      <w:r w:rsidR="00D76334">
        <w:t xml:space="preserve"> and </w:t>
      </w:r>
      <w:r w:rsidR="00EF6A8E">
        <w:t xml:space="preserve">prioritizing </w:t>
      </w:r>
      <w:r w:rsidR="00122DA1" w:rsidRPr="00AB077E">
        <w:t xml:space="preserve">specific </w:t>
      </w:r>
      <w:r w:rsidR="00D76334" w:rsidRPr="00AB077E">
        <w:t xml:space="preserve">turnaround </w:t>
      </w:r>
      <w:r w:rsidR="00122DA1" w:rsidRPr="00AB077E">
        <w:t>strategies</w:t>
      </w:r>
      <w:r w:rsidR="00D76334" w:rsidRPr="00AB077E">
        <w:t xml:space="preserve"> once exited</w:t>
      </w:r>
      <w:r w:rsidR="00EF6A8E" w:rsidRPr="00AB077E">
        <w:t xml:space="preserve">. One way </w:t>
      </w:r>
      <w:r w:rsidR="00D76334" w:rsidRPr="00AB077E">
        <w:t xml:space="preserve">some </w:t>
      </w:r>
      <w:r w:rsidR="00EF6A8E" w:rsidRPr="00AB077E">
        <w:t xml:space="preserve">exited schools have </w:t>
      </w:r>
      <w:r w:rsidR="00D76334" w:rsidRPr="00AB077E">
        <w:t xml:space="preserve">successfully sustained </w:t>
      </w:r>
      <w:r w:rsidR="00811F92" w:rsidRPr="00AB077E">
        <w:t xml:space="preserve">key </w:t>
      </w:r>
      <w:r w:rsidR="00122DA1" w:rsidRPr="00AB077E">
        <w:t>strategies</w:t>
      </w:r>
      <w:r w:rsidR="00EF6A8E" w:rsidRPr="00AB077E">
        <w:t xml:space="preserve"> is </w:t>
      </w:r>
      <w:r w:rsidR="00D76334" w:rsidRPr="00AB077E">
        <w:t>by</w:t>
      </w:r>
      <w:r w:rsidR="00EF6A8E" w:rsidRPr="00AB077E">
        <w:t xml:space="preserve"> </w:t>
      </w:r>
      <w:r w:rsidR="00D76334" w:rsidRPr="00AB077E">
        <w:t>incorporating additional</w:t>
      </w:r>
      <w:r w:rsidR="00EF6A8E" w:rsidRPr="00AB077E">
        <w:t xml:space="preserve"> time for instruction, collaboration, and professional development into the</w:t>
      </w:r>
      <w:r w:rsidR="00D76334" w:rsidRPr="00AB077E">
        <w:t xml:space="preserve"> </w:t>
      </w:r>
      <w:r w:rsidR="009C1F52" w:rsidRPr="00AB077E">
        <w:t>school-</w:t>
      </w:r>
      <w:r w:rsidR="00D76334" w:rsidRPr="00AB077E">
        <w:t xml:space="preserve">day and </w:t>
      </w:r>
      <w:r w:rsidR="009C1F52" w:rsidRPr="00AB077E">
        <w:t>school-</w:t>
      </w:r>
      <w:r w:rsidR="00D76334" w:rsidRPr="00AB077E">
        <w:t>year</w:t>
      </w:r>
      <w:r w:rsidR="00EF6A8E" w:rsidRPr="00AB077E">
        <w:t xml:space="preserve"> schedule. </w:t>
      </w:r>
      <w:r w:rsidR="00982AB6" w:rsidRPr="00AB077E">
        <w:t xml:space="preserve">Others have leveraged district staff, systems, and resources to sustain efforts and ensure continued flexibilities and autonomies after exiting Level 4. </w:t>
      </w:r>
      <w:r w:rsidR="00313D58" w:rsidRPr="00AB077E">
        <w:t xml:space="preserve">In addition, continuous improvement schools recognized the limited nature of time, resources, and staff willingness and strategically prioritized continued improvement efforts, whereas less successful schools </w:t>
      </w:r>
      <w:r w:rsidR="00AA72D4" w:rsidRPr="00AB077E">
        <w:t xml:space="preserve">often </w:t>
      </w:r>
      <w:r w:rsidR="00313D58" w:rsidRPr="00AB077E">
        <w:t xml:space="preserve">tried to do it all. </w:t>
      </w:r>
      <w:r w:rsidR="00227F88" w:rsidRPr="00AB077E">
        <w:t xml:space="preserve">Although this work has already begun, as more schools exit Level 4 and move farther away from the SRG-funding period, the exited sample size increases and we can learn more about </w:t>
      </w:r>
      <w:r w:rsidR="00227F88" w:rsidRPr="00AB077E">
        <w:rPr>
          <w:i/>
        </w:rPr>
        <w:t>how</w:t>
      </w:r>
      <w:r w:rsidR="00227F88" w:rsidRPr="00AB077E">
        <w:t xml:space="preserve"> schools sustain improvements over time. </w:t>
      </w:r>
      <w:r w:rsidR="00811F92" w:rsidRPr="00AB077E">
        <w:t xml:space="preserve">Ensuring that schools on the verge of exit have established strong systems and are poised to sustain certain key </w:t>
      </w:r>
      <w:r w:rsidR="00122DA1" w:rsidRPr="00AB077E">
        <w:t>strategies</w:t>
      </w:r>
      <w:r w:rsidR="00811F92">
        <w:t xml:space="preserve"> is critical to increasing the likelihood that targeted supports, such as SRGs, consistently lead to </w:t>
      </w:r>
      <w:r w:rsidR="009C1F52">
        <w:t>long-</w:t>
      </w:r>
      <w:r w:rsidR="00811F92">
        <w:t xml:space="preserve">term success and continuous improvement. </w:t>
      </w:r>
    </w:p>
    <w:sectPr w:rsidR="000E67E5" w:rsidRPr="0044722B" w:rsidSect="00AA72D4">
      <w:headerReference w:type="even" r:id="rId20"/>
      <w:headerReference w:type="default" r:id="rId21"/>
      <w:footerReference w:type="even" r:id="rId22"/>
      <w:footerReference w:type="default" r:id="rId23"/>
      <w:headerReference w:type="first" r:id="rId24"/>
      <w:footerReference w:type="first" r:id="rId25"/>
      <w:pgSz w:w="12240" w:h="15840"/>
      <w:pgMar w:top="1440" w:right="1350" w:bottom="990" w:left="144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A1" w:rsidRDefault="008D7CA1" w:rsidP="00B847FE">
      <w:r>
        <w:separator/>
      </w:r>
    </w:p>
  </w:endnote>
  <w:endnote w:type="continuationSeparator" w:id="0">
    <w:p w:rsidR="008D7CA1" w:rsidRDefault="008D7CA1" w:rsidP="00B847FE">
      <w:r>
        <w:continuationSeparator/>
      </w:r>
    </w:p>
  </w:endnote>
  <w:endnote w:type="continuationNotice" w:id="1">
    <w:p w:rsidR="008D7CA1" w:rsidRDefault="008D7C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06" w:rsidRDefault="00025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67660"/>
      <w:docPartObj>
        <w:docPartGallery w:val="Page Numbers (Bottom of Page)"/>
        <w:docPartUnique/>
      </w:docPartObj>
    </w:sdtPr>
    <w:sdtEndPr>
      <w:rPr>
        <w:noProof/>
        <w:color w:val="B8CCE4"/>
      </w:rPr>
    </w:sdtEndPr>
    <w:sdtContent>
      <w:bookmarkStart w:id="0" w:name="_GoBack" w:displacedByCustomXml="prev"/>
      <w:bookmarkEnd w:id="0" w:displacedByCustomXml="prev"/>
      <w:p w:rsidR="00FC77D7" w:rsidRDefault="00FC77D7" w:rsidP="005A349B">
        <w:pPr>
          <w:pStyle w:val="Footer"/>
          <w:tabs>
            <w:tab w:val="left" w:pos="450"/>
          </w:tabs>
          <w:jc w:val="right"/>
        </w:pPr>
      </w:p>
      <w:p w:rsidR="00FC77D7" w:rsidRDefault="00FC77D7" w:rsidP="005A349B">
        <w:pPr>
          <w:pStyle w:val="Footer"/>
          <w:tabs>
            <w:tab w:val="left" w:pos="450"/>
          </w:tabs>
          <w:jc w:val="right"/>
        </w:pPr>
        <w:r>
          <w:rPr>
            <w:noProof/>
          </w:rPr>
          <w:drawing>
            <wp:anchor distT="0" distB="0" distL="114300" distR="114300" simplePos="0" relativeHeight="251658240" behindDoc="1" locked="0" layoutInCell="1" allowOverlap="1">
              <wp:simplePos x="0" y="0"/>
              <wp:positionH relativeFrom="column">
                <wp:posOffset>-933450</wp:posOffset>
              </wp:positionH>
              <wp:positionV relativeFrom="paragraph">
                <wp:posOffset>13970</wp:posOffset>
              </wp:positionV>
              <wp:extent cx="7378700" cy="466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 turnaround foot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78700" cy="466090"/>
                      </a:xfrm>
                      <a:prstGeom prst="rect">
                        <a:avLst/>
                      </a:prstGeom>
                    </pic:spPr>
                  </pic:pic>
                </a:graphicData>
              </a:graphic>
            </wp:anchor>
          </w:drawing>
        </w:r>
      </w:p>
      <w:p w:rsidR="00FC77D7" w:rsidRPr="00D62D05" w:rsidRDefault="00122DA1" w:rsidP="0099304F">
        <w:pPr>
          <w:pStyle w:val="Footer"/>
          <w:tabs>
            <w:tab w:val="clear" w:pos="5040"/>
            <w:tab w:val="left" w:pos="450"/>
          </w:tabs>
        </w:pPr>
        <w:r>
          <w:rPr>
            <w:color w:val="B8CCE4"/>
          </w:rPr>
          <w:t>Strategies</w:t>
        </w:r>
        <w:r w:rsidR="00B00D27" w:rsidRPr="00B00D27">
          <w:rPr>
            <w:color w:val="B8CCE4"/>
          </w:rPr>
          <w:t xml:space="preserve"> that Characterize Successful Turnaround Schools</w:t>
        </w:r>
        <w:r w:rsidR="0099304F">
          <w:rPr>
            <w:color w:val="B8CCE4"/>
          </w:rPr>
          <w:t xml:space="preserve"> (</w:t>
        </w:r>
        <w:r w:rsidR="00025A06">
          <w:rPr>
            <w:color w:val="B8CCE4"/>
          </w:rPr>
          <w:t>September</w:t>
        </w:r>
        <w:r w:rsidR="006257A7">
          <w:rPr>
            <w:color w:val="B8CCE4"/>
          </w:rPr>
          <w:t xml:space="preserve"> 2016</w:t>
        </w:r>
        <w:r w:rsidR="0099304F">
          <w:rPr>
            <w:color w:val="B8CCE4"/>
          </w:rPr>
          <w:t>)</w:t>
        </w:r>
        <w:r w:rsidR="00FC77D7" w:rsidRPr="005A349B">
          <w:rPr>
            <w:color w:val="FFFFFF" w:themeColor="background1"/>
          </w:rPr>
          <w:tab/>
        </w:r>
        <w:r w:rsidR="00FC77D7" w:rsidRPr="005A349B">
          <w:rPr>
            <w:color w:val="B8CCE4"/>
          </w:rPr>
          <w:t xml:space="preserve">| </w:t>
        </w:r>
        <w:r w:rsidR="00967F2C" w:rsidRPr="005A349B">
          <w:rPr>
            <w:color w:val="B8CCE4"/>
          </w:rPr>
          <w:fldChar w:fldCharType="begin"/>
        </w:r>
        <w:r w:rsidR="00FC77D7" w:rsidRPr="005A349B">
          <w:rPr>
            <w:color w:val="B8CCE4"/>
          </w:rPr>
          <w:instrText xml:space="preserve"> PAGE   \* MERGEFORMAT </w:instrText>
        </w:r>
        <w:r w:rsidR="00967F2C" w:rsidRPr="005A349B">
          <w:rPr>
            <w:color w:val="B8CCE4"/>
          </w:rPr>
          <w:fldChar w:fldCharType="separate"/>
        </w:r>
        <w:r w:rsidR="0095251A">
          <w:rPr>
            <w:noProof/>
            <w:color w:val="B8CCE4"/>
          </w:rPr>
          <w:t>2</w:t>
        </w:r>
        <w:r w:rsidR="00967F2C" w:rsidRPr="005A349B">
          <w:rPr>
            <w:noProof/>
            <w:color w:val="B8CCE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06" w:rsidRDefault="00025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A1" w:rsidRDefault="008D7CA1" w:rsidP="00B847FE">
      <w:r>
        <w:separator/>
      </w:r>
    </w:p>
  </w:footnote>
  <w:footnote w:type="continuationSeparator" w:id="0">
    <w:p w:rsidR="008D7CA1" w:rsidRDefault="008D7CA1" w:rsidP="00B84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06" w:rsidRDefault="00025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06" w:rsidRDefault="00025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06" w:rsidRDefault="00025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E4E"/>
    <w:multiLevelType w:val="multilevel"/>
    <w:tmpl w:val="920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80D3A"/>
    <w:multiLevelType w:val="hybridMultilevel"/>
    <w:tmpl w:val="F5A8C8DC"/>
    <w:lvl w:ilvl="0" w:tplc="517ED792">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103C1"/>
    <w:multiLevelType w:val="hybridMultilevel"/>
    <w:tmpl w:val="78061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57B1F"/>
    <w:multiLevelType w:val="hybridMultilevel"/>
    <w:tmpl w:val="EA649038"/>
    <w:lvl w:ilvl="0" w:tplc="EB6AEC9E">
      <w:start w:val="16"/>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77036"/>
    <w:multiLevelType w:val="hybridMultilevel"/>
    <w:tmpl w:val="1A34A19E"/>
    <w:lvl w:ilvl="0" w:tplc="D3FCE5AE">
      <w:start w:val="1"/>
      <w:numFmt w:val="upperRoman"/>
      <w:lvlText w:val="%1."/>
      <w:lvlJc w:val="left"/>
      <w:pPr>
        <w:ind w:left="1530" w:hanging="360"/>
      </w:pPr>
      <w:rPr>
        <w:rFonts w:ascii="Franklin Gothic Demi" w:hAnsi="Franklin Gothic Dem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F41EC"/>
    <w:multiLevelType w:val="hybridMultilevel"/>
    <w:tmpl w:val="35345DE2"/>
    <w:lvl w:ilvl="0" w:tplc="32348304">
      <w:start w:val="1"/>
      <w:numFmt w:val="decimal"/>
      <w:pStyle w:val="NumberedList"/>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D7363"/>
    <w:multiLevelType w:val="hybridMultilevel"/>
    <w:tmpl w:val="23585C0A"/>
    <w:lvl w:ilvl="0" w:tplc="891EB4AE">
      <w:start w:val="1"/>
      <w:numFmt w:val="bullet"/>
      <w:pStyle w:val="BulletedListLevel1"/>
      <w:lvlText w:val=""/>
      <w:lvlJc w:val="left"/>
      <w:pPr>
        <w:ind w:left="720" w:hanging="360"/>
      </w:pPr>
      <w:rPr>
        <w:rFonts w:ascii="Symbol" w:hAnsi="Symbol" w:hint="default"/>
        <w:color w:val="002C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7"/>
  </w:num>
  <w:num w:numId="6">
    <w:abstractNumId w:val="7"/>
  </w:num>
  <w:num w:numId="7">
    <w:abstractNumId w:val="6"/>
  </w:num>
  <w:num w:numId="8">
    <w:abstractNumId w:val="1"/>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1021"/>
  <w:stylePaneSortMethod w:val="0000"/>
  <w:defaultTabStop w:val="720"/>
  <w:characterSpacingControl w:val="doNotCompress"/>
  <w:hdrShapeDefaults>
    <o:shapedefaults v:ext="edit" spidmax="32769"/>
  </w:hdrShapeDefaults>
  <w:footnotePr>
    <w:footnote w:id="-1"/>
    <w:footnote w:id="0"/>
  </w:footnotePr>
  <w:endnotePr>
    <w:endnote w:id="-1"/>
    <w:endnote w:id="0"/>
    <w:endnote w:id="1"/>
  </w:endnotePr>
  <w:compat/>
  <w:rsids>
    <w:rsidRoot w:val="000C2382"/>
    <w:rsid w:val="00025A06"/>
    <w:rsid w:val="00034B7B"/>
    <w:rsid w:val="0005305C"/>
    <w:rsid w:val="00096A95"/>
    <w:rsid w:val="000B1ED0"/>
    <w:rsid w:val="000C2382"/>
    <w:rsid w:val="000E67E5"/>
    <w:rsid w:val="000F7D55"/>
    <w:rsid w:val="00106ACF"/>
    <w:rsid w:val="0011005D"/>
    <w:rsid w:val="00111B98"/>
    <w:rsid w:val="00122DA1"/>
    <w:rsid w:val="00153EF5"/>
    <w:rsid w:val="001669A1"/>
    <w:rsid w:val="00180FA5"/>
    <w:rsid w:val="001A6C15"/>
    <w:rsid w:val="001A75E4"/>
    <w:rsid w:val="001F085A"/>
    <w:rsid w:val="001F33C4"/>
    <w:rsid w:val="002008FE"/>
    <w:rsid w:val="00206261"/>
    <w:rsid w:val="00213DDA"/>
    <w:rsid w:val="00227F88"/>
    <w:rsid w:val="002332DC"/>
    <w:rsid w:val="00245911"/>
    <w:rsid w:val="00246E05"/>
    <w:rsid w:val="002503E3"/>
    <w:rsid w:val="002541DD"/>
    <w:rsid w:val="00272A2A"/>
    <w:rsid w:val="00283BAF"/>
    <w:rsid w:val="00296853"/>
    <w:rsid w:val="002C0959"/>
    <w:rsid w:val="002C1C0A"/>
    <w:rsid w:val="002E465F"/>
    <w:rsid w:val="00301783"/>
    <w:rsid w:val="00303070"/>
    <w:rsid w:val="00313D58"/>
    <w:rsid w:val="00315D8A"/>
    <w:rsid w:val="00356ED0"/>
    <w:rsid w:val="00362372"/>
    <w:rsid w:val="00375DA8"/>
    <w:rsid w:val="00384C3F"/>
    <w:rsid w:val="003922B8"/>
    <w:rsid w:val="00392E0E"/>
    <w:rsid w:val="003A7C22"/>
    <w:rsid w:val="003C3A63"/>
    <w:rsid w:val="003F2F9A"/>
    <w:rsid w:val="00400DB9"/>
    <w:rsid w:val="00413B1C"/>
    <w:rsid w:val="00434759"/>
    <w:rsid w:val="00437CC7"/>
    <w:rsid w:val="0044722B"/>
    <w:rsid w:val="004713EB"/>
    <w:rsid w:val="00495393"/>
    <w:rsid w:val="00496850"/>
    <w:rsid w:val="00497F90"/>
    <w:rsid w:val="004A1B0A"/>
    <w:rsid w:val="004B387D"/>
    <w:rsid w:val="004D08DC"/>
    <w:rsid w:val="004D77CE"/>
    <w:rsid w:val="00503D4E"/>
    <w:rsid w:val="00511139"/>
    <w:rsid w:val="0052453B"/>
    <w:rsid w:val="00526FC5"/>
    <w:rsid w:val="00537061"/>
    <w:rsid w:val="00550197"/>
    <w:rsid w:val="00554F1B"/>
    <w:rsid w:val="005830A4"/>
    <w:rsid w:val="005A349B"/>
    <w:rsid w:val="005B5A29"/>
    <w:rsid w:val="005B724B"/>
    <w:rsid w:val="005C13DC"/>
    <w:rsid w:val="005C1D8E"/>
    <w:rsid w:val="005E7D6F"/>
    <w:rsid w:val="0061267A"/>
    <w:rsid w:val="006143BD"/>
    <w:rsid w:val="00614F81"/>
    <w:rsid w:val="006257A7"/>
    <w:rsid w:val="006448AA"/>
    <w:rsid w:val="0064552D"/>
    <w:rsid w:val="0065026B"/>
    <w:rsid w:val="00652F52"/>
    <w:rsid w:val="00654CD4"/>
    <w:rsid w:val="00662377"/>
    <w:rsid w:val="00664FD4"/>
    <w:rsid w:val="00673080"/>
    <w:rsid w:val="00677959"/>
    <w:rsid w:val="00691067"/>
    <w:rsid w:val="00692869"/>
    <w:rsid w:val="006B4116"/>
    <w:rsid w:val="006B5BCF"/>
    <w:rsid w:val="006D45E3"/>
    <w:rsid w:val="006E73A8"/>
    <w:rsid w:val="006F691E"/>
    <w:rsid w:val="00706EAC"/>
    <w:rsid w:val="00707A8B"/>
    <w:rsid w:val="00731323"/>
    <w:rsid w:val="0079204B"/>
    <w:rsid w:val="007D7352"/>
    <w:rsid w:val="00802A71"/>
    <w:rsid w:val="00811F92"/>
    <w:rsid w:val="008405F9"/>
    <w:rsid w:val="00847D20"/>
    <w:rsid w:val="00887231"/>
    <w:rsid w:val="008A2D66"/>
    <w:rsid w:val="008B16AA"/>
    <w:rsid w:val="008B67B6"/>
    <w:rsid w:val="008D17EC"/>
    <w:rsid w:val="008D7A46"/>
    <w:rsid w:val="008D7CA1"/>
    <w:rsid w:val="008E62B7"/>
    <w:rsid w:val="008E7479"/>
    <w:rsid w:val="008F52F6"/>
    <w:rsid w:val="008F5863"/>
    <w:rsid w:val="00905FCA"/>
    <w:rsid w:val="0092211C"/>
    <w:rsid w:val="00922D5D"/>
    <w:rsid w:val="009378C9"/>
    <w:rsid w:val="00950515"/>
    <w:rsid w:val="009521FB"/>
    <w:rsid w:val="0095251A"/>
    <w:rsid w:val="00967F2C"/>
    <w:rsid w:val="00982AB6"/>
    <w:rsid w:val="0099304F"/>
    <w:rsid w:val="009974B3"/>
    <w:rsid w:val="009A76DD"/>
    <w:rsid w:val="009C1F52"/>
    <w:rsid w:val="009E39C5"/>
    <w:rsid w:val="009F5EF9"/>
    <w:rsid w:val="009F6B03"/>
    <w:rsid w:val="00A416A9"/>
    <w:rsid w:val="00A53DB7"/>
    <w:rsid w:val="00A94074"/>
    <w:rsid w:val="00AA4089"/>
    <w:rsid w:val="00AA72D4"/>
    <w:rsid w:val="00AB077E"/>
    <w:rsid w:val="00AC3047"/>
    <w:rsid w:val="00AE4612"/>
    <w:rsid w:val="00B00D27"/>
    <w:rsid w:val="00B042F1"/>
    <w:rsid w:val="00B07555"/>
    <w:rsid w:val="00B518F7"/>
    <w:rsid w:val="00B847FE"/>
    <w:rsid w:val="00B96919"/>
    <w:rsid w:val="00B96EB3"/>
    <w:rsid w:val="00BC6AF9"/>
    <w:rsid w:val="00BD42F9"/>
    <w:rsid w:val="00BE6672"/>
    <w:rsid w:val="00BF0248"/>
    <w:rsid w:val="00BF024A"/>
    <w:rsid w:val="00BF4B91"/>
    <w:rsid w:val="00C114A8"/>
    <w:rsid w:val="00C50BB5"/>
    <w:rsid w:val="00C51CF5"/>
    <w:rsid w:val="00C6240F"/>
    <w:rsid w:val="00C95B90"/>
    <w:rsid w:val="00CA5427"/>
    <w:rsid w:val="00CC22E5"/>
    <w:rsid w:val="00CC3370"/>
    <w:rsid w:val="00CC3399"/>
    <w:rsid w:val="00CC6A76"/>
    <w:rsid w:val="00CD29B5"/>
    <w:rsid w:val="00D10EB9"/>
    <w:rsid w:val="00D62D05"/>
    <w:rsid w:val="00D6519F"/>
    <w:rsid w:val="00D669C7"/>
    <w:rsid w:val="00D76334"/>
    <w:rsid w:val="00DB64A2"/>
    <w:rsid w:val="00DC40A0"/>
    <w:rsid w:val="00DC53CA"/>
    <w:rsid w:val="00DE1A96"/>
    <w:rsid w:val="00DF08A6"/>
    <w:rsid w:val="00DF572C"/>
    <w:rsid w:val="00E30012"/>
    <w:rsid w:val="00E31375"/>
    <w:rsid w:val="00E31F06"/>
    <w:rsid w:val="00E8645E"/>
    <w:rsid w:val="00E97F92"/>
    <w:rsid w:val="00EB33BE"/>
    <w:rsid w:val="00EF6A8E"/>
    <w:rsid w:val="00F259E3"/>
    <w:rsid w:val="00F3099D"/>
    <w:rsid w:val="00F3549A"/>
    <w:rsid w:val="00F40558"/>
    <w:rsid w:val="00F40806"/>
    <w:rsid w:val="00F67F5B"/>
    <w:rsid w:val="00F81FDB"/>
    <w:rsid w:val="00F950F1"/>
    <w:rsid w:val="00FC42C1"/>
    <w:rsid w:val="00FC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9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400DB9"/>
    <w:pPr>
      <w:keepNext/>
      <w:tabs>
        <w:tab w:val="left" w:pos="540"/>
      </w:tabs>
      <w:spacing w:after="240" w:line="240" w:lineRule="auto"/>
      <w:outlineLvl w:val="0"/>
    </w:pPr>
    <w:rPr>
      <w:rFonts w:ascii="Franklin Gothic Demi Cond" w:eastAsiaTheme="majorEastAsia" w:hAnsi="Franklin Gothic Demi Cond" w:cstheme="majorBidi"/>
      <w:bCs/>
      <w:color w:val="002C5F"/>
      <w:sz w:val="48"/>
      <w:szCs w:val="40"/>
    </w:rPr>
  </w:style>
  <w:style w:type="paragraph" w:styleId="Heading2">
    <w:name w:val="heading 2"/>
    <w:next w:val="Normal"/>
    <w:link w:val="Heading2Char"/>
    <w:uiPriority w:val="9"/>
    <w:unhideWhenUsed/>
    <w:qFormat/>
    <w:rsid w:val="00922D5D"/>
    <w:pPr>
      <w:keepNext/>
      <w:spacing w:line="240" w:lineRule="auto"/>
      <w:outlineLvl w:val="1"/>
    </w:pPr>
    <w:rPr>
      <w:rFonts w:ascii="Franklin Gothic Demi" w:eastAsiaTheme="majorEastAsia" w:hAnsi="Franklin Gothic Demi" w:cstheme="majorBidi"/>
      <w:bCs/>
      <w:color w:val="002C5F"/>
      <w:sz w:val="40"/>
      <w:szCs w:val="26"/>
    </w:rPr>
  </w:style>
  <w:style w:type="paragraph" w:styleId="Heading3">
    <w:name w:val="heading 3"/>
    <w:next w:val="Normal"/>
    <w:link w:val="Heading3Char"/>
    <w:uiPriority w:val="9"/>
    <w:unhideWhenUsed/>
    <w:qFormat/>
    <w:rsid w:val="00400DB9"/>
    <w:pPr>
      <w:keepNext/>
      <w:spacing w:after="120" w:line="240" w:lineRule="auto"/>
      <w:outlineLvl w:val="2"/>
    </w:pPr>
    <w:rPr>
      <w:rFonts w:ascii="Franklin Gothic Medium" w:eastAsiaTheme="majorEastAsia" w:hAnsi="Franklin Gothic Medium" w:cstheme="majorBidi"/>
      <w:bCs/>
      <w:color w:val="002C5F"/>
      <w:sz w:val="32"/>
    </w:rPr>
  </w:style>
  <w:style w:type="paragraph" w:styleId="Heading4">
    <w:name w:val="heading 4"/>
    <w:basedOn w:val="Normal"/>
    <w:next w:val="Normal"/>
    <w:link w:val="Heading4Char"/>
    <w:uiPriority w:val="9"/>
    <w:unhideWhenUsed/>
    <w:qFormat/>
    <w:rsid w:val="00F3549A"/>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982AB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82AB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82AB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82A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0A"/>
    <w:pPr>
      <w:spacing w:before="100" w:beforeAutospacing="1" w:after="100" w:afterAutospacing="1"/>
    </w:pPr>
  </w:style>
  <w:style w:type="character" w:styleId="Strong">
    <w:name w:val="Strong"/>
    <w:basedOn w:val="DefaultParagraphFont"/>
    <w:uiPriority w:val="22"/>
    <w:qFormat/>
    <w:rsid w:val="002C1C0A"/>
    <w:rPr>
      <w:b/>
      <w:bCs/>
    </w:rPr>
  </w:style>
  <w:style w:type="paragraph" w:styleId="FootnoteText">
    <w:name w:val="footnote text"/>
    <w:link w:val="FootnoteTextChar"/>
    <w:uiPriority w:val="99"/>
    <w:rsid w:val="00F3549A"/>
    <w:pPr>
      <w:spacing w:after="0" w:line="240" w:lineRule="auto"/>
    </w:pPr>
    <w:rPr>
      <w:rFonts w:ascii="Franklin Gothic Book" w:eastAsia="Times New Roman" w:hAnsi="Franklin Gothic Book" w:cs="Times New Roman"/>
      <w:sz w:val="18"/>
      <w:szCs w:val="20"/>
    </w:rPr>
  </w:style>
  <w:style w:type="character" w:customStyle="1" w:styleId="FootnoteTextChar">
    <w:name w:val="Footnote Text Char"/>
    <w:basedOn w:val="DefaultParagraphFont"/>
    <w:link w:val="FootnoteText"/>
    <w:uiPriority w:val="99"/>
    <w:rsid w:val="00F3549A"/>
    <w:rPr>
      <w:rFonts w:ascii="Franklin Gothic Book" w:eastAsia="Times New Roman" w:hAnsi="Franklin Gothic Book" w:cs="Times New Roman"/>
      <w:sz w:val="18"/>
      <w:szCs w:val="20"/>
    </w:rPr>
  </w:style>
  <w:style w:type="character" w:styleId="FootnoteReference">
    <w:name w:val="footnote reference"/>
    <w:basedOn w:val="DefaultParagraphFont"/>
    <w:uiPriority w:val="99"/>
    <w:rsid w:val="00F3549A"/>
    <w:rPr>
      <w:vertAlign w:val="baseline"/>
    </w:rPr>
  </w:style>
  <w:style w:type="paragraph" w:styleId="EndnoteText">
    <w:name w:val="endnote text"/>
    <w:basedOn w:val="Normal"/>
    <w:link w:val="EndnoteTextChar"/>
    <w:uiPriority w:val="99"/>
    <w:semiHidden/>
    <w:unhideWhenUsed/>
    <w:rsid w:val="00B847FE"/>
    <w:rPr>
      <w:sz w:val="20"/>
      <w:szCs w:val="20"/>
    </w:rPr>
  </w:style>
  <w:style w:type="character" w:customStyle="1" w:styleId="EndnoteTextChar">
    <w:name w:val="Endnote Text Char"/>
    <w:basedOn w:val="DefaultParagraphFont"/>
    <w:link w:val="EndnoteText"/>
    <w:uiPriority w:val="99"/>
    <w:semiHidden/>
    <w:rsid w:val="00B847FE"/>
    <w:rPr>
      <w:sz w:val="20"/>
      <w:szCs w:val="20"/>
    </w:rPr>
  </w:style>
  <w:style w:type="character" w:styleId="EndnoteReference">
    <w:name w:val="endnote reference"/>
    <w:basedOn w:val="DefaultParagraphFont"/>
    <w:uiPriority w:val="99"/>
    <w:semiHidden/>
    <w:unhideWhenUsed/>
    <w:rsid w:val="00B847FE"/>
    <w:rPr>
      <w:vertAlign w:val="superscript"/>
    </w:rPr>
  </w:style>
  <w:style w:type="paragraph" w:styleId="Header">
    <w:name w:val="header"/>
    <w:basedOn w:val="Normal"/>
    <w:link w:val="HeaderChar"/>
    <w:rsid w:val="00F3549A"/>
    <w:pPr>
      <w:tabs>
        <w:tab w:val="center" w:pos="4680"/>
        <w:tab w:val="right" w:pos="9360"/>
      </w:tabs>
    </w:pPr>
  </w:style>
  <w:style w:type="character" w:customStyle="1" w:styleId="HeaderChar">
    <w:name w:val="Header Char"/>
    <w:basedOn w:val="DefaultParagraphFont"/>
    <w:link w:val="Header"/>
    <w:rsid w:val="00F3549A"/>
    <w:rPr>
      <w:rFonts w:ascii="Times New Roman" w:eastAsia="Times New Roman" w:hAnsi="Times New Roman" w:cs="Times New Roman"/>
      <w:sz w:val="24"/>
      <w:szCs w:val="24"/>
    </w:rPr>
  </w:style>
  <w:style w:type="paragraph" w:styleId="Footer">
    <w:name w:val="footer"/>
    <w:basedOn w:val="Normal"/>
    <w:link w:val="FooterChar"/>
    <w:uiPriority w:val="99"/>
    <w:qFormat/>
    <w:rsid w:val="005A349B"/>
    <w:pPr>
      <w:tabs>
        <w:tab w:val="center" w:pos="5040"/>
        <w:tab w:val="right" w:pos="9360"/>
      </w:tabs>
    </w:pPr>
    <w:rPr>
      <w:rFonts w:ascii="Franklin Gothic Book" w:hAnsi="Franklin Gothic Book" w:cs="Arial"/>
      <w:sz w:val="20"/>
      <w:szCs w:val="20"/>
    </w:rPr>
  </w:style>
  <w:style w:type="character" w:customStyle="1" w:styleId="FooterChar">
    <w:name w:val="Footer Char"/>
    <w:basedOn w:val="DefaultParagraphFont"/>
    <w:link w:val="Footer"/>
    <w:uiPriority w:val="99"/>
    <w:rsid w:val="005A349B"/>
    <w:rPr>
      <w:rFonts w:ascii="Franklin Gothic Book" w:eastAsia="Times New Roman" w:hAnsi="Franklin Gothic Book" w:cs="Arial"/>
      <w:sz w:val="20"/>
      <w:szCs w:val="20"/>
    </w:rPr>
  </w:style>
  <w:style w:type="character" w:customStyle="1" w:styleId="apple-converted-space">
    <w:name w:val="apple-converted-space"/>
    <w:basedOn w:val="DefaultParagraphFont"/>
    <w:rsid w:val="00096A95"/>
  </w:style>
  <w:style w:type="paragraph" w:styleId="ListParagraph">
    <w:name w:val="List Paragraph"/>
    <w:basedOn w:val="Normal"/>
    <w:uiPriority w:val="34"/>
    <w:qFormat/>
    <w:rsid w:val="00F3549A"/>
    <w:pPr>
      <w:ind w:left="720"/>
    </w:pPr>
    <w:rPr>
      <w:rFonts w:ascii="Calibri" w:eastAsiaTheme="minorHAnsi" w:hAnsi="Calibri" w:cs="Calibri"/>
      <w:sz w:val="22"/>
      <w:szCs w:val="22"/>
    </w:rPr>
  </w:style>
  <w:style w:type="paragraph" w:styleId="BalloonText">
    <w:name w:val="Balloon Text"/>
    <w:basedOn w:val="Normal"/>
    <w:link w:val="BalloonTextChar"/>
    <w:rsid w:val="00F3549A"/>
    <w:rPr>
      <w:rFonts w:ascii="Tahoma" w:hAnsi="Tahoma" w:cs="Tahoma"/>
      <w:sz w:val="16"/>
      <w:szCs w:val="16"/>
    </w:rPr>
  </w:style>
  <w:style w:type="character" w:customStyle="1" w:styleId="BalloonTextChar">
    <w:name w:val="Balloon Text Char"/>
    <w:basedOn w:val="DefaultParagraphFont"/>
    <w:link w:val="BalloonText"/>
    <w:rsid w:val="00F3549A"/>
    <w:rPr>
      <w:rFonts w:ascii="Tahoma" w:eastAsia="Times New Roman" w:hAnsi="Tahoma" w:cs="Tahoma"/>
      <w:sz w:val="16"/>
      <w:szCs w:val="16"/>
    </w:rPr>
  </w:style>
  <w:style w:type="character" w:styleId="CommentReference">
    <w:name w:val="annotation reference"/>
    <w:basedOn w:val="DefaultParagraphFont"/>
    <w:uiPriority w:val="99"/>
    <w:rsid w:val="00F3549A"/>
    <w:rPr>
      <w:sz w:val="16"/>
      <w:szCs w:val="16"/>
    </w:rPr>
  </w:style>
  <w:style w:type="paragraph" w:styleId="CommentText">
    <w:name w:val="annotation text"/>
    <w:basedOn w:val="Normal"/>
    <w:link w:val="CommentTextChar"/>
    <w:uiPriority w:val="99"/>
    <w:rsid w:val="00F3549A"/>
    <w:rPr>
      <w:sz w:val="20"/>
      <w:szCs w:val="20"/>
    </w:rPr>
  </w:style>
  <w:style w:type="character" w:customStyle="1" w:styleId="CommentTextChar">
    <w:name w:val="Comment Text Char"/>
    <w:basedOn w:val="DefaultParagraphFont"/>
    <w:link w:val="CommentText"/>
    <w:uiPriority w:val="99"/>
    <w:rsid w:val="00F35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3549A"/>
    <w:rPr>
      <w:b/>
      <w:bCs/>
    </w:rPr>
  </w:style>
  <w:style w:type="character" w:customStyle="1" w:styleId="CommentSubjectChar">
    <w:name w:val="Comment Subject Char"/>
    <w:basedOn w:val="CommentTextChar"/>
    <w:link w:val="CommentSubject"/>
    <w:rsid w:val="00F3549A"/>
    <w:rPr>
      <w:rFonts w:ascii="Times New Roman" w:eastAsia="Times New Roman" w:hAnsi="Times New Roman" w:cs="Times New Roman"/>
      <w:b/>
      <w:bCs/>
      <w:sz w:val="20"/>
      <w:szCs w:val="20"/>
    </w:rPr>
  </w:style>
  <w:style w:type="paragraph" w:styleId="Revision">
    <w:name w:val="Revision"/>
    <w:hidden/>
    <w:uiPriority w:val="99"/>
    <w:semiHidden/>
    <w:rsid w:val="006F691E"/>
    <w:pPr>
      <w:spacing w:after="0" w:line="240" w:lineRule="auto"/>
    </w:pPr>
  </w:style>
  <w:style w:type="paragraph" w:customStyle="1" w:styleId="AboutAIRLocations">
    <w:name w:val="About AIR Locations"/>
    <w:qFormat/>
    <w:rsid w:val="00F3549A"/>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F3549A"/>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F3549A"/>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rPr>
  </w:style>
  <w:style w:type="paragraph" w:customStyle="1" w:styleId="AppendixHeader">
    <w:name w:val="Appendix Header"/>
    <w:qFormat/>
    <w:rsid w:val="00F3549A"/>
    <w:pPr>
      <w:spacing w:after="240" w:line="240" w:lineRule="auto"/>
    </w:pPr>
    <w:rPr>
      <w:rFonts w:ascii="Franklin Gothic Demi" w:hAnsi="Franklin Gothic Demi" w:cstheme="majorBidi"/>
      <w:bCs/>
      <w:color w:val="808080"/>
      <w:sz w:val="26"/>
      <w:szCs w:val="26"/>
    </w:rPr>
  </w:style>
  <w:style w:type="paragraph" w:customStyle="1" w:styleId="AppendixSubhead">
    <w:name w:val="Appendix Subhead"/>
    <w:qFormat/>
    <w:rsid w:val="00F3549A"/>
    <w:pPr>
      <w:spacing w:after="120" w:line="240" w:lineRule="auto"/>
    </w:pPr>
    <w:rPr>
      <w:rFonts w:ascii="Franklin Gothic Demi" w:hAnsi="Franklin Gothic Demi" w:cstheme="majorBidi"/>
      <w:bCs/>
      <w:i/>
      <w:color w:val="868687"/>
    </w:rPr>
  </w:style>
  <w:style w:type="paragraph" w:styleId="BodyText">
    <w:name w:val="Body Text"/>
    <w:link w:val="BodyTextChar"/>
    <w:uiPriority w:val="99"/>
    <w:unhideWhenUsed/>
    <w:rsid w:val="00922D5D"/>
    <w:pPr>
      <w:spacing w:line="300" w:lineRule="exact"/>
    </w:pPr>
    <w:rPr>
      <w:rFonts w:ascii="Franklin Gothic Book" w:hAnsi="Franklin Gothic Book"/>
    </w:rPr>
  </w:style>
  <w:style w:type="character" w:customStyle="1" w:styleId="BodyTextChar">
    <w:name w:val="Body Text Char"/>
    <w:basedOn w:val="DefaultParagraphFont"/>
    <w:link w:val="BodyText"/>
    <w:uiPriority w:val="99"/>
    <w:rsid w:val="00922D5D"/>
    <w:rPr>
      <w:rFonts w:ascii="Franklin Gothic Book" w:hAnsi="Franklin Gothic Book"/>
    </w:rPr>
  </w:style>
  <w:style w:type="paragraph" w:customStyle="1" w:styleId="BodyTextHighlight">
    <w:name w:val="Body Text Highlight"/>
    <w:basedOn w:val="BodyText"/>
    <w:qFormat/>
    <w:rsid w:val="00F3549A"/>
    <w:rPr>
      <w:b/>
      <w:color w:val="002C5F"/>
    </w:rPr>
  </w:style>
  <w:style w:type="paragraph" w:customStyle="1" w:styleId="BodyTextLongQuote">
    <w:name w:val="Body Text Long Quote"/>
    <w:basedOn w:val="BodyText"/>
    <w:qFormat/>
    <w:rsid w:val="00922D5D"/>
    <w:pPr>
      <w:ind w:left="720" w:right="720"/>
    </w:pPr>
  </w:style>
  <w:style w:type="paragraph" w:customStyle="1" w:styleId="BulletedListLevel1">
    <w:name w:val="Bulleted List Level 1"/>
    <w:qFormat/>
    <w:rsid w:val="00F3549A"/>
    <w:pPr>
      <w:numPr>
        <w:numId w:val="3"/>
      </w:numPr>
      <w:tabs>
        <w:tab w:val="left" w:pos="3420"/>
      </w:tabs>
      <w:spacing w:after="240" w:line="300" w:lineRule="exact"/>
    </w:pPr>
    <w:rPr>
      <w:rFonts w:ascii="Franklin Gothic Book" w:eastAsia="Times New Roman" w:hAnsi="Franklin Gothic Book" w:cs="Times New Roman"/>
      <w:szCs w:val="24"/>
      <w:lang w:val="en-GB" w:eastAsia="en-GB"/>
    </w:rPr>
  </w:style>
  <w:style w:type="paragraph" w:customStyle="1" w:styleId="CalloutBoxHeader">
    <w:name w:val="Callout Box Header"/>
    <w:qFormat/>
    <w:rsid w:val="00C95B90"/>
    <w:pPr>
      <w:tabs>
        <w:tab w:val="left" w:pos="8640"/>
      </w:tabs>
      <w:spacing w:after="120" w:line="240" w:lineRule="auto"/>
    </w:pPr>
    <w:rPr>
      <w:rFonts w:ascii="Franklin Gothic Demi Cond" w:eastAsia="Times New Roman" w:hAnsi="Franklin Gothic Demi Cond" w:cs="Times New Roman"/>
      <w:sz w:val="28"/>
      <w:szCs w:val="24"/>
      <w:lang w:eastAsia="ja-JP"/>
    </w:rPr>
  </w:style>
  <w:style w:type="paragraph" w:customStyle="1" w:styleId="CalloutBoxText">
    <w:name w:val="Callout Box Text"/>
    <w:qFormat/>
    <w:rsid w:val="00FC77D7"/>
    <w:pPr>
      <w:spacing w:after="80" w:line="300" w:lineRule="exact"/>
    </w:pPr>
    <w:rPr>
      <w:rFonts w:ascii="Franklin Gothic Book" w:hAnsi="Franklin Gothic Book" w:cs="Times New Roman"/>
      <w:szCs w:val="24"/>
      <w:lang w:eastAsia="ja-JP"/>
    </w:rPr>
  </w:style>
  <w:style w:type="paragraph" w:customStyle="1" w:styleId="CoverAffiliation">
    <w:name w:val="Cover Affiliation"/>
    <w:basedOn w:val="Normal"/>
    <w:link w:val="CoverAffiliationChar"/>
    <w:qFormat/>
    <w:rsid w:val="00F3549A"/>
    <w:pPr>
      <w:ind w:left="2434"/>
    </w:pPr>
    <w:rPr>
      <w:rFonts w:ascii="Franklin Gothic Book" w:eastAsia="Perpetua" w:hAnsi="Franklin Gothic Book"/>
      <w:noProof/>
      <w:color w:val="595959"/>
      <w:sz w:val="28"/>
      <w:szCs w:val="28"/>
    </w:rPr>
  </w:style>
  <w:style w:type="character" w:customStyle="1" w:styleId="CoverAffiliationChar">
    <w:name w:val="Cover Affiliation Char"/>
    <w:basedOn w:val="DefaultParagraphFont"/>
    <w:link w:val="CoverAffiliation"/>
    <w:rsid w:val="00F3549A"/>
    <w:rPr>
      <w:rFonts w:ascii="Franklin Gothic Book" w:eastAsia="Perpetua" w:hAnsi="Franklin Gothic Book" w:cs="Times New Roman"/>
      <w:noProof/>
      <w:color w:val="595959"/>
      <w:sz w:val="28"/>
      <w:szCs w:val="28"/>
    </w:rPr>
  </w:style>
  <w:style w:type="paragraph" w:customStyle="1" w:styleId="CoverAuthorName">
    <w:name w:val="Cover Author Name"/>
    <w:basedOn w:val="Normal"/>
    <w:link w:val="CoverAuthorNameChar"/>
    <w:qFormat/>
    <w:rsid w:val="00F3549A"/>
    <w:pPr>
      <w:spacing w:before="240" w:line="276" w:lineRule="auto"/>
      <w:ind w:left="2430"/>
    </w:pPr>
    <w:rPr>
      <w:rFonts w:ascii="Franklin Gothic Demi" w:eastAsia="Perpetua" w:hAnsi="Franklin Gothic Demi"/>
      <w:noProof/>
      <w:color w:val="595959"/>
      <w:sz w:val="28"/>
      <w:szCs w:val="28"/>
    </w:rPr>
  </w:style>
  <w:style w:type="character" w:customStyle="1" w:styleId="CoverAuthorNameChar">
    <w:name w:val="Cover Author Name Char"/>
    <w:basedOn w:val="DefaultParagraphFont"/>
    <w:link w:val="CoverAuthorName"/>
    <w:rsid w:val="00F3549A"/>
    <w:rPr>
      <w:rFonts w:ascii="Franklin Gothic Demi" w:eastAsia="Perpetua" w:hAnsi="Franklin Gothic Demi" w:cs="Times New Roman"/>
      <w:noProof/>
      <w:color w:val="595959"/>
      <w:sz w:val="28"/>
      <w:szCs w:val="28"/>
    </w:rPr>
  </w:style>
  <w:style w:type="paragraph" w:customStyle="1" w:styleId="CoverBackAddress">
    <w:name w:val="Cover Back Address"/>
    <w:basedOn w:val="Normal"/>
    <w:qFormat/>
    <w:rsid w:val="00F3549A"/>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F3549A"/>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odyText">
    <w:name w:val="Cover Body Text"/>
    <w:rsid w:val="00F3549A"/>
    <w:pPr>
      <w:tabs>
        <w:tab w:val="left" w:pos="360"/>
      </w:tabs>
      <w:spacing w:after="240" w:line="240" w:lineRule="auto"/>
      <w:jc w:val="center"/>
    </w:pPr>
    <w:rPr>
      <w:rFonts w:ascii="Times New Roman" w:eastAsia="Calibri" w:hAnsi="Times New Roman" w:cs="Times New Roman"/>
      <w:sz w:val="24"/>
      <w:szCs w:val="24"/>
    </w:rPr>
  </w:style>
  <w:style w:type="paragraph" w:customStyle="1" w:styleId="CoverDate">
    <w:name w:val="Cover Date"/>
    <w:basedOn w:val="Normal"/>
    <w:qFormat/>
    <w:rsid w:val="002C0959"/>
    <w:pPr>
      <w:spacing w:after="1200"/>
    </w:pPr>
    <w:rPr>
      <w:rFonts w:ascii="Franklin Gothic Demi" w:eastAsia="Perpetua" w:hAnsi="Franklin Gothic Demi"/>
      <w:color w:val="808080" w:themeColor="background1" w:themeShade="80"/>
      <w:spacing w:val="30"/>
    </w:rPr>
  </w:style>
  <w:style w:type="paragraph" w:customStyle="1" w:styleId="CoverSubtitle">
    <w:name w:val="Cover Subtitle"/>
    <w:link w:val="CoverSubtitleChar"/>
    <w:qFormat/>
    <w:rsid w:val="002008FE"/>
    <w:pPr>
      <w:pBdr>
        <w:bottom w:val="single" w:sz="12" w:space="20" w:color="BFBFBF" w:themeColor="background1" w:themeShade="BF"/>
      </w:pBdr>
      <w:spacing w:after="360" w:line="240" w:lineRule="auto"/>
      <w:ind w:left="2520"/>
    </w:pPr>
    <w:rPr>
      <w:rFonts w:ascii="Franklin Gothic Demi Cond" w:eastAsia="Perpetua" w:hAnsi="Franklin Gothic Demi Cond" w:cs="Times New Roman"/>
      <w:color w:val="002C5F"/>
      <w:sz w:val="40"/>
      <w:szCs w:val="40"/>
    </w:rPr>
  </w:style>
  <w:style w:type="character" w:customStyle="1" w:styleId="CoverSubtitleChar">
    <w:name w:val="Cover Subtitle Char"/>
    <w:basedOn w:val="DefaultParagraphFont"/>
    <w:link w:val="CoverSubtitle"/>
    <w:rsid w:val="002008FE"/>
    <w:rPr>
      <w:rFonts w:ascii="Franklin Gothic Demi Cond" w:eastAsia="Perpetua" w:hAnsi="Franklin Gothic Demi Cond" w:cs="Times New Roman"/>
      <w:color w:val="002C5F"/>
      <w:sz w:val="40"/>
      <w:szCs w:val="40"/>
    </w:rPr>
  </w:style>
  <w:style w:type="paragraph" w:customStyle="1" w:styleId="CoverTitle">
    <w:name w:val="Cover Title"/>
    <w:link w:val="CoverTitleChar"/>
    <w:qFormat/>
    <w:rsid w:val="002008FE"/>
    <w:pPr>
      <w:spacing w:before="600" w:after="120" w:line="240" w:lineRule="auto"/>
      <w:ind w:left="2520"/>
    </w:pPr>
    <w:rPr>
      <w:rFonts w:ascii="Franklin Gothic Demi Cond" w:eastAsiaTheme="majorEastAsia" w:hAnsi="Franklin Gothic Demi Cond" w:cstheme="majorBidi"/>
      <w:bCs/>
      <w:color w:val="002C5F"/>
      <w:sz w:val="48"/>
      <w:szCs w:val="40"/>
    </w:rPr>
  </w:style>
  <w:style w:type="character" w:customStyle="1" w:styleId="CoverTitleChar">
    <w:name w:val="Cover Title Char"/>
    <w:basedOn w:val="DefaultParagraphFont"/>
    <w:link w:val="CoverTitle"/>
    <w:rsid w:val="002008FE"/>
    <w:rPr>
      <w:rFonts w:ascii="Franklin Gothic Demi Cond" w:eastAsiaTheme="majorEastAsia" w:hAnsi="Franklin Gothic Demi Cond" w:cstheme="majorBidi"/>
      <w:bCs/>
      <w:color w:val="002C5F"/>
      <w:sz w:val="48"/>
      <w:szCs w:val="40"/>
    </w:rPr>
  </w:style>
  <w:style w:type="paragraph" w:customStyle="1" w:styleId="ExhibitTitle">
    <w:name w:val="Exhibit Title"/>
    <w:qFormat/>
    <w:rsid w:val="00F3549A"/>
    <w:pPr>
      <w:keepNext/>
      <w:spacing w:after="240" w:line="240" w:lineRule="auto"/>
      <w:jc w:val="center"/>
    </w:pPr>
    <w:rPr>
      <w:rFonts w:ascii="Franklin Gothic Demi" w:hAnsi="Franklin Gothic Demi" w:cs="Times New Roman"/>
      <w:szCs w:val="24"/>
    </w:rPr>
  </w:style>
  <w:style w:type="paragraph" w:customStyle="1" w:styleId="FlysheetText">
    <w:name w:val="Flysheet Text"/>
    <w:rsid w:val="00F3549A"/>
    <w:pPr>
      <w:spacing w:before="5000" w:after="0" w:line="240" w:lineRule="auto"/>
      <w:jc w:val="right"/>
    </w:pPr>
    <w:rPr>
      <w:rFonts w:ascii="Franklin Gothic Demi" w:eastAsia="Calibri" w:hAnsi="Franklin Gothic Demi" w:cs="Times New Roman"/>
      <w:bCs/>
      <w:color w:val="002C5F"/>
      <w:sz w:val="48"/>
      <w:szCs w:val="20"/>
    </w:rPr>
  </w:style>
  <w:style w:type="character" w:styleId="FollowedHyperlink">
    <w:name w:val="FollowedHyperlink"/>
    <w:basedOn w:val="DefaultParagraphFont"/>
    <w:rsid w:val="00F3549A"/>
    <w:rPr>
      <w:color w:val="800080" w:themeColor="followedHyperlink"/>
      <w:u w:val="single"/>
    </w:rPr>
  </w:style>
  <w:style w:type="paragraph" w:customStyle="1" w:styleId="Heading1noTOC">
    <w:name w:val="Heading 1 no TOC"/>
    <w:qFormat/>
    <w:rsid w:val="00F3549A"/>
    <w:pPr>
      <w:spacing w:after="720" w:line="240" w:lineRule="auto"/>
      <w:jc w:val="center"/>
    </w:pPr>
    <w:rPr>
      <w:rFonts w:ascii="Franklin Gothic Demi" w:eastAsiaTheme="majorEastAsia" w:hAnsi="Franklin Gothic Demi" w:cs="Arial"/>
      <w:bCs/>
      <w:color w:val="002C5F"/>
      <w:sz w:val="56"/>
      <w:szCs w:val="72"/>
      <w:lang w:eastAsia="ja-JP"/>
    </w:rPr>
  </w:style>
  <w:style w:type="character" w:customStyle="1" w:styleId="Heading1Char">
    <w:name w:val="Heading 1 Char"/>
    <w:basedOn w:val="DefaultParagraphFont"/>
    <w:link w:val="Heading1"/>
    <w:uiPriority w:val="9"/>
    <w:rsid w:val="00400DB9"/>
    <w:rPr>
      <w:rFonts w:ascii="Franklin Gothic Demi Cond" w:eastAsiaTheme="majorEastAsia" w:hAnsi="Franklin Gothic Demi Cond" w:cstheme="majorBidi"/>
      <w:bCs/>
      <w:color w:val="002C5F"/>
      <w:sz w:val="48"/>
      <w:szCs w:val="40"/>
    </w:rPr>
  </w:style>
  <w:style w:type="character" w:customStyle="1" w:styleId="Heading2Char">
    <w:name w:val="Heading 2 Char"/>
    <w:basedOn w:val="DefaultParagraphFont"/>
    <w:link w:val="Heading2"/>
    <w:uiPriority w:val="9"/>
    <w:rsid w:val="00922D5D"/>
    <w:rPr>
      <w:rFonts w:ascii="Franklin Gothic Demi" w:eastAsiaTheme="majorEastAsia" w:hAnsi="Franklin Gothic Demi" w:cstheme="majorBidi"/>
      <w:bCs/>
      <w:color w:val="002C5F"/>
      <w:sz w:val="40"/>
      <w:szCs w:val="26"/>
    </w:rPr>
  </w:style>
  <w:style w:type="character" w:customStyle="1" w:styleId="Heading3Char">
    <w:name w:val="Heading 3 Char"/>
    <w:basedOn w:val="DefaultParagraphFont"/>
    <w:link w:val="Heading3"/>
    <w:uiPriority w:val="9"/>
    <w:rsid w:val="00400DB9"/>
    <w:rPr>
      <w:rFonts w:ascii="Franklin Gothic Medium" w:eastAsiaTheme="majorEastAsia" w:hAnsi="Franklin Gothic Medium" w:cstheme="majorBidi"/>
      <w:bCs/>
      <w:color w:val="002C5F"/>
      <w:sz w:val="32"/>
    </w:rPr>
  </w:style>
  <w:style w:type="character" w:customStyle="1" w:styleId="Heading4Char">
    <w:name w:val="Heading 4 Char"/>
    <w:basedOn w:val="DefaultParagraphFont"/>
    <w:link w:val="Heading4"/>
    <w:uiPriority w:val="9"/>
    <w:rsid w:val="00F3549A"/>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rsid w:val="00F3549A"/>
    <w:rPr>
      <w:color w:val="0000FF" w:themeColor="hyperlink"/>
      <w:u w:val="single"/>
    </w:rPr>
  </w:style>
  <w:style w:type="table" w:styleId="LightList-Accent5">
    <w:name w:val="Light List Accent 5"/>
    <w:basedOn w:val="TableNormal"/>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1">
    <w:name w:val="Light List - Accent 51"/>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4">
    <w:name w:val="Light List - Accent 54"/>
    <w:basedOn w:val="TableNormal"/>
    <w:next w:val="LightList-Accent5"/>
    <w:uiPriority w:val="61"/>
    <w:rsid w:val="00F354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umberedList">
    <w:name w:val="Numbered List"/>
    <w:basedOn w:val="ListParagraph"/>
    <w:qFormat/>
    <w:rsid w:val="00F3549A"/>
    <w:pPr>
      <w:numPr>
        <w:numId w:val="6"/>
      </w:numPr>
      <w:spacing w:after="120" w:line="300" w:lineRule="exact"/>
    </w:pPr>
    <w:rPr>
      <w:rFonts w:ascii="Franklin Gothic Book" w:eastAsiaTheme="minorEastAsia" w:hAnsi="Franklin Gothic Book" w:cs="Times New Roman"/>
      <w:szCs w:val="24"/>
      <w:lang w:eastAsia="ja-JP"/>
    </w:rPr>
  </w:style>
  <w:style w:type="paragraph" w:customStyle="1" w:styleId="NumberedListLast">
    <w:name w:val="Numbered List Last"/>
    <w:basedOn w:val="NumberedList"/>
    <w:qFormat/>
    <w:rsid w:val="00F3549A"/>
    <w:pPr>
      <w:numPr>
        <w:numId w:val="0"/>
      </w:numPr>
      <w:spacing w:after="240"/>
    </w:pPr>
  </w:style>
  <w:style w:type="paragraph" w:customStyle="1" w:styleId="PBodyText">
    <w:name w:val="P.Body Text"/>
    <w:qFormat/>
    <w:rsid w:val="00F3549A"/>
    <w:pPr>
      <w:spacing w:after="240" w:line="240" w:lineRule="auto"/>
    </w:pPr>
    <w:rPr>
      <w:rFonts w:ascii="Times New Roman" w:eastAsia="Times New Roman" w:hAnsi="Times New Roman" w:cs="Times"/>
      <w:sz w:val="24"/>
    </w:rPr>
  </w:style>
  <w:style w:type="paragraph" w:customStyle="1" w:styleId="References">
    <w:name w:val="References"/>
    <w:qFormat/>
    <w:rsid w:val="00FC77D7"/>
    <w:pPr>
      <w:spacing w:after="180" w:line="240" w:lineRule="auto"/>
      <w:ind w:left="720" w:hanging="720"/>
    </w:pPr>
    <w:rPr>
      <w:rFonts w:ascii="Franklin Gothic Book" w:eastAsia="Times New Roman" w:hAnsi="Franklin Gothic Book" w:cstheme="minorHAnsi"/>
    </w:rPr>
  </w:style>
  <w:style w:type="paragraph" w:customStyle="1" w:styleId="Style2">
    <w:name w:val="Style2"/>
    <w:basedOn w:val="Normal"/>
    <w:rsid w:val="00F3549A"/>
    <w:rPr>
      <w:rFonts w:ascii="Arial" w:hAnsi="Arial"/>
      <w:sz w:val="22"/>
      <w:szCs w:val="20"/>
    </w:rPr>
  </w:style>
  <w:style w:type="paragraph" w:customStyle="1" w:styleId="TableBullet1">
    <w:name w:val="Table Bullet 1"/>
    <w:basedOn w:val="Normal"/>
    <w:qFormat/>
    <w:rsid w:val="00F3549A"/>
    <w:pPr>
      <w:numPr>
        <w:numId w:val="7"/>
      </w:numPr>
      <w:spacing w:before="40" w:after="40"/>
    </w:pPr>
    <w:rPr>
      <w:rFonts w:asciiTheme="minorHAnsi" w:eastAsiaTheme="minorEastAsia" w:hAnsiTheme="minorHAnsi"/>
      <w:sz w:val="22"/>
    </w:rPr>
  </w:style>
  <w:style w:type="paragraph" w:customStyle="1" w:styleId="TableColumnHead">
    <w:name w:val="Table Column Head"/>
    <w:qFormat/>
    <w:rsid w:val="00F3549A"/>
    <w:pPr>
      <w:keepNext/>
      <w:autoSpaceDE w:val="0"/>
      <w:autoSpaceDN w:val="0"/>
      <w:adjustRightInd w:val="0"/>
      <w:spacing w:after="0" w:line="240" w:lineRule="auto"/>
      <w:jc w:val="center"/>
    </w:pPr>
    <w:rPr>
      <w:rFonts w:ascii="Franklin Gothic Demi" w:eastAsiaTheme="minorEastAsia" w:hAnsi="Franklin Gothic Demi" w:cs="Arial"/>
      <w:color w:val="FFFFFF" w:themeColor="background1"/>
      <w:sz w:val="20"/>
      <w:szCs w:val="20"/>
      <w:lang w:eastAsia="ja-JP"/>
    </w:rPr>
  </w:style>
  <w:style w:type="table" w:styleId="TableGrid">
    <w:name w:val="Table Grid"/>
    <w:basedOn w:val="TableNormal"/>
    <w:uiPriority w:val="59"/>
    <w:rsid w:val="00F35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qFormat/>
    <w:rsid w:val="00F3549A"/>
    <w:pPr>
      <w:autoSpaceDE w:val="0"/>
      <w:autoSpaceDN w:val="0"/>
      <w:adjustRightInd w:val="0"/>
      <w:spacing w:after="0" w:line="240" w:lineRule="auto"/>
    </w:pPr>
    <w:rPr>
      <w:rFonts w:ascii="Franklin Gothic Book" w:eastAsiaTheme="minorEastAsia" w:hAnsi="Franklin Gothic Book" w:cs="Arial"/>
      <w:sz w:val="20"/>
      <w:szCs w:val="20"/>
      <w:lang w:eastAsia="ja-JP"/>
    </w:rPr>
  </w:style>
  <w:style w:type="paragraph" w:customStyle="1" w:styleId="TableNote">
    <w:name w:val="Table Note"/>
    <w:basedOn w:val="TableText"/>
    <w:qFormat/>
    <w:rsid w:val="00F3549A"/>
    <w:pPr>
      <w:spacing w:before="120" w:after="240"/>
      <w:contextualSpacing/>
    </w:pPr>
    <w:rPr>
      <w:sz w:val="18"/>
    </w:rPr>
  </w:style>
  <w:style w:type="paragraph" w:customStyle="1" w:styleId="TableNumbering">
    <w:name w:val="Table Numbering"/>
    <w:basedOn w:val="Normal"/>
    <w:qFormat/>
    <w:rsid w:val="00F3549A"/>
    <w:pPr>
      <w:numPr>
        <w:numId w:val="8"/>
      </w:numPr>
      <w:spacing w:before="40" w:after="40"/>
    </w:pPr>
    <w:rPr>
      <w:rFonts w:asciiTheme="minorHAnsi" w:eastAsiaTheme="minorEastAsia" w:hAnsiTheme="minorHAnsi"/>
      <w:sz w:val="22"/>
    </w:rPr>
  </w:style>
  <w:style w:type="paragraph" w:customStyle="1" w:styleId="TableSubhead">
    <w:name w:val="Table Subhead"/>
    <w:qFormat/>
    <w:rsid w:val="00F3549A"/>
    <w:pPr>
      <w:spacing w:after="0" w:line="240" w:lineRule="auto"/>
      <w:jc w:val="center"/>
    </w:pPr>
    <w:rPr>
      <w:rFonts w:ascii="Franklin Gothic Demi" w:eastAsiaTheme="minorEastAsia" w:hAnsi="Franklin Gothic Demi" w:cs="Arial"/>
      <w:sz w:val="20"/>
      <w:szCs w:val="20"/>
      <w:lang w:eastAsia="ja-JP"/>
    </w:rPr>
  </w:style>
  <w:style w:type="paragraph" w:customStyle="1" w:styleId="TitlePageText">
    <w:name w:val="Title Page Text"/>
    <w:basedOn w:val="Normal"/>
    <w:qFormat/>
    <w:rsid w:val="00F3549A"/>
    <w:pPr>
      <w:ind w:left="900"/>
    </w:pPr>
    <w:rPr>
      <w:rFonts w:asciiTheme="minorHAnsi" w:eastAsia="Calibri" w:hAnsiTheme="minorHAnsi" w:cstheme="minorBidi"/>
      <w:sz w:val="20"/>
      <w:szCs w:val="22"/>
    </w:rPr>
  </w:style>
  <w:style w:type="paragraph" w:customStyle="1" w:styleId="TitlePageAddress">
    <w:name w:val="Title Page Address"/>
    <w:basedOn w:val="TitlePageText"/>
    <w:link w:val="TitlePageAddressChar"/>
    <w:qFormat/>
    <w:rsid w:val="00F3549A"/>
    <w:pPr>
      <w:spacing w:before="120" w:after="240"/>
      <w:ind w:left="907"/>
    </w:pPr>
    <w:rPr>
      <w:rFonts w:ascii="Franklin Gothic Book" w:hAnsi="Franklin Gothic Book" w:cs="Times New Roman"/>
      <w:noProof/>
      <w:sz w:val="24"/>
      <w:szCs w:val="24"/>
    </w:rPr>
  </w:style>
  <w:style w:type="character" w:customStyle="1" w:styleId="TitlePageAddressChar">
    <w:name w:val="Title Page Address Char"/>
    <w:basedOn w:val="DefaultParagraphFont"/>
    <w:link w:val="TitlePageAddress"/>
    <w:rsid w:val="00F3549A"/>
    <w:rPr>
      <w:rFonts w:ascii="Franklin Gothic Book" w:eastAsia="Calibri" w:hAnsi="Franklin Gothic Book" w:cs="Times New Roman"/>
      <w:noProof/>
      <w:sz w:val="24"/>
      <w:szCs w:val="24"/>
    </w:rPr>
  </w:style>
  <w:style w:type="paragraph" w:customStyle="1" w:styleId="TitlePageAuthor">
    <w:name w:val="Title Page Author"/>
    <w:basedOn w:val="TitlePageText"/>
    <w:qFormat/>
    <w:rsid w:val="00F3549A"/>
    <w:pPr>
      <w:spacing w:before="240"/>
      <w:ind w:left="907"/>
    </w:pPr>
    <w:rPr>
      <w:rFonts w:ascii="Franklin Gothic Medium" w:hAnsi="Franklin Gothic Medium"/>
      <w:sz w:val="28"/>
    </w:rPr>
  </w:style>
  <w:style w:type="paragraph" w:customStyle="1" w:styleId="TitlePageCopyrightText">
    <w:name w:val="Title Page Copyright Text"/>
    <w:basedOn w:val="Normal"/>
    <w:link w:val="TitlePageCopyrightTextChar"/>
    <w:qFormat/>
    <w:rsid w:val="00F3549A"/>
    <w:pPr>
      <w:ind w:left="900"/>
    </w:pPr>
    <w:rPr>
      <w:rFonts w:ascii="Franklin Gothic Book" w:hAnsi="Franklin Gothic Book"/>
      <w:sz w:val="20"/>
    </w:rPr>
  </w:style>
  <w:style w:type="character" w:customStyle="1" w:styleId="TitlePageCopyrightTextChar">
    <w:name w:val="Title Page Copyright Text Char"/>
    <w:basedOn w:val="DefaultParagraphFont"/>
    <w:link w:val="TitlePageCopyrightText"/>
    <w:rsid w:val="00F3549A"/>
    <w:rPr>
      <w:rFonts w:ascii="Franklin Gothic Book" w:eastAsia="Times New Roman" w:hAnsi="Franklin Gothic Book" w:cs="Times New Roman"/>
      <w:sz w:val="20"/>
      <w:szCs w:val="24"/>
    </w:rPr>
  </w:style>
  <w:style w:type="paragraph" w:customStyle="1" w:styleId="TitlePageDate">
    <w:name w:val="Title Page Date"/>
    <w:basedOn w:val="TitlePageText"/>
    <w:next w:val="TitlePageText"/>
    <w:qFormat/>
    <w:rsid w:val="00F3549A"/>
    <w:pPr>
      <w:spacing w:after="720"/>
      <w:ind w:left="907"/>
    </w:pPr>
    <w:rPr>
      <w:rFonts w:ascii="Franklin Gothic Medium" w:hAnsi="Franklin Gothic Medium"/>
      <w:b/>
      <w:sz w:val="32"/>
    </w:rPr>
  </w:style>
  <w:style w:type="paragraph" w:customStyle="1" w:styleId="TitlePageOrganization">
    <w:name w:val="Title Page Organization"/>
    <w:basedOn w:val="TitlePageAuthor"/>
    <w:qFormat/>
    <w:rsid w:val="00F3549A"/>
    <w:pPr>
      <w:spacing w:after="2400"/>
    </w:pPr>
    <w:rPr>
      <w:i/>
      <w:iCs/>
    </w:rPr>
  </w:style>
  <w:style w:type="paragraph" w:customStyle="1" w:styleId="TitlePagePublicationNumber">
    <w:name w:val="Title Page Publication Number"/>
    <w:basedOn w:val="Normal"/>
    <w:qFormat/>
    <w:rsid w:val="00F3549A"/>
    <w:pPr>
      <w:tabs>
        <w:tab w:val="right" w:pos="9360"/>
      </w:tabs>
      <w:jc w:val="right"/>
    </w:pPr>
    <w:rPr>
      <w:rFonts w:ascii="Franklin Gothic Book" w:hAnsi="Franklin Gothic Book"/>
      <w:sz w:val="16"/>
      <w:szCs w:val="16"/>
    </w:rPr>
  </w:style>
  <w:style w:type="paragraph" w:customStyle="1" w:styleId="TitlePageTitleSubtitle">
    <w:name w:val="Title Page Title/Subtitle"/>
    <w:basedOn w:val="TitlePageText"/>
    <w:qFormat/>
    <w:rsid w:val="00F3549A"/>
    <w:pPr>
      <w:keepNext/>
      <w:keepLines/>
      <w:spacing w:before="960" w:after="960"/>
      <w:ind w:left="907"/>
    </w:pPr>
    <w:rPr>
      <w:rFonts w:ascii="Franklin Gothic Demi" w:eastAsia="Times New Roman" w:hAnsi="Franklin Gothic Demi" w:cs="Times New Roman"/>
      <w:bCs/>
      <w:sz w:val="48"/>
      <w:szCs w:val="48"/>
    </w:rPr>
  </w:style>
  <w:style w:type="paragraph" w:customStyle="1" w:styleId="TitlePageURL">
    <w:name w:val="Title Page URL"/>
    <w:basedOn w:val="TitlePageAddress"/>
    <w:qFormat/>
    <w:rsid w:val="00F3549A"/>
    <w:rPr>
      <w:b/>
    </w:rPr>
  </w:style>
  <w:style w:type="paragraph" w:styleId="TOC1">
    <w:name w:val="toc 1"/>
    <w:next w:val="Normal"/>
    <w:autoRedefine/>
    <w:uiPriority w:val="39"/>
    <w:rsid w:val="00F3549A"/>
    <w:pPr>
      <w:tabs>
        <w:tab w:val="left" w:pos="432"/>
        <w:tab w:val="left" w:pos="480"/>
        <w:tab w:val="right" w:leader="dot" w:pos="9350"/>
      </w:tabs>
      <w:spacing w:after="120" w:line="240" w:lineRule="auto"/>
      <w:ind w:right="576"/>
    </w:pPr>
    <w:rPr>
      <w:rFonts w:ascii="Franklin Gothic Book" w:eastAsia="Times New Roman" w:hAnsi="Franklin Gothic Book" w:cs="Times New Roman"/>
      <w:b/>
      <w:noProof/>
      <w:sz w:val="24"/>
      <w:szCs w:val="24"/>
    </w:rPr>
  </w:style>
  <w:style w:type="paragraph" w:styleId="TOC2">
    <w:name w:val="toc 2"/>
    <w:basedOn w:val="Normal"/>
    <w:next w:val="Normal"/>
    <w:autoRedefine/>
    <w:uiPriority w:val="39"/>
    <w:rsid w:val="00F3549A"/>
    <w:pPr>
      <w:tabs>
        <w:tab w:val="right" w:leader="dot" w:pos="9350"/>
      </w:tabs>
      <w:spacing w:after="120"/>
      <w:ind w:left="446"/>
    </w:pPr>
    <w:rPr>
      <w:rFonts w:ascii="Franklin Gothic Book" w:hAnsi="Franklin Gothic Book"/>
      <w:noProof/>
    </w:rPr>
  </w:style>
  <w:style w:type="paragraph" w:styleId="TOC3">
    <w:name w:val="toc 3"/>
    <w:basedOn w:val="Normal"/>
    <w:next w:val="Normal"/>
    <w:autoRedefine/>
    <w:uiPriority w:val="39"/>
    <w:rsid w:val="00F3549A"/>
    <w:pPr>
      <w:tabs>
        <w:tab w:val="right" w:leader="dot" w:pos="9350"/>
      </w:tabs>
      <w:spacing w:after="120"/>
      <w:ind w:left="864"/>
    </w:pPr>
    <w:rPr>
      <w:rFonts w:ascii="Franklin Gothic Book" w:hAnsi="Franklin Gothic Book"/>
    </w:rPr>
  </w:style>
  <w:style w:type="paragraph" w:styleId="TOCHeading">
    <w:name w:val="TOC Heading"/>
    <w:basedOn w:val="Heading1"/>
    <w:next w:val="Normal"/>
    <w:uiPriority w:val="39"/>
    <w:semiHidden/>
    <w:unhideWhenUsed/>
    <w:qFormat/>
    <w:rsid w:val="00F3549A"/>
    <w:pPr>
      <w:keepLines/>
      <w:tabs>
        <w:tab w:val="clear" w:pos="540"/>
      </w:tabs>
      <w:spacing w:before="480" w:after="0"/>
      <w:outlineLvl w:val="9"/>
    </w:pPr>
    <w:rPr>
      <w:rFonts w:asciiTheme="majorHAnsi" w:hAnsiTheme="majorHAnsi"/>
      <w:b/>
      <w:color w:val="365F91" w:themeColor="accent1" w:themeShade="BF"/>
      <w:sz w:val="28"/>
      <w:szCs w:val="28"/>
    </w:rPr>
  </w:style>
  <w:style w:type="paragraph" w:customStyle="1" w:styleId="CalloutBoxBullets">
    <w:name w:val="Callout Box Bullets"/>
    <w:basedOn w:val="ListParagraph"/>
    <w:qFormat/>
    <w:rsid w:val="00FC77D7"/>
    <w:pPr>
      <w:numPr>
        <w:numId w:val="2"/>
      </w:numPr>
      <w:spacing w:after="120" w:line="300" w:lineRule="exact"/>
      <w:ind w:left="180" w:hanging="180"/>
    </w:pPr>
    <w:rPr>
      <w:rFonts w:ascii="Franklin Gothic Book" w:hAnsi="Franklin Gothic Book"/>
      <w:szCs w:val="24"/>
    </w:rPr>
  </w:style>
  <w:style w:type="paragraph" w:customStyle="1" w:styleId="TableBullet2">
    <w:name w:val="Table Bullet 2"/>
    <w:basedOn w:val="TableText"/>
    <w:qFormat/>
    <w:rsid w:val="003922B8"/>
    <w:pPr>
      <w:numPr>
        <w:numId w:val="10"/>
      </w:numPr>
      <w:autoSpaceDE/>
      <w:autoSpaceDN/>
      <w:adjustRightInd/>
      <w:spacing w:before="40" w:after="40"/>
    </w:pPr>
    <w:rPr>
      <w:rFonts w:asciiTheme="minorHAnsi" w:eastAsia="MS Mincho" w:hAnsiTheme="minorHAnsi" w:cs="Times New Roman"/>
      <w:sz w:val="22"/>
      <w:szCs w:val="24"/>
      <w:lang w:eastAsia="en-US"/>
    </w:rPr>
  </w:style>
  <w:style w:type="character" w:customStyle="1" w:styleId="Heading5Char">
    <w:name w:val="Heading 5 Char"/>
    <w:basedOn w:val="DefaultParagraphFont"/>
    <w:link w:val="Heading5"/>
    <w:uiPriority w:val="9"/>
    <w:rsid w:val="00982AB6"/>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982AB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982AB6"/>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982AB6"/>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163207091">
      <w:bodyDiv w:val="1"/>
      <w:marLeft w:val="0"/>
      <w:marRight w:val="0"/>
      <w:marTop w:val="0"/>
      <w:marBottom w:val="0"/>
      <w:divBdr>
        <w:top w:val="none" w:sz="0" w:space="0" w:color="auto"/>
        <w:left w:val="none" w:sz="0" w:space="0" w:color="auto"/>
        <w:bottom w:val="none" w:sz="0" w:space="0" w:color="auto"/>
        <w:right w:val="none" w:sz="0" w:space="0" w:color="auto"/>
      </w:divBdr>
      <w:divsChild>
        <w:div w:id="2046326672">
          <w:marLeft w:val="0"/>
          <w:marRight w:val="0"/>
          <w:marTop w:val="0"/>
          <w:marBottom w:val="0"/>
          <w:divBdr>
            <w:top w:val="none" w:sz="0" w:space="0" w:color="auto"/>
            <w:left w:val="none" w:sz="0" w:space="0" w:color="auto"/>
            <w:bottom w:val="none" w:sz="0" w:space="0" w:color="auto"/>
            <w:right w:val="none" w:sz="0" w:space="0" w:color="auto"/>
          </w:divBdr>
          <w:divsChild>
            <w:div w:id="81090395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671558">
      <w:bodyDiv w:val="1"/>
      <w:marLeft w:val="0"/>
      <w:marRight w:val="0"/>
      <w:marTop w:val="0"/>
      <w:marBottom w:val="0"/>
      <w:divBdr>
        <w:top w:val="none" w:sz="0" w:space="0" w:color="auto"/>
        <w:left w:val="none" w:sz="0" w:space="0" w:color="auto"/>
        <w:bottom w:val="none" w:sz="0" w:space="0" w:color="auto"/>
        <w:right w:val="none" w:sz="0" w:space="0" w:color="auto"/>
      </w:divBdr>
      <w:divsChild>
        <w:div w:id="1151361101">
          <w:marLeft w:val="0"/>
          <w:marRight w:val="0"/>
          <w:marTop w:val="0"/>
          <w:marBottom w:val="0"/>
          <w:divBdr>
            <w:top w:val="none" w:sz="0" w:space="0" w:color="auto"/>
            <w:left w:val="none" w:sz="0" w:space="0" w:color="auto"/>
            <w:bottom w:val="none" w:sz="0" w:space="0" w:color="auto"/>
            <w:right w:val="none" w:sz="0" w:space="0" w:color="auto"/>
          </w:divBdr>
          <w:divsChild>
            <w:div w:id="17181660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4293842">
      <w:bodyDiv w:val="1"/>
      <w:marLeft w:val="0"/>
      <w:marRight w:val="0"/>
      <w:marTop w:val="0"/>
      <w:marBottom w:val="0"/>
      <w:divBdr>
        <w:top w:val="none" w:sz="0" w:space="0" w:color="auto"/>
        <w:left w:val="none" w:sz="0" w:space="0" w:color="auto"/>
        <w:bottom w:val="none" w:sz="0" w:space="0" w:color="auto"/>
        <w:right w:val="none" w:sz="0" w:space="0" w:color="auto"/>
      </w:divBdr>
      <w:divsChild>
        <w:div w:id="887062390">
          <w:marLeft w:val="547"/>
          <w:marRight w:val="0"/>
          <w:marTop w:val="0"/>
          <w:marBottom w:val="0"/>
          <w:divBdr>
            <w:top w:val="none" w:sz="0" w:space="0" w:color="auto"/>
            <w:left w:val="none" w:sz="0" w:space="0" w:color="auto"/>
            <w:bottom w:val="none" w:sz="0" w:space="0" w:color="auto"/>
            <w:right w:val="none" w:sz="0" w:space="0" w:color="auto"/>
          </w:divBdr>
        </w:div>
      </w:divsChild>
    </w:div>
    <w:div w:id="343825680">
      <w:bodyDiv w:val="1"/>
      <w:marLeft w:val="0"/>
      <w:marRight w:val="0"/>
      <w:marTop w:val="0"/>
      <w:marBottom w:val="0"/>
      <w:divBdr>
        <w:top w:val="none" w:sz="0" w:space="0" w:color="auto"/>
        <w:left w:val="none" w:sz="0" w:space="0" w:color="auto"/>
        <w:bottom w:val="none" w:sz="0" w:space="0" w:color="auto"/>
        <w:right w:val="none" w:sz="0" w:space="0" w:color="auto"/>
      </w:divBdr>
      <w:divsChild>
        <w:div w:id="124736101">
          <w:marLeft w:val="0"/>
          <w:marRight w:val="0"/>
          <w:marTop w:val="0"/>
          <w:marBottom w:val="0"/>
          <w:divBdr>
            <w:top w:val="none" w:sz="0" w:space="0" w:color="auto"/>
            <w:left w:val="none" w:sz="0" w:space="0" w:color="auto"/>
            <w:bottom w:val="none" w:sz="0" w:space="0" w:color="auto"/>
            <w:right w:val="none" w:sz="0" w:space="0" w:color="auto"/>
          </w:divBdr>
          <w:divsChild>
            <w:div w:id="145243223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03946927">
      <w:bodyDiv w:val="1"/>
      <w:marLeft w:val="0"/>
      <w:marRight w:val="0"/>
      <w:marTop w:val="0"/>
      <w:marBottom w:val="0"/>
      <w:divBdr>
        <w:top w:val="none" w:sz="0" w:space="0" w:color="auto"/>
        <w:left w:val="none" w:sz="0" w:space="0" w:color="auto"/>
        <w:bottom w:val="none" w:sz="0" w:space="0" w:color="auto"/>
        <w:right w:val="none" w:sz="0" w:space="0" w:color="auto"/>
      </w:divBdr>
    </w:div>
    <w:div w:id="777528743">
      <w:bodyDiv w:val="1"/>
      <w:marLeft w:val="0"/>
      <w:marRight w:val="0"/>
      <w:marTop w:val="0"/>
      <w:marBottom w:val="0"/>
      <w:divBdr>
        <w:top w:val="none" w:sz="0" w:space="0" w:color="auto"/>
        <w:left w:val="none" w:sz="0" w:space="0" w:color="auto"/>
        <w:bottom w:val="none" w:sz="0" w:space="0" w:color="auto"/>
        <w:right w:val="none" w:sz="0" w:space="0" w:color="auto"/>
      </w:divBdr>
      <w:divsChild>
        <w:div w:id="1542549486">
          <w:marLeft w:val="0"/>
          <w:marRight w:val="0"/>
          <w:marTop w:val="0"/>
          <w:marBottom w:val="0"/>
          <w:divBdr>
            <w:top w:val="none" w:sz="0" w:space="0" w:color="auto"/>
            <w:left w:val="none" w:sz="0" w:space="0" w:color="auto"/>
            <w:bottom w:val="none" w:sz="0" w:space="0" w:color="auto"/>
            <w:right w:val="none" w:sz="0" w:space="0" w:color="auto"/>
          </w:divBdr>
          <w:divsChild>
            <w:div w:id="467052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9242525">
      <w:bodyDiv w:val="1"/>
      <w:marLeft w:val="0"/>
      <w:marRight w:val="0"/>
      <w:marTop w:val="0"/>
      <w:marBottom w:val="0"/>
      <w:divBdr>
        <w:top w:val="none" w:sz="0" w:space="0" w:color="auto"/>
        <w:left w:val="none" w:sz="0" w:space="0" w:color="auto"/>
        <w:bottom w:val="none" w:sz="0" w:space="0" w:color="auto"/>
        <w:right w:val="none" w:sz="0" w:space="0" w:color="auto"/>
      </w:divBdr>
      <w:divsChild>
        <w:div w:id="132910432">
          <w:marLeft w:val="0"/>
          <w:marRight w:val="0"/>
          <w:marTop w:val="0"/>
          <w:marBottom w:val="0"/>
          <w:divBdr>
            <w:top w:val="none" w:sz="0" w:space="0" w:color="auto"/>
            <w:left w:val="none" w:sz="0" w:space="0" w:color="auto"/>
            <w:bottom w:val="none" w:sz="0" w:space="0" w:color="auto"/>
            <w:right w:val="none" w:sz="0" w:space="0" w:color="auto"/>
          </w:divBdr>
          <w:divsChild>
            <w:div w:id="2242240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1741571">
      <w:bodyDiv w:val="1"/>
      <w:marLeft w:val="0"/>
      <w:marRight w:val="0"/>
      <w:marTop w:val="0"/>
      <w:marBottom w:val="0"/>
      <w:divBdr>
        <w:top w:val="none" w:sz="0" w:space="0" w:color="auto"/>
        <w:left w:val="none" w:sz="0" w:space="0" w:color="auto"/>
        <w:bottom w:val="none" w:sz="0" w:space="0" w:color="auto"/>
        <w:right w:val="none" w:sz="0" w:space="0" w:color="auto"/>
      </w:divBdr>
      <w:divsChild>
        <w:div w:id="1469788225">
          <w:marLeft w:val="0"/>
          <w:marRight w:val="0"/>
          <w:marTop w:val="0"/>
          <w:marBottom w:val="0"/>
          <w:divBdr>
            <w:top w:val="none" w:sz="0" w:space="0" w:color="auto"/>
            <w:left w:val="none" w:sz="0" w:space="0" w:color="auto"/>
            <w:bottom w:val="none" w:sz="0" w:space="0" w:color="auto"/>
            <w:right w:val="none" w:sz="0" w:space="0" w:color="auto"/>
          </w:divBdr>
          <w:divsChild>
            <w:div w:id="9733701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4317555">
      <w:bodyDiv w:val="1"/>
      <w:marLeft w:val="0"/>
      <w:marRight w:val="0"/>
      <w:marTop w:val="0"/>
      <w:marBottom w:val="0"/>
      <w:divBdr>
        <w:top w:val="none" w:sz="0" w:space="0" w:color="auto"/>
        <w:left w:val="none" w:sz="0" w:space="0" w:color="auto"/>
        <w:bottom w:val="none" w:sz="0" w:space="0" w:color="auto"/>
        <w:right w:val="none" w:sz="0" w:space="0" w:color="auto"/>
      </w:divBdr>
      <w:divsChild>
        <w:div w:id="460003218">
          <w:marLeft w:val="0"/>
          <w:marRight w:val="0"/>
          <w:marTop w:val="0"/>
          <w:marBottom w:val="0"/>
          <w:divBdr>
            <w:top w:val="none" w:sz="0" w:space="0" w:color="auto"/>
            <w:left w:val="none" w:sz="0" w:space="0" w:color="auto"/>
            <w:bottom w:val="none" w:sz="0" w:space="0" w:color="auto"/>
            <w:right w:val="none" w:sz="0" w:space="0" w:color="auto"/>
          </w:divBdr>
          <w:divsChild>
            <w:div w:id="17102275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02535828">
      <w:bodyDiv w:val="1"/>
      <w:marLeft w:val="0"/>
      <w:marRight w:val="0"/>
      <w:marTop w:val="0"/>
      <w:marBottom w:val="0"/>
      <w:divBdr>
        <w:top w:val="none" w:sz="0" w:space="0" w:color="auto"/>
        <w:left w:val="none" w:sz="0" w:space="0" w:color="auto"/>
        <w:bottom w:val="none" w:sz="0" w:space="0" w:color="auto"/>
        <w:right w:val="none" w:sz="0" w:space="0" w:color="auto"/>
      </w:divBdr>
      <w:divsChild>
        <w:div w:id="672682645">
          <w:marLeft w:val="547"/>
          <w:marRight w:val="0"/>
          <w:marTop w:val="0"/>
          <w:marBottom w:val="0"/>
          <w:divBdr>
            <w:top w:val="none" w:sz="0" w:space="0" w:color="auto"/>
            <w:left w:val="none" w:sz="0" w:space="0" w:color="auto"/>
            <w:bottom w:val="none" w:sz="0" w:space="0" w:color="auto"/>
            <w:right w:val="none" w:sz="0" w:space="0" w:color="auto"/>
          </w:divBdr>
        </w:div>
      </w:divsChild>
    </w:div>
    <w:div w:id="1195122419">
      <w:bodyDiv w:val="1"/>
      <w:marLeft w:val="0"/>
      <w:marRight w:val="0"/>
      <w:marTop w:val="0"/>
      <w:marBottom w:val="0"/>
      <w:divBdr>
        <w:top w:val="none" w:sz="0" w:space="0" w:color="auto"/>
        <w:left w:val="none" w:sz="0" w:space="0" w:color="auto"/>
        <w:bottom w:val="none" w:sz="0" w:space="0" w:color="auto"/>
        <w:right w:val="none" w:sz="0" w:space="0" w:color="auto"/>
      </w:divBdr>
      <w:divsChild>
        <w:div w:id="1391926249">
          <w:marLeft w:val="0"/>
          <w:marRight w:val="0"/>
          <w:marTop w:val="0"/>
          <w:marBottom w:val="0"/>
          <w:divBdr>
            <w:top w:val="none" w:sz="0" w:space="0" w:color="auto"/>
            <w:left w:val="none" w:sz="0" w:space="0" w:color="auto"/>
            <w:bottom w:val="none" w:sz="0" w:space="0" w:color="auto"/>
            <w:right w:val="none" w:sz="0" w:space="0" w:color="auto"/>
          </w:divBdr>
          <w:divsChild>
            <w:div w:id="15329599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6660775">
      <w:bodyDiv w:val="1"/>
      <w:marLeft w:val="0"/>
      <w:marRight w:val="0"/>
      <w:marTop w:val="0"/>
      <w:marBottom w:val="0"/>
      <w:divBdr>
        <w:top w:val="none" w:sz="0" w:space="0" w:color="auto"/>
        <w:left w:val="none" w:sz="0" w:space="0" w:color="auto"/>
        <w:bottom w:val="none" w:sz="0" w:space="0" w:color="auto"/>
        <w:right w:val="none" w:sz="0" w:space="0" w:color="auto"/>
      </w:divBdr>
      <w:divsChild>
        <w:div w:id="1297103975">
          <w:marLeft w:val="0"/>
          <w:marRight w:val="0"/>
          <w:marTop w:val="0"/>
          <w:marBottom w:val="0"/>
          <w:divBdr>
            <w:top w:val="none" w:sz="0" w:space="0" w:color="auto"/>
            <w:left w:val="none" w:sz="0" w:space="0" w:color="auto"/>
            <w:bottom w:val="none" w:sz="0" w:space="0" w:color="auto"/>
            <w:right w:val="none" w:sz="0" w:space="0" w:color="auto"/>
          </w:divBdr>
          <w:divsChild>
            <w:div w:id="1872577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75344649">
      <w:bodyDiv w:val="1"/>
      <w:marLeft w:val="0"/>
      <w:marRight w:val="0"/>
      <w:marTop w:val="0"/>
      <w:marBottom w:val="0"/>
      <w:divBdr>
        <w:top w:val="none" w:sz="0" w:space="0" w:color="auto"/>
        <w:left w:val="none" w:sz="0" w:space="0" w:color="auto"/>
        <w:bottom w:val="none" w:sz="0" w:space="0" w:color="auto"/>
        <w:right w:val="none" w:sz="0" w:space="0" w:color="auto"/>
      </w:divBdr>
    </w:div>
    <w:div w:id="1651983991">
      <w:bodyDiv w:val="1"/>
      <w:marLeft w:val="0"/>
      <w:marRight w:val="0"/>
      <w:marTop w:val="0"/>
      <w:marBottom w:val="0"/>
      <w:divBdr>
        <w:top w:val="none" w:sz="0" w:space="0" w:color="auto"/>
        <w:left w:val="none" w:sz="0" w:space="0" w:color="auto"/>
        <w:bottom w:val="none" w:sz="0" w:space="0" w:color="auto"/>
        <w:right w:val="none" w:sz="0" w:space="0" w:color="auto"/>
      </w:divBdr>
      <w:divsChild>
        <w:div w:id="1544975778">
          <w:marLeft w:val="0"/>
          <w:marRight w:val="0"/>
          <w:marTop w:val="0"/>
          <w:marBottom w:val="0"/>
          <w:divBdr>
            <w:top w:val="none" w:sz="0" w:space="0" w:color="auto"/>
            <w:left w:val="none" w:sz="0" w:space="0" w:color="auto"/>
            <w:bottom w:val="none" w:sz="0" w:space="0" w:color="auto"/>
            <w:right w:val="none" w:sz="0" w:space="0" w:color="auto"/>
          </w:divBdr>
          <w:divsChild>
            <w:div w:id="609051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0667854">
      <w:bodyDiv w:val="1"/>
      <w:marLeft w:val="0"/>
      <w:marRight w:val="0"/>
      <w:marTop w:val="0"/>
      <w:marBottom w:val="0"/>
      <w:divBdr>
        <w:top w:val="none" w:sz="0" w:space="0" w:color="auto"/>
        <w:left w:val="none" w:sz="0" w:space="0" w:color="auto"/>
        <w:bottom w:val="none" w:sz="0" w:space="0" w:color="auto"/>
        <w:right w:val="none" w:sz="0" w:space="0" w:color="auto"/>
      </w:divBdr>
      <w:divsChild>
        <w:div w:id="1779715137">
          <w:marLeft w:val="0"/>
          <w:marRight w:val="0"/>
          <w:marTop w:val="0"/>
          <w:marBottom w:val="0"/>
          <w:divBdr>
            <w:top w:val="none" w:sz="0" w:space="0" w:color="auto"/>
            <w:left w:val="none" w:sz="0" w:space="0" w:color="auto"/>
            <w:bottom w:val="none" w:sz="0" w:space="0" w:color="auto"/>
            <w:right w:val="none" w:sz="0" w:space="0" w:color="auto"/>
          </w:divBdr>
          <w:divsChild>
            <w:div w:id="1706111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diagramLayout" Target="diagrams/layout1.xml"/>
  <Relationship Id="rId11" Type="http://schemas.openxmlformats.org/officeDocument/2006/relationships/diagramQuickStyle" Target="diagrams/quickStyle1.xml"/>
  <Relationship Id="rId12" Type="http://schemas.openxmlformats.org/officeDocument/2006/relationships/diagramColors" Target="diagrams/colors1.xml"/>
  <Relationship Id="rId13" Type="http://schemas.microsoft.com/office/2007/relationships/diagramDrawing" Target="diagrams/drawing1.xml"/>
  <Relationship Id="rId14" Type="http://schemas.openxmlformats.org/officeDocument/2006/relationships/hyperlink" TargetMode="External" Target="http://www.mass.gov/edu/docs/ese/accountability/turnaround/monitor-site-visits-turnaround-indicators.pdf"/>
  <Relationship Id="rId15" Type="http://schemas.openxmlformats.org/officeDocument/2006/relationships/image" Target="media/image2.wmf"/>
  <Relationship Id="rId16" Type="http://schemas.openxmlformats.org/officeDocument/2006/relationships/image" Target="media/image3.png"/>
  <Relationship Id="rId17" Type="http://schemas.openxmlformats.org/officeDocument/2006/relationships/image" Target="media/image4.png"/>
  <Relationship Id="rId18" Type="http://schemas.openxmlformats.org/officeDocument/2006/relationships/image" Target="media/image5.emf"/>
  <Relationship Id="rId19" Type="http://schemas.openxmlformats.org/officeDocument/2006/relationships/image" Target="media/image6.png"/>
  <Relationship Id="rId2" Type="http://schemas.openxmlformats.org/officeDocument/2006/relationships/numbering" Target="numbering.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28" Type="http://schemas.openxmlformats.org/officeDocument/2006/relationships/customXml" Target="../customXml/item2.xml"/>
  <Relationship Id="rId29" Type="http://schemas.openxmlformats.org/officeDocument/2006/relationships/customXml" Target="../customXml/item3.xml"/>
  <Relationship Id="rId3" Type="http://schemas.openxmlformats.org/officeDocument/2006/relationships/styles" Target="styles.xml"/>
  <Relationship Id="rId30" Type="http://schemas.openxmlformats.org/officeDocument/2006/relationships/customXml" Target="../customXml/item4.xml"/>
  <Relationship Id="rId31" Type="http://schemas.openxmlformats.org/officeDocument/2006/relationships/customXml" Target="../customXml/item5.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diagramData" Target="diagrams/data1.xml"/>
</Relationships>

</file>

<file path=word/_rels/footer2.xml.rels><?xml version="1.0" encoding="UTF-8"?>

<Relationships xmlns="http://schemas.openxmlformats.org/package/2006/relationships">
  <Relationship Id="rId1" Type="http://schemas.openxmlformats.org/officeDocument/2006/relationships/image" Target="media/image7.png"/>
</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08089-38DA-44D0-8F65-1E5C91BD2C9B}" type="doc">
      <dgm:prSet loTypeId="urn:microsoft.com/office/officeart/2005/8/layout/hierarchy4" loCatId="relationship" qsTypeId="urn:microsoft.com/office/officeart/2005/8/quickstyle/simple1" qsCatId="simple" csTypeId="urn:microsoft.com/office/officeart/2005/8/colors/accent1_3" csCatId="accent1" phldr="1"/>
      <dgm:spPr/>
      <dgm:t>
        <a:bodyPr/>
        <a:lstStyle/>
        <a:p>
          <a:endParaRPr lang="en-US"/>
        </a:p>
      </dgm:t>
    </dgm:pt>
    <dgm:pt modelId="{7DD597D2-3E87-4E74-AA3F-A0970608DFD1}">
      <dgm:prSet phldrT="[Text]"/>
      <dgm:spPr/>
      <dgm:t>
        <a:bodyPr/>
        <a:lstStyle/>
        <a:p>
          <a:r>
            <a:rPr lang="en-US"/>
            <a:t>All Level 4 Schools</a:t>
          </a:r>
        </a:p>
      </dgm:t>
    </dgm:pt>
    <dgm:pt modelId="{72ECC3A4-D333-4C7A-8061-9E51475BDC0A}" type="parTrans" cxnId="{046CAD83-5AB7-4DB4-9F62-AF07CA54BED3}">
      <dgm:prSet/>
      <dgm:spPr/>
      <dgm:t>
        <a:bodyPr/>
        <a:lstStyle/>
        <a:p>
          <a:endParaRPr lang="en-US"/>
        </a:p>
      </dgm:t>
    </dgm:pt>
    <dgm:pt modelId="{3B23367A-26EA-4D21-81DF-FEB83CC219BD}" type="sibTrans" cxnId="{046CAD83-5AB7-4DB4-9F62-AF07CA54BED3}">
      <dgm:prSet/>
      <dgm:spPr/>
      <dgm:t>
        <a:bodyPr/>
        <a:lstStyle/>
        <a:p>
          <a:endParaRPr lang="en-US"/>
        </a:p>
      </dgm:t>
    </dgm:pt>
    <dgm:pt modelId="{C9F32B5C-7135-42C4-81B1-2DF34DE9B401}">
      <dgm:prSet phldrT="[Text]"/>
      <dgm:spPr/>
      <dgm:t>
        <a:bodyPr/>
        <a:lstStyle/>
        <a:p>
          <a:r>
            <a:rPr lang="en-US"/>
            <a:t>Current Level 4 Schools</a:t>
          </a:r>
        </a:p>
      </dgm:t>
    </dgm:pt>
    <dgm:pt modelId="{5630F9A6-F5A4-4850-9D63-C09F62C9A514}" type="parTrans" cxnId="{E399B7F7-FE61-4F69-A139-ACC121B61064}">
      <dgm:prSet/>
      <dgm:spPr/>
      <dgm:t>
        <a:bodyPr/>
        <a:lstStyle/>
        <a:p>
          <a:endParaRPr lang="en-US"/>
        </a:p>
      </dgm:t>
    </dgm:pt>
    <dgm:pt modelId="{67EC6BD7-2239-4E0C-89FD-F48449186C68}" type="sibTrans" cxnId="{E399B7F7-FE61-4F69-A139-ACC121B61064}">
      <dgm:prSet/>
      <dgm:spPr/>
      <dgm:t>
        <a:bodyPr/>
        <a:lstStyle/>
        <a:p>
          <a:endParaRPr lang="en-US"/>
        </a:p>
      </dgm:t>
    </dgm:pt>
    <dgm:pt modelId="{DC67417E-1930-4A2F-B598-07C56586443B}">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t>Improving</a:t>
          </a:r>
        </a:p>
      </dgm:t>
    </dgm:pt>
    <dgm:pt modelId="{07536C1F-EB88-405E-880D-8FF0C4AE5E29}" type="parTrans" cxnId="{796DCABC-B88B-4E41-8E10-3DDEB60310A7}">
      <dgm:prSet/>
      <dgm:spPr/>
      <dgm:t>
        <a:bodyPr/>
        <a:lstStyle/>
        <a:p>
          <a:endParaRPr lang="en-US"/>
        </a:p>
      </dgm:t>
    </dgm:pt>
    <dgm:pt modelId="{133BE145-C5B3-4D0F-927D-9B24464D02BB}" type="sibTrans" cxnId="{796DCABC-B88B-4E41-8E10-3DDEB60310A7}">
      <dgm:prSet/>
      <dgm:spPr/>
      <dgm:t>
        <a:bodyPr/>
        <a:lstStyle/>
        <a:p>
          <a:endParaRPr lang="en-US"/>
        </a:p>
      </dgm:t>
    </dgm:pt>
    <dgm:pt modelId="{05175798-E4BD-4CD6-976F-13A32E6481EB}">
      <dgm:prSet phldrT="[Text]" custT="1"/>
      <dgm:spPr/>
      <dgm:t>
        <a:bodyPr/>
        <a:lstStyle/>
        <a:p>
          <a:r>
            <a:rPr lang="en-US" sz="1000"/>
            <a:t>Mixed Results</a:t>
          </a:r>
        </a:p>
      </dgm:t>
    </dgm:pt>
    <dgm:pt modelId="{A62DD784-CA38-45F5-BA5A-ADFD9D836178}" type="parTrans" cxnId="{9509444B-771F-4CB7-973F-E11321F4D7B8}">
      <dgm:prSet/>
      <dgm:spPr/>
      <dgm:t>
        <a:bodyPr/>
        <a:lstStyle/>
        <a:p>
          <a:endParaRPr lang="en-US"/>
        </a:p>
      </dgm:t>
    </dgm:pt>
    <dgm:pt modelId="{60559847-2069-4DC5-80D9-18ECAE405CA3}" type="sibTrans" cxnId="{9509444B-771F-4CB7-973F-E11321F4D7B8}">
      <dgm:prSet/>
      <dgm:spPr/>
      <dgm:t>
        <a:bodyPr/>
        <a:lstStyle/>
        <a:p>
          <a:endParaRPr lang="en-US"/>
        </a:p>
      </dgm:t>
    </dgm:pt>
    <dgm:pt modelId="{43C4EE13-251D-4EC1-AB23-FD50B88CA8B1}">
      <dgm:prSet phldrT="[Text]"/>
      <dgm:spPr/>
      <dgm:t>
        <a:bodyPr/>
        <a:lstStyle/>
        <a:p>
          <a:r>
            <a:rPr lang="en-US"/>
            <a:t>Exited Level 4 Schools</a:t>
          </a:r>
        </a:p>
      </dgm:t>
    </dgm:pt>
    <dgm:pt modelId="{2E3BB253-0D12-45E2-A910-19990EAB4F75}" type="parTrans" cxnId="{00CE2CF3-562C-417A-BB27-6C1F3D810DE0}">
      <dgm:prSet/>
      <dgm:spPr/>
      <dgm:t>
        <a:bodyPr/>
        <a:lstStyle/>
        <a:p>
          <a:endParaRPr lang="en-US"/>
        </a:p>
      </dgm:t>
    </dgm:pt>
    <dgm:pt modelId="{73EC88AF-1A94-4F4A-9FFE-8318824D7C48}" type="sibTrans" cxnId="{00CE2CF3-562C-417A-BB27-6C1F3D810DE0}">
      <dgm:prSet/>
      <dgm:spPr/>
      <dgm:t>
        <a:bodyPr/>
        <a:lstStyle/>
        <a:p>
          <a:endParaRPr lang="en-US"/>
        </a:p>
      </dgm:t>
    </dgm:pt>
    <dgm:pt modelId="{6CACF11D-D7B2-42CE-87FA-64A70F5C8E9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spc="-30" baseline="0"/>
            <a:t>Continuous Improvement</a:t>
          </a:r>
        </a:p>
      </dgm:t>
    </dgm:pt>
    <dgm:pt modelId="{60BB6E0A-53F9-4CF0-A1BF-8D0731F7E08D}" type="parTrans" cxnId="{755FB4ED-149A-4821-818E-6236AF9E6C3D}">
      <dgm:prSet/>
      <dgm:spPr/>
      <dgm:t>
        <a:bodyPr/>
        <a:lstStyle/>
        <a:p>
          <a:endParaRPr lang="en-US"/>
        </a:p>
      </dgm:t>
    </dgm:pt>
    <dgm:pt modelId="{7DE6EBF8-F76B-4173-B0C1-143F78D4BCCD}" type="sibTrans" cxnId="{755FB4ED-149A-4821-818E-6236AF9E6C3D}">
      <dgm:prSet/>
      <dgm:spPr/>
      <dgm:t>
        <a:bodyPr/>
        <a:lstStyle/>
        <a:p>
          <a:endParaRPr lang="en-US"/>
        </a:p>
      </dgm:t>
    </dgm:pt>
    <dgm:pt modelId="{D8C0C2A0-39B3-48B1-816B-149017079D68}">
      <dgm:prSet phldrT="[Text]" custT="1"/>
      <dgm:spPr/>
      <dgm:t>
        <a:bodyPr/>
        <a:lstStyle/>
        <a:p>
          <a:r>
            <a:rPr lang="en-US" sz="1000"/>
            <a:t>Struggling</a:t>
          </a:r>
        </a:p>
      </dgm:t>
    </dgm:pt>
    <dgm:pt modelId="{8F8DAB8D-AFF6-4D26-A490-4BDFAAFF522C}" type="parTrans" cxnId="{A98C8379-EC0E-4226-B23A-BA10F2E9E6B2}">
      <dgm:prSet/>
      <dgm:spPr/>
      <dgm:t>
        <a:bodyPr/>
        <a:lstStyle/>
        <a:p>
          <a:endParaRPr lang="en-US"/>
        </a:p>
      </dgm:t>
    </dgm:pt>
    <dgm:pt modelId="{7C1F5274-CBE3-4042-9BAA-F815CC24E7A5}" type="sibTrans" cxnId="{A98C8379-EC0E-4226-B23A-BA10F2E9E6B2}">
      <dgm:prSet/>
      <dgm:spPr/>
      <dgm:t>
        <a:bodyPr/>
        <a:lstStyle/>
        <a:p>
          <a:endParaRPr lang="en-US"/>
        </a:p>
      </dgm:t>
    </dgm:pt>
    <dgm:pt modelId="{C07B0372-C13B-40D4-B6D7-9F99B7EECE35}">
      <dgm:prSet phldrT="[Text]" custT="1"/>
      <dgm:spPr/>
      <dgm:t>
        <a:bodyPr/>
        <a:lstStyle/>
        <a:p>
          <a:r>
            <a:rPr lang="en-US" sz="1000"/>
            <a:t>Stagnant or Stalled</a:t>
          </a:r>
        </a:p>
      </dgm:t>
    </dgm:pt>
    <dgm:pt modelId="{4726B12F-AB11-4960-896B-F1C2A8AA4988}" type="parTrans" cxnId="{A2F47D54-CF89-451D-AB50-526077B40A23}">
      <dgm:prSet/>
      <dgm:spPr/>
      <dgm:t>
        <a:bodyPr/>
        <a:lstStyle/>
        <a:p>
          <a:endParaRPr lang="en-US"/>
        </a:p>
      </dgm:t>
    </dgm:pt>
    <dgm:pt modelId="{33B6ECD2-E171-4840-B989-BB5B6FB9B990}" type="sibTrans" cxnId="{A2F47D54-CF89-451D-AB50-526077B40A23}">
      <dgm:prSet/>
      <dgm:spPr/>
      <dgm:t>
        <a:bodyPr/>
        <a:lstStyle/>
        <a:p>
          <a:endParaRPr lang="en-US"/>
        </a:p>
      </dgm:t>
    </dgm:pt>
    <dgm:pt modelId="{D0975D95-AF3E-4D0C-8CD1-53DAE0FE08B6}" type="pres">
      <dgm:prSet presAssocID="{8C008089-38DA-44D0-8F65-1E5C91BD2C9B}" presName="Name0" presStyleCnt="0">
        <dgm:presLayoutVars>
          <dgm:chPref val="1"/>
          <dgm:dir/>
          <dgm:animOne val="branch"/>
          <dgm:animLvl val="lvl"/>
          <dgm:resizeHandles/>
        </dgm:presLayoutVars>
      </dgm:prSet>
      <dgm:spPr/>
      <dgm:t>
        <a:bodyPr/>
        <a:lstStyle/>
        <a:p>
          <a:endParaRPr lang="en-US"/>
        </a:p>
      </dgm:t>
    </dgm:pt>
    <dgm:pt modelId="{098C65AC-D853-4FC6-A542-383FF949E8D8}" type="pres">
      <dgm:prSet presAssocID="{7DD597D2-3E87-4E74-AA3F-A0970608DFD1}" presName="vertOne" presStyleCnt="0"/>
      <dgm:spPr/>
    </dgm:pt>
    <dgm:pt modelId="{C2E293D2-3B29-4C6A-84FC-9E5D7D872EEF}" type="pres">
      <dgm:prSet presAssocID="{7DD597D2-3E87-4E74-AA3F-A0970608DFD1}" presName="txOne" presStyleLbl="node0" presStyleIdx="0" presStyleCnt="1" custLinFactNeighborX="12" custLinFactNeighborY="32899">
        <dgm:presLayoutVars>
          <dgm:chPref val="3"/>
        </dgm:presLayoutVars>
      </dgm:prSet>
      <dgm:spPr/>
      <dgm:t>
        <a:bodyPr/>
        <a:lstStyle/>
        <a:p>
          <a:endParaRPr lang="en-US"/>
        </a:p>
      </dgm:t>
    </dgm:pt>
    <dgm:pt modelId="{03D6B082-7F41-4B57-8AAF-97B9B6014271}" type="pres">
      <dgm:prSet presAssocID="{7DD597D2-3E87-4E74-AA3F-A0970608DFD1}" presName="parTransOne" presStyleCnt="0"/>
      <dgm:spPr/>
    </dgm:pt>
    <dgm:pt modelId="{09BEBB8F-94B1-4BB1-863B-042E309E2D59}" type="pres">
      <dgm:prSet presAssocID="{7DD597D2-3E87-4E74-AA3F-A0970608DFD1}" presName="horzOne" presStyleCnt="0"/>
      <dgm:spPr/>
    </dgm:pt>
    <dgm:pt modelId="{0C31C76E-180F-462D-B426-8B7423D9597F}" type="pres">
      <dgm:prSet presAssocID="{C9F32B5C-7135-42C4-81B1-2DF34DE9B401}" presName="vertTwo" presStyleCnt="0"/>
      <dgm:spPr/>
    </dgm:pt>
    <dgm:pt modelId="{575F2FFE-A1D8-41A2-A1B4-C37383E73EF0}" type="pres">
      <dgm:prSet presAssocID="{C9F32B5C-7135-42C4-81B1-2DF34DE9B401}" presName="txTwo" presStyleLbl="node2" presStyleIdx="0" presStyleCnt="2">
        <dgm:presLayoutVars>
          <dgm:chPref val="3"/>
        </dgm:presLayoutVars>
      </dgm:prSet>
      <dgm:spPr/>
      <dgm:t>
        <a:bodyPr/>
        <a:lstStyle/>
        <a:p>
          <a:endParaRPr lang="en-US"/>
        </a:p>
      </dgm:t>
    </dgm:pt>
    <dgm:pt modelId="{64867E1D-006E-41A1-BC2D-3AEA4772BB59}" type="pres">
      <dgm:prSet presAssocID="{C9F32B5C-7135-42C4-81B1-2DF34DE9B401}" presName="parTransTwo" presStyleCnt="0"/>
      <dgm:spPr/>
    </dgm:pt>
    <dgm:pt modelId="{77D93C28-F919-4167-B5B9-057918933DEF}" type="pres">
      <dgm:prSet presAssocID="{C9F32B5C-7135-42C4-81B1-2DF34DE9B401}" presName="horzTwo" presStyleCnt="0"/>
      <dgm:spPr/>
    </dgm:pt>
    <dgm:pt modelId="{B622A029-CE3C-4087-BBCC-55AFD03626E7}" type="pres">
      <dgm:prSet presAssocID="{DC67417E-1930-4A2F-B598-07C56586443B}" presName="vertThree" presStyleCnt="0"/>
      <dgm:spPr/>
    </dgm:pt>
    <dgm:pt modelId="{B071FCCC-830E-4E9A-B5CA-F5BB5D98D8F6}" type="pres">
      <dgm:prSet presAssocID="{DC67417E-1930-4A2F-B598-07C56586443B}" presName="txThree" presStyleLbl="node3" presStyleIdx="0" presStyleCnt="5">
        <dgm:presLayoutVars>
          <dgm:chPref val="3"/>
        </dgm:presLayoutVars>
      </dgm:prSet>
      <dgm:spPr/>
      <dgm:t>
        <a:bodyPr/>
        <a:lstStyle/>
        <a:p>
          <a:endParaRPr lang="en-US"/>
        </a:p>
      </dgm:t>
    </dgm:pt>
    <dgm:pt modelId="{B47AF5E4-3267-4E9E-B35E-5E437D9B65AC}" type="pres">
      <dgm:prSet presAssocID="{DC67417E-1930-4A2F-B598-07C56586443B}" presName="horzThree" presStyleCnt="0"/>
      <dgm:spPr/>
    </dgm:pt>
    <dgm:pt modelId="{A8253170-E064-45AE-957E-2DE0CCC48F23}" type="pres">
      <dgm:prSet presAssocID="{133BE145-C5B3-4D0F-927D-9B24464D02BB}" presName="sibSpaceThree" presStyleCnt="0"/>
      <dgm:spPr/>
    </dgm:pt>
    <dgm:pt modelId="{BF13465D-4B95-4F11-910D-275920EA870F}" type="pres">
      <dgm:prSet presAssocID="{05175798-E4BD-4CD6-976F-13A32E6481EB}" presName="vertThree" presStyleCnt="0"/>
      <dgm:spPr/>
    </dgm:pt>
    <dgm:pt modelId="{7B08D385-2B08-46FB-837A-0A31BDD95864}" type="pres">
      <dgm:prSet presAssocID="{05175798-E4BD-4CD6-976F-13A32E6481EB}" presName="txThree" presStyleLbl="node3" presStyleIdx="1" presStyleCnt="5">
        <dgm:presLayoutVars>
          <dgm:chPref val="3"/>
        </dgm:presLayoutVars>
      </dgm:prSet>
      <dgm:spPr/>
      <dgm:t>
        <a:bodyPr/>
        <a:lstStyle/>
        <a:p>
          <a:endParaRPr lang="en-US"/>
        </a:p>
      </dgm:t>
    </dgm:pt>
    <dgm:pt modelId="{41477EEF-B1AE-4F72-BF44-72A622A6B248}" type="pres">
      <dgm:prSet presAssocID="{05175798-E4BD-4CD6-976F-13A32E6481EB}" presName="horzThree" presStyleCnt="0"/>
      <dgm:spPr/>
    </dgm:pt>
    <dgm:pt modelId="{756629E5-BEDA-4E31-8E78-2FB988DD6EAD}" type="pres">
      <dgm:prSet presAssocID="{60559847-2069-4DC5-80D9-18ECAE405CA3}" presName="sibSpaceThree" presStyleCnt="0"/>
      <dgm:spPr/>
    </dgm:pt>
    <dgm:pt modelId="{68813019-D680-4085-8C36-A670F1D11AC5}" type="pres">
      <dgm:prSet presAssocID="{D8C0C2A0-39B3-48B1-816B-149017079D68}" presName="vertThree" presStyleCnt="0"/>
      <dgm:spPr/>
    </dgm:pt>
    <dgm:pt modelId="{3557927A-310F-4874-A1C7-F0C8B4CB76DD}" type="pres">
      <dgm:prSet presAssocID="{D8C0C2A0-39B3-48B1-816B-149017079D68}" presName="txThree" presStyleLbl="node3" presStyleIdx="2" presStyleCnt="5">
        <dgm:presLayoutVars>
          <dgm:chPref val="3"/>
        </dgm:presLayoutVars>
      </dgm:prSet>
      <dgm:spPr/>
      <dgm:t>
        <a:bodyPr/>
        <a:lstStyle/>
        <a:p>
          <a:endParaRPr lang="en-US"/>
        </a:p>
      </dgm:t>
    </dgm:pt>
    <dgm:pt modelId="{E60F286B-13D0-4864-8487-7E3C5890BA0D}" type="pres">
      <dgm:prSet presAssocID="{D8C0C2A0-39B3-48B1-816B-149017079D68}" presName="horzThree" presStyleCnt="0"/>
      <dgm:spPr/>
    </dgm:pt>
    <dgm:pt modelId="{D11A738B-4520-46E3-86A3-5CEBFB4BF3C4}" type="pres">
      <dgm:prSet presAssocID="{67EC6BD7-2239-4E0C-89FD-F48449186C68}" presName="sibSpaceTwo" presStyleCnt="0"/>
      <dgm:spPr/>
    </dgm:pt>
    <dgm:pt modelId="{F6DB66A9-B844-4415-AB59-1AA46EA20264}" type="pres">
      <dgm:prSet presAssocID="{43C4EE13-251D-4EC1-AB23-FD50B88CA8B1}" presName="vertTwo" presStyleCnt="0"/>
      <dgm:spPr/>
    </dgm:pt>
    <dgm:pt modelId="{3466A43F-49CF-4120-B124-490BFA93617E}" type="pres">
      <dgm:prSet presAssocID="{43C4EE13-251D-4EC1-AB23-FD50B88CA8B1}" presName="txTwo" presStyleLbl="node2" presStyleIdx="1" presStyleCnt="2">
        <dgm:presLayoutVars>
          <dgm:chPref val="3"/>
        </dgm:presLayoutVars>
      </dgm:prSet>
      <dgm:spPr/>
      <dgm:t>
        <a:bodyPr/>
        <a:lstStyle/>
        <a:p>
          <a:endParaRPr lang="en-US"/>
        </a:p>
      </dgm:t>
    </dgm:pt>
    <dgm:pt modelId="{84FCEA61-04D1-4454-B525-6DDDAD13B0AF}" type="pres">
      <dgm:prSet presAssocID="{43C4EE13-251D-4EC1-AB23-FD50B88CA8B1}" presName="parTransTwo" presStyleCnt="0"/>
      <dgm:spPr/>
    </dgm:pt>
    <dgm:pt modelId="{FF3758CC-DB9B-4AE7-BCF5-DCD4BF25B824}" type="pres">
      <dgm:prSet presAssocID="{43C4EE13-251D-4EC1-AB23-FD50B88CA8B1}" presName="horzTwo" presStyleCnt="0"/>
      <dgm:spPr/>
    </dgm:pt>
    <dgm:pt modelId="{7ADE6595-21D4-4261-B1AC-FE6EB13D383F}" type="pres">
      <dgm:prSet presAssocID="{6CACF11D-D7B2-42CE-87FA-64A70F5C8E96}" presName="vertThree" presStyleCnt="0"/>
      <dgm:spPr/>
    </dgm:pt>
    <dgm:pt modelId="{B9DFEB78-DC4D-479D-983B-602FC46825AD}" type="pres">
      <dgm:prSet presAssocID="{6CACF11D-D7B2-42CE-87FA-64A70F5C8E96}" presName="txThree" presStyleLbl="node3" presStyleIdx="3" presStyleCnt="5">
        <dgm:presLayoutVars>
          <dgm:chPref val="3"/>
        </dgm:presLayoutVars>
      </dgm:prSet>
      <dgm:spPr/>
      <dgm:t>
        <a:bodyPr/>
        <a:lstStyle/>
        <a:p>
          <a:endParaRPr lang="en-US"/>
        </a:p>
      </dgm:t>
    </dgm:pt>
    <dgm:pt modelId="{5D33709B-AEFF-436E-8C61-234F1F1A12A0}" type="pres">
      <dgm:prSet presAssocID="{6CACF11D-D7B2-42CE-87FA-64A70F5C8E96}" presName="horzThree" presStyleCnt="0"/>
      <dgm:spPr/>
    </dgm:pt>
    <dgm:pt modelId="{5EF189FC-BAA3-4383-A6F2-41945053EB72}" type="pres">
      <dgm:prSet presAssocID="{7DE6EBF8-F76B-4173-B0C1-143F78D4BCCD}" presName="sibSpaceThree" presStyleCnt="0"/>
      <dgm:spPr/>
    </dgm:pt>
    <dgm:pt modelId="{654D83EA-41A6-41D7-A1AF-DA4E724AE454}" type="pres">
      <dgm:prSet presAssocID="{C07B0372-C13B-40D4-B6D7-9F99B7EECE35}" presName="vertThree" presStyleCnt="0"/>
      <dgm:spPr/>
    </dgm:pt>
    <dgm:pt modelId="{850B1357-DF59-4D7A-A98D-167F8BE7737D}" type="pres">
      <dgm:prSet presAssocID="{C07B0372-C13B-40D4-B6D7-9F99B7EECE35}" presName="txThree" presStyleLbl="node3" presStyleIdx="4" presStyleCnt="5">
        <dgm:presLayoutVars>
          <dgm:chPref val="3"/>
        </dgm:presLayoutVars>
      </dgm:prSet>
      <dgm:spPr/>
      <dgm:t>
        <a:bodyPr/>
        <a:lstStyle/>
        <a:p>
          <a:endParaRPr lang="en-US"/>
        </a:p>
      </dgm:t>
    </dgm:pt>
    <dgm:pt modelId="{7F0C717F-C05B-4F86-B30D-CBD76662E354}" type="pres">
      <dgm:prSet presAssocID="{C07B0372-C13B-40D4-B6D7-9F99B7EECE35}" presName="horzThree" presStyleCnt="0"/>
      <dgm:spPr/>
    </dgm:pt>
  </dgm:ptLst>
  <dgm:cxnLst>
    <dgm:cxn modelId="{2C13EAA3-75AB-4A0F-B54D-CA9C3D61913B}" type="presOf" srcId="{8C008089-38DA-44D0-8F65-1E5C91BD2C9B}" destId="{D0975D95-AF3E-4D0C-8CD1-53DAE0FE08B6}" srcOrd="0" destOrd="0" presId="urn:microsoft.com/office/officeart/2005/8/layout/hierarchy4"/>
    <dgm:cxn modelId="{686D5944-FEA2-4C4B-A299-54A84B9CD7DA}" type="presOf" srcId="{6CACF11D-D7B2-42CE-87FA-64A70F5C8E96}" destId="{B9DFEB78-DC4D-479D-983B-602FC46825AD}" srcOrd="0" destOrd="0" presId="urn:microsoft.com/office/officeart/2005/8/layout/hierarchy4"/>
    <dgm:cxn modelId="{A2F47D54-CF89-451D-AB50-526077B40A23}" srcId="{43C4EE13-251D-4EC1-AB23-FD50B88CA8B1}" destId="{C07B0372-C13B-40D4-B6D7-9F99B7EECE35}" srcOrd="1" destOrd="0" parTransId="{4726B12F-AB11-4960-896B-F1C2A8AA4988}" sibTransId="{33B6ECD2-E171-4840-B989-BB5B6FB9B990}"/>
    <dgm:cxn modelId="{29C6A8CE-47DC-43F3-87AE-D937FA5D9B3E}" type="presOf" srcId="{D8C0C2A0-39B3-48B1-816B-149017079D68}" destId="{3557927A-310F-4874-A1C7-F0C8B4CB76DD}" srcOrd="0" destOrd="0" presId="urn:microsoft.com/office/officeart/2005/8/layout/hierarchy4"/>
    <dgm:cxn modelId="{B2877262-2E6C-4D7B-9DA6-1F7754CCFC60}" type="presOf" srcId="{43C4EE13-251D-4EC1-AB23-FD50B88CA8B1}" destId="{3466A43F-49CF-4120-B124-490BFA93617E}" srcOrd="0" destOrd="0" presId="urn:microsoft.com/office/officeart/2005/8/layout/hierarchy4"/>
    <dgm:cxn modelId="{E399B7F7-FE61-4F69-A139-ACC121B61064}" srcId="{7DD597D2-3E87-4E74-AA3F-A0970608DFD1}" destId="{C9F32B5C-7135-42C4-81B1-2DF34DE9B401}" srcOrd="0" destOrd="0" parTransId="{5630F9A6-F5A4-4850-9D63-C09F62C9A514}" sibTransId="{67EC6BD7-2239-4E0C-89FD-F48449186C68}"/>
    <dgm:cxn modelId="{5F4E7D9C-B120-4251-8135-AAA23115A692}" type="presOf" srcId="{DC67417E-1930-4A2F-B598-07C56586443B}" destId="{B071FCCC-830E-4E9A-B5CA-F5BB5D98D8F6}" srcOrd="0" destOrd="0" presId="urn:microsoft.com/office/officeart/2005/8/layout/hierarchy4"/>
    <dgm:cxn modelId="{5EE8AAF5-41C3-4B28-B51D-90B5D9F01576}" type="presOf" srcId="{C07B0372-C13B-40D4-B6D7-9F99B7EECE35}" destId="{850B1357-DF59-4D7A-A98D-167F8BE7737D}" srcOrd="0" destOrd="0" presId="urn:microsoft.com/office/officeart/2005/8/layout/hierarchy4"/>
    <dgm:cxn modelId="{796DCABC-B88B-4E41-8E10-3DDEB60310A7}" srcId="{C9F32B5C-7135-42C4-81B1-2DF34DE9B401}" destId="{DC67417E-1930-4A2F-B598-07C56586443B}" srcOrd="0" destOrd="0" parTransId="{07536C1F-EB88-405E-880D-8FF0C4AE5E29}" sibTransId="{133BE145-C5B3-4D0F-927D-9B24464D02BB}"/>
    <dgm:cxn modelId="{046CAD83-5AB7-4DB4-9F62-AF07CA54BED3}" srcId="{8C008089-38DA-44D0-8F65-1E5C91BD2C9B}" destId="{7DD597D2-3E87-4E74-AA3F-A0970608DFD1}" srcOrd="0" destOrd="0" parTransId="{72ECC3A4-D333-4C7A-8061-9E51475BDC0A}" sibTransId="{3B23367A-26EA-4D21-81DF-FEB83CC219BD}"/>
    <dgm:cxn modelId="{755FB4ED-149A-4821-818E-6236AF9E6C3D}" srcId="{43C4EE13-251D-4EC1-AB23-FD50B88CA8B1}" destId="{6CACF11D-D7B2-42CE-87FA-64A70F5C8E96}" srcOrd="0" destOrd="0" parTransId="{60BB6E0A-53F9-4CF0-A1BF-8D0731F7E08D}" sibTransId="{7DE6EBF8-F76B-4173-B0C1-143F78D4BCCD}"/>
    <dgm:cxn modelId="{00CE2CF3-562C-417A-BB27-6C1F3D810DE0}" srcId="{7DD597D2-3E87-4E74-AA3F-A0970608DFD1}" destId="{43C4EE13-251D-4EC1-AB23-FD50B88CA8B1}" srcOrd="1" destOrd="0" parTransId="{2E3BB253-0D12-45E2-A910-19990EAB4F75}" sibTransId="{73EC88AF-1A94-4F4A-9FFE-8318824D7C48}"/>
    <dgm:cxn modelId="{9509444B-771F-4CB7-973F-E11321F4D7B8}" srcId="{C9F32B5C-7135-42C4-81B1-2DF34DE9B401}" destId="{05175798-E4BD-4CD6-976F-13A32E6481EB}" srcOrd="1" destOrd="0" parTransId="{A62DD784-CA38-45F5-BA5A-ADFD9D836178}" sibTransId="{60559847-2069-4DC5-80D9-18ECAE405CA3}"/>
    <dgm:cxn modelId="{160AE3E9-27F7-4149-84F4-CFE8E7F18FCD}" type="presOf" srcId="{7DD597D2-3E87-4E74-AA3F-A0970608DFD1}" destId="{C2E293D2-3B29-4C6A-84FC-9E5D7D872EEF}" srcOrd="0" destOrd="0" presId="urn:microsoft.com/office/officeart/2005/8/layout/hierarchy4"/>
    <dgm:cxn modelId="{D70BB1D6-F4CC-4D67-B00F-37D4CDBA5E82}" type="presOf" srcId="{05175798-E4BD-4CD6-976F-13A32E6481EB}" destId="{7B08D385-2B08-46FB-837A-0A31BDD95864}" srcOrd="0" destOrd="0" presId="urn:microsoft.com/office/officeart/2005/8/layout/hierarchy4"/>
    <dgm:cxn modelId="{A98C8379-EC0E-4226-B23A-BA10F2E9E6B2}" srcId="{C9F32B5C-7135-42C4-81B1-2DF34DE9B401}" destId="{D8C0C2A0-39B3-48B1-816B-149017079D68}" srcOrd="2" destOrd="0" parTransId="{8F8DAB8D-AFF6-4D26-A490-4BDFAAFF522C}" sibTransId="{7C1F5274-CBE3-4042-9BAA-F815CC24E7A5}"/>
    <dgm:cxn modelId="{8C0E59A6-2C91-43FA-8F14-6732F3D5671A}" type="presOf" srcId="{C9F32B5C-7135-42C4-81B1-2DF34DE9B401}" destId="{575F2FFE-A1D8-41A2-A1B4-C37383E73EF0}" srcOrd="0" destOrd="0" presId="urn:microsoft.com/office/officeart/2005/8/layout/hierarchy4"/>
    <dgm:cxn modelId="{1E4AE91B-526C-48E1-9F1D-80A3C2F2B1E7}" type="presParOf" srcId="{D0975D95-AF3E-4D0C-8CD1-53DAE0FE08B6}" destId="{098C65AC-D853-4FC6-A542-383FF949E8D8}" srcOrd="0" destOrd="0" presId="urn:microsoft.com/office/officeart/2005/8/layout/hierarchy4"/>
    <dgm:cxn modelId="{8AC3B5FE-8E28-4F6F-B66D-56F323B06793}" type="presParOf" srcId="{098C65AC-D853-4FC6-A542-383FF949E8D8}" destId="{C2E293D2-3B29-4C6A-84FC-9E5D7D872EEF}" srcOrd="0" destOrd="0" presId="urn:microsoft.com/office/officeart/2005/8/layout/hierarchy4"/>
    <dgm:cxn modelId="{130D51FB-5993-4B90-BF3C-0323E4AFF1EB}" type="presParOf" srcId="{098C65AC-D853-4FC6-A542-383FF949E8D8}" destId="{03D6B082-7F41-4B57-8AAF-97B9B6014271}" srcOrd="1" destOrd="0" presId="urn:microsoft.com/office/officeart/2005/8/layout/hierarchy4"/>
    <dgm:cxn modelId="{8A627609-83C5-4385-9561-49CD3866FE9F}" type="presParOf" srcId="{098C65AC-D853-4FC6-A542-383FF949E8D8}" destId="{09BEBB8F-94B1-4BB1-863B-042E309E2D59}" srcOrd="2" destOrd="0" presId="urn:microsoft.com/office/officeart/2005/8/layout/hierarchy4"/>
    <dgm:cxn modelId="{75891E38-2F4C-40F7-B4AC-5785D9D665BD}" type="presParOf" srcId="{09BEBB8F-94B1-4BB1-863B-042E309E2D59}" destId="{0C31C76E-180F-462D-B426-8B7423D9597F}" srcOrd="0" destOrd="0" presId="urn:microsoft.com/office/officeart/2005/8/layout/hierarchy4"/>
    <dgm:cxn modelId="{61B2784A-799C-43DC-92EE-E2EF9577D38E}" type="presParOf" srcId="{0C31C76E-180F-462D-B426-8B7423D9597F}" destId="{575F2FFE-A1D8-41A2-A1B4-C37383E73EF0}" srcOrd="0" destOrd="0" presId="urn:microsoft.com/office/officeart/2005/8/layout/hierarchy4"/>
    <dgm:cxn modelId="{75A3F8A4-8227-491D-BE4B-2ED1C9DD9AE5}" type="presParOf" srcId="{0C31C76E-180F-462D-B426-8B7423D9597F}" destId="{64867E1D-006E-41A1-BC2D-3AEA4772BB59}" srcOrd="1" destOrd="0" presId="urn:microsoft.com/office/officeart/2005/8/layout/hierarchy4"/>
    <dgm:cxn modelId="{A35ECEC5-0253-41B7-9F24-0FB6943A40F7}" type="presParOf" srcId="{0C31C76E-180F-462D-B426-8B7423D9597F}" destId="{77D93C28-F919-4167-B5B9-057918933DEF}" srcOrd="2" destOrd="0" presId="urn:microsoft.com/office/officeart/2005/8/layout/hierarchy4"/>
    <dgm:cxn modelId="{ED52C939-BFE4-458F-B105-37CE24750AC8}" type="presParOf" srcId="{77D93C28-F919-4167-B5B9-057918933DEF}" destId="{B622A029-CE3C-4087-BBCC-55AFD03626E7}" srcOrd="0" destOrd="0" presId="urn:microsoft.com/office/officeart/2005/8/layout/hierarchy4"/>
    <dgm:cxn modelId="{93740B6A-3990-4513-88C6-101D2BD56D02}" type="presParOf" srcId="{B622A029-CE3C-4087-BBCC-55AFD03626E7}" destId="{B071FCCC-830E-4E9A-B5CA-F5BB5D98D8F6}" srcOrd="0" destOrd="0" presId="urn:microsoft.com/office/officeart/2005/8/layout/hierarchy4"/>
    <dgm:cxn modelId="{061181D3-F184-4E24-9327-4A18A562B081}" type="presParOf" srcId="{B622A029-CE3C-4087-BBCC-55AFD03626E7}" destId="{B47AF5E4-3267-4E9E-B35E-5E437D9B65AC}" srcOrd="1" destOrd="0" presId="urn:microsoft.com/office/officeart/2005/8/layout/hierarchy4"/>
    <dgm:cxn modelId="{2873FB90-098E-4D9B-AFD9-536C51A0CB09}" type="presParOf" srcId="{77D93C28-F919-4167-B5B9-057918933DEF}" destId="{A8253170-E064-45AE-957E-2DE0CCC48F23}" srcOrd="1" destOrd="0" presId="urn:microsoft.com/office/officeart/2005/8/layout/hierarchy4"/>
    <dgm:cxn modelId="{34C87C8F-E16D-4153-B00F-81B5F962DF74}" type="presParOf" srcId="{77D93C28-F919-4167-B5B9-057918933DEF}" destId="{BF13465D-4B95-4F11-910D-275920EA870F}" srcOrd="2" destOrd="0" presId="urn:microsoft.com/office/officeart/2005/8/layout/hierarchy4"/>
    <dgm:cxn modelId="{A780ECA7-0D31-4EB4-B368-174918686661}" type="presParOf" srcId="{BF13465D-4B95-4F11-910D-275920EA870F}" destId="{7B08D385-2B08-46FB-837A-0A31BDD95864}" srcOrd="0" destOrd="0" presId="urn:microsoft.com/office/officeart/2005/8/layout/hierarchy4"/>
    <dgm:cxn modelId="{96B68D60-0E14-406A-92EF-49E2D2A01357}" type="presParOf" srcId="{BF13465D-4B95-4F11-910D-275920EA870F}" destId="{41477EEF-B1AE-4F72-BF44-72A622A6B248}" srcOrd="1" destOrd="0" presId="urn:microsoft.com/office/officeart/2005/8/layout/hierarchy4"/>
    <dgm:cxn modelId="{642D58BF-F707-4AF0-8929-2DDA834BD641}" type="presParOf" srcId="{77D93C28-F919-4167-B5B9-057918933DEF}" destId="{756629E5-BEDA-4E31-8E78-2FB988DD6EAD}" srcOrd="3" destOrd="0" presId="urn:microsoft.com/office/officeart/2005/8/layout/hierarchy4"/>
    <dgm:cxn modelId="{28E915E8-FD97-4FD7-A3FF-D14E1453898E}" type="presParOf" srcId="{77D93C28-F919-4167-B5B9-057918933DEF}" destId="{68813019-D680-4085-8C36-A670F1D11AC5}" srcOrd="4" destOrd="0" presId="urn:microsoft.com/office/officeart/2005/8/layout/hierarchy4"/>
    <dgm:cxn modelId="{EB0ACA7F-C9FE-4912-A007-502D9E04C866}" type="presParOf" srcId="{68813019-D680-4085-8C36-A670F1D11AC5}" destId="{3557927A-310F-4874-A1C7-F0C8B4CB76DD}" srcOrd="0" destOrd="0" presId="urn:microsoft.com/office/officeart/2005/8/layout/hierarchy4"/>
    <dgm:cxn modelId="{55AB5EBF-67A3-4F6D-B9CD-FAFC5FE72839}" type="presParOf" srcId="{68813019-D680-4085-8C36-A670F1D11AC5}" destId="{E60F286B-13D0-4864-8487-7E3C5890BA0D}" srcOrd="1" destOrd="0" presId="urn:microsoft.com/office/officeart/2005/8/layout/hierarchy4"/>
    <dgm:cxn modelId="{88BB33DF-B5DE-43A9-BB65-8AF421DF584A}" type="presParOf" srcId="{09BEBB8F-94B1-4BB1-863B-042E309E2D59}" destId="{D11A738B-4520-46E3-86A3-5CEBFB4BF3C4}" srcOrd="1" destOrd="0" presId="urn:microsoft.com/office/officeart/2005/8/layout/hierarchy4"/>
    <dgm:cxn modelId="{6773DA27-DF3F-431B-B71D-98D004C37543}" type="presParOf" srcId="{09BEBB8F-94B1-4BB1-863B-042E309E2D59}" destId="{F6DB66A9-B844-4415-AB59-1AA46EA20264}" srcOrd="2" destOrd="0" presId="urn:microsoft.com/office/officeart/2005/8/layout/hierarchy4"/>
    <dgm:cxn modelId="{972A9AFA-3A40-469C-87D5-E3977B7053C3}" type="presParOf" srcId="{F6DB66A9-B844-4415-AB59-1AA46EA20264}" destId="{3466A43F-49CF-4120-B124-490BFA93617E}" srcOrd="0" destOrd="0" presId="urn:microsoft.com/office/officeart/2005/8/layout/hierarchy4"/>
    <dgm:cxn modelId="{AF7B2E67-CA8B-4A6A-9C7B-AF98B2A38C34}" type="presParOf" srcId="{F6DB66A9-B844-4415-AB59-1AA46EA20264}" destId="{84FCEA61-04D1-4454-B525-6DDDAD13B0AF}" srcOrd="1" destOrd="0" presId="urn:microsoft.com/office/officeart/2005/8/layout/hierarchy4"/>
    <dgm:cxn modelId="{693DE8BD-337A-441F-A221-EC20ACD404D0}" type="presParOf" srcId="{F6DB66A9-B844-4415-AB59-1AA46EA20264}" destId="{FF3758CC-DB9B-4AE7-BCF5-DCD4BF25B824}" srcOrd="2" destOrd="0" presId="urn:microsoft.com/office/officeart/2005/8/layout/hierarchy4"/>
    <dgm:cxn modelId="{CE95B04B-2ADE-403C-8756-3A01A905378C}" type="presParOf" srcId="{FF3758CC-DB9B-4AE7-BCF5-DCD4BF25B824}" destId="{7ADE6595-21D4-4261-B1AC-FE6EB13D383F}" srcOrd="0" destOrd="0" presId="urn:microsoft.com/office/officeart/2005/8/layout/hierarchy4"/>
    <dgm:cxn modelId="{ECB75A42-CA66-42EC-96E0-EC8E9A1AEE59}" type="presParOf" srcId="{7ADE6595-21D4-4261-B1AC-FE6EB13D383F}" destId="{B9DFEB78-DC4D-479D-983B-602FC46825AD}" srcOrd="0" destOrd="0" presId="urn:microsoft.com/office/officeart/2005/8/layout/hierarchy4"/>
    <dgm:cxn modelId="{12E0E782-9E74-4E9D-947F-B1B2427475F1}" type="presParOf" srcId="{7ADE6595-21D4-4261-B1AC-FE6EB13D383F}" destId="{5D33709B-AEFF-436E-8C61-234F1F1A12A0}" srcOrd="1" destOrd="0" presId="urn:microsoft.com/office/officeart/2005/8/layout/hierarchy4"/>
    <dgm:cxn modelId="{CF4F6970-F64F-4148-922E-CB2FCBB30B93}" type="presParOf" srcId="{FF3758CC-DB9B-4AE7-BCF5-DCD4BF25B824}" destId="{5EF189FC-BAA3-4383-A6F2-41945053EB72}" srcOrd="1" destOrd="0" presId="urn:microsoft.com/office/officeart/2005/8/layout/hierarchy4"/>
    <dgm:cxn modelId="{1F0BA680-455B-47D3-BE07-20F5BA454322}" type="presParOf" srcId="{FF3758CC-DB9B-4AE7-BCF5-DCD4BF25B824}" destId="{654D83EA-41A6-41D7-A1AF-DA4E724AE454}" srcOrd="2" destOrd="0" presId="urn:microsoft.com/office/officeart/2005/8/layout/hierarchy4"/>
    <dgm:cxn modelId="{A87AF084-4654-42B2-8855-E8291CBB365F}" type="presParOf" srcId="{654D83EA-41A6-41D7-A1AF-DA4E724AE454}" destId="{850B1357-DF59-4D7A-A98D-167F8BE7737D}" srcOrd="0" destOrd="0" presId="urn:microsoft.com/office/officeart/2005/8/layout/hierarchy4"/>
    <dgm:cxn modelId="{97FADB3E-A5B3-4FFC-ACB6-1A4687860A88}" type="presParOf" srcId="{654D83EA-41A6-41D7-A1AF-DA4E724AE454}" destId="{7F0C717F-C05B-4F86-B30D-CBD76662E354}" srcOrd="1" destOrd="0" presId="urn:microsoft.com/office/officeart/2005/8/layout/hierarchy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E293D2-3B29-4C6A-84FC-9E5D7D872EEF}">
      <dsp:nvSpPr>
        <dsp:cNvPr id="0" name=""/>
        <dsp:cNvSpPr/>
      </dsp:nvSpPr>
      <dsp:spPr>
        <a:xfrm>
          <a:off x="994" y="24012"/>
          <a:ext cx="4332245" cy="332078"/>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All Level 4 Schools</a:t>
          </a:r>
        </a:p>
      </dsp:txBody>
      <dsp:txXfrm>
        <a:off x="994" y="24012"/>
        <a:ext cx="4332245" cy="332078"/>
      </dsp:txXfrm>
    </dsp:sp>
    <dsp:sp modelId="{575F2FFE-A1D8-41A2-A1B4-C37383E73EF0}">
      <dsp:nvSpPr>
        <dsp:cNvPr id="0" name=""/>
        <dsp:cNvSpPr/>
      </dsp:nvSpPr>
      <dsp:spPr>
        <a:xfrm>
          <a:off x="497" y="403555"/>
          <a:ext cx="2564423" cy="332078"/>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Current Level 4 Schools</a:t>
          </a:r>
        </a:p>
      </dsp:txBody>
      <dsp:txXfrm>
        <a:off x="497" y="403555"/>
        <a:ext cx="2564423" cy="332078"/>
      </dsp:txXfrm>
    </dsp:sp>
    <dsp:sp modelId="{B071FCCC-830E-4E9A-B5CA-F5BB5D98D8F6}">
      <dsp:nvSpPr>
        <dsp:cNvPr id="0" name=""/>
        <dsp:cNvSpPr/>
      </dsp:nvSpPr>
      <dsp:spPr>
        <a:xfrm>
          <a:off x="497" y="806370"/>
          <a:ext cx="831525" cy="33207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Improving</a:t>
          </a:r>
        </a:p>
      </dsp:txBody>
      <dsp:txXfrm>
        <a:off x="497" y="806370"/>
        <a:ext cx="831525" cy="332078"/>
      </dsp:txXfrm>
    </dsp:sp>
    <dsp:sp modelId="{7B08D385-2B08-46FB-837A-0A31BDD95864}">
      <dsp:nvSpPr>
        <dsp:cNvPr id="0" name=""/>
        <dsp:cNvSpPr/>
      </dsp:nvSpPr>
      <dsp:spPr>
        <a:xfrm>
          <a:off x="866946" y="806370"/>
          <a:ext cx="831525" cy="332078"/>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Mixed Results</a:t>
          </a:r>
        </a:p>
      </dsp:txBody>
      <dsp:txXfrm>
        <a:off x="866946" y="806370"/>
        <a:ext cx="831525" cy="332078"/>
      </dsp:txXfrm>
    </dsp:sp>
    <dsp:sp modelId="{3557927A-310F-4874-A1C7-F0C8B4CB76DD}">
      <dsp:nvSpPr>
        <dsp:cNvPr id="0" name=""/>
        <dsp:cNvSpPr/>
      </dsp:nvSpPr>
      <dsp:spPr>
        <a:xfrm>
          <a:off x="1733395" y="806370"/>
          <a:ext cx="831525" cy="332078"/>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Struggling</a:t>
          </a:r>
        </a:p>
      </dsp:txBody>
      <dsp:txXfrm>
        <a:off x="1733395" y="806370"/>
        <a:ext cx="831525" cy="332078"/>
      </dsp:txXfrm>
    </dsp:sp>
    <dsp:sp modelId="{3466A43F-49CF-4120-B124-490BFA93617E}">
      <dsp:nvSpPr>
        <dsp:cNvPr id="0" name=""/>
        <dsp:cNvSpPr/>
      </dsp:nvSpPr>
      <dsp:spPr>
        <a:xfrm>
          <a:off x="2634768" y="403555"/>
          <a:ext cx="1697974" cy="332078"/>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Exited Level 4 Schools</a:t>
          </a:r>
        </a:p>
      </dsp:txBody>
      <dsp:txXfrm>
        <a:off x="2634768" y="403555"/>
        <a:ext cx="1697974" cy="332078"/>
      </dsp:txXfrm>
    </dsp:sp>
    <dsp:sp modelId="{B9DFEB78-DC4D-479D-983B-602FC46825AD}">
      <dsp:nvSpPr>
        <dsp:cNvPr id="0" name=""/>
        <dsp:cNvSpPr/>
      </dsp:nvSpPr>
      <dsp:spPr>
        <a:xfrm>
          <a:off x="2634768" y="806370"/>
          <a:ext cx="831525" cy="33207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spc="-30" baseline="0"/>
            <a:t>Continuous Improvement</a:t>
          </a:r>
        </a:p>
      </dsp:txBody>
      <dsp:txXfrm>
        <a:off x="2634768" y="806370"/>
        <a:ext cx="831525" cy="332078"/>
      </dsp:txXfrm>
    </dsp:sp>
    <dsp:sp modelId="{850B1357-DF59-4D7A-A98D-167F8BE7737D}">
      <dsp:nvSpPr>
        <dsp:cNvPr id="0" name=""/>
        <dsp:cNvSpPr/>
      </dsp:nvSpPr>
      <dsp:spPr>
        <a:xfrm>
          <a:off x="3501217" y="806370"/>
          <a:ext cx="831525" cy="332078"/>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Stagnant or Stalled</a:t>
          </a:r>
        </a:p>
      </dsp:txBody>
      <dsp:txXfrm>
        <a:off x="3501217" y="806370"/>
        <a:ext cx="831525" cy="3320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A9FCC"/>
        </a:solidFill>
        <a:ln>
          <a:noFill/>
        </a:ln>
      </a:spPr>
      <a:bodyPr lIns="9144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DESE-231-28446</_dlc_DocId>
    <_dlc_DocIdUrl xmlns="733efe1c-5bbe-4968-87dc-d400e65c879f">
      <Url>https://sharepoint.doemass.org/ese/webteam/cps/_layouts/DocIdRedir.aspx?ID=DESE-231-28446</Url>
      <Description>DESE-231-28446</Description>
    </_dlc_DocIdUrl>
  </documentManagement>
</p:properties>
</file>

<file path=customXml/itemProps1.xml><?xml version="1.0" encoding="utf-8"?>
<ds:datastoreItem xmlns:ds="http://schemas.openxmlformats.org/officeDocument/2006/customXml" ds:itemID="{BA178FD0-A791-4F6D-BC36-A0B38A158953}"/>
</file>

<file path=customXml/itemProps2.xml><?xml version="1.0" encoding="utf-8"?>
<ds:datastoreItem xmlns:ds="http://schemas.openxmlformats.org/officeDocument/2006/customXml" ds:itemID="{56F3B678-DCA8-49CA-B740-666E1A3325FD}"/>
</file>

<file path=customXml/itemProps3.xml><?xml version="1.0" encoding="utf-8"?>
<ds:datastoreItem xmlns:ds="http://schemas.openxmlformats.org/officeDocument/2006/customXml" ds:itemID="{96D1299D-7EC6-4C8B-90F4-D4AA701AC78D}"/>
</file>

<file path=customXml/itemProps4.xml><?xml version="1.0" encoding="utf-8"?>
<ds:datastoreItem xmlns:ds="http://schemas.openxmlformats.org/officeDocument/2006/customXml" ds:itemID="{481E0C79-C614-46EF-A05D-D216DED265AF}"/>
</file>

<file path=customXml/itemProps5.xml><?xml version="1.0" encoding="utf-8"?>
<ds:datastoreItem xmlns:ds="http://schemas.openxmlformats.org/officeDocument/2006/customXml" ds:itemID="{A82D89DB-1AA9-4089-944E-68F9AF32D6B7}"/>
</file>

<file path=docProps/app.xml><?xml version="1.0" encoding="utf-8"?>
<Properties xmlns="http://schemas.openxmlformats.org/officeDocument/2006/extended-properties" xmlns:vt="http://schemas.openxmlformats.org/officeDocument/2006/docPropsVTypes">
  <Template>Normal</Template>
  <TotalTime>64</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15807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2016-09-09T17:32:00Z</dcterms:created>
  <dc:creator>klefloch</dc:creator>
  <lastModifiedBy>txa</lastModifiedBy>
  <lastPrinted>2016-09-09T18:40:00Z</lastPrinted>
  <dcterms:modified xsi:type="dcterms:W3CDTF">2016-10-04T18:02:00Z</dcterms:modified>
  <revision>11</revision>
  <dc:title>Turnaround Practices Research Brief</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e00f470a-f317-45d7-bf65-3ab45699d043</vt:lpwstr>
  </property>
</Properties>
</file>