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30C43" w14:textId="74EC0D05" w:rsidR="0022171A" w:rsidRPr="00F8417D" w:rsidRDefault="0022171A" w:rsidP="009E4879">
      <w:pPr>
        <w:rPr>
          <w:b/>
          <w:color w:val="ED7D31" w:themeColor="accent2"/>
          <w:sz w:val="36"/>
          <w:szCs w:val="36"/>
        </w:rPr>
      </w:pPr>
      <w:bookmarkStart w:id="0" w:name="_GoBack"/>
      <w:bookmarkEnd w:id="0"/>
      <w:r>
        <w:rPr>
          <w:noProof/>
        </w:rPr>
        <w:drawing>
          <wp:inline distT="0" distB="0" distL="0" distR="0" wp14:anchorId="44E29DCB" wp14:editId="6C5E3389">
            <wp:extent cx="1247775" cy="609600"/>
            <wp:effectExtent l="0" t="0" r="9525" b="0"/>
            <wp:docPr id="1" name="Picture 1" descr="MA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b1b9bc08-7fff-5899-ad24-fc1603c6dfab" descr="MA ES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609600"/>
                    </a:xfrm>
                    <a:prstGeom prst="rect">
                      <a:avLst/>
                    </a:prstGeom>
                    <a:noFill/>
                    <a:ln>
                      <a:noFill/>
                    </a:ln>
                  </pic:spPr>
                </pic:pic>
              </a:graphicData>
            </a:graphic>
          </wp:inline>
        </w:drawing>
      </w:r>
    </w:p>
    <w:p w14:paraId="7B0A487E" w14:textId="77777777" w:rsidR="0022171A" w:rsidRPr="009E4879" w:rsidRDefault="0022171A" w:rsidP="00F8417D">
      <w:pPr>
        <w:spacing w:after="0"/>
        <w:jc w:val="center"/>
        <w:rPr>
          <w:b/>
          <w:color w:val="C45911" w:themeColor="accent2" w:themeShade="BF"/>
          <w:sz w:val="36"/>
          <w:szCs w:val="36"/>
        </w:rPr>
      </w:pPr>
      <w:r w:rsidRPr="009E4879">
        <w:rPr>
          <w:b/>
          <w:color w:val="C45911" w:themeColor="accent2" w:themeShade="BF"/>
          <w:sz w:val="36"/>
          <w:szCs w:val="36"/>
        </w:rPr>
        <w:t>Trotter Elementary School</w:t>
      </w:r>
    </w:p>
    <w:p w14:paraId="548C0807" w14:textId="77777777" w:rsidR="0022171A" w:rsidRPr="009E4879" w:rsidRDefault="00F8417D" w:rsidP="00F8417D">
      <w:pPr>
        <w:spacing w:after="0"/>
        <w:jc w:val="center"/>
        <w:rPr>
          <w:b/>
          <w:color w:val="C45911" w:themeColor="accent2" w:themeShade="BF"/>
          <w:sz w:val="36"/>
          <w:szCs w:val="36"/>
        </w:rPr>
      </w:pPr>
      <w:r w:rsidRPr="009E4879">
        <w:rPr>
          <w:b/>
          <w:color w:val="C45911" w:themeColor="accent2" w:themeShade="BF"/>
          <w:sz w:val="36"/>
          <w:szCs w:val="36"/>
        </w:rPr>
        <w:t>Video Facilitation Guide</w:t>
      </w:r>
    </w:p>
    <w:p w14:paraId="1B1CD0EF" w14:textId="77777777" w:rsidR="0022171A" w:rsidRDefault="0022171A" w:rsidP="0022171A"/>
    <w:p w14:paraId="3B8812E0" w14:textId="77777777" w:rsidR="0022171A" w:rsidRPr="004361E1" w:rsidRDefault="0022171A" w:rsidP="0022171A">
      <w:pPr>
        <w:spacing w:after="0" w:line="240" w:lineRule="auto"/>
        <w:rPr>
          <w:rFonts w:ascii="Times New Roman" w:eastAsia="Times New Roman" w:hAnsi="Times New Roman" w:cs="Times New Roman"/>
          <w:sz w:val="24"/>
          <w:szCs w:val="24"/>
        </w:rPr>
      </w:pPr>
      <w:r w:rsidRPr="004361E1">
        <w:rPr>
          <w:rFonts w:eastAsia="Times New Roman"/>
          <w:b/>
          <w:bCs/>
          <w:i/>
          <w:iCs/>
          <w:color w:val="000000"/>
          <w:sz w:val="24"/>
          <w:szCs w:val="24"/>
        </w:rPr>
        <w:t>Guiding Question:</w:t>
      </w:r>
      <w:r w:rsidRPr="004361E1">
        <w:rPr>
          <w:rFonts w:eastAsia="Times New Roman"/>
          <w:i/>
          <w:iCs/>
          <w:color w:val="000000"/>
        </w:rPr>
        <w:t xml:space="preserve"> What can we learn from Trotter Elementary School about creating a culture of high academic expectations for students? </w:t>
      </w:r>
    </w:p>
    <w:p w14:paraId="6E490219" w14:textId="77777777" w:rsidR="0022171A" w:rsidRPr="004361E1" w:rsidRDefault="004A443A" w:rsidP="002217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B155780">
          <v:rect id="_x0000_i1025" style="width:0;height:1.5pt" o:hralign="center" o:hrstd="t" o:hr="t" fillcolor="#a0a0a0" stroked="f"/>
        </w:pict>
      </w:r>
    </w:p>
    <w:p w14:paraId="01E27A6A" w14:textId="77777777" w:rsidR="0022171A" w:rsidRPr="004361E1" w:rsidRDefault="0022171A" w:rsidP="0022171A">
      <w:pPr>
        <w:spacing w:before="240" w:line="240" w:lineRule="auto"/>
        <w:rPr>
          <w:rFonts w:ascii="Times New Roman" w:eastAsia="Times New Roman" w:hAnsi="Times New Roman" w:cs="Times New Roman"/>
          <w:sz w:val="24"/>
          <w:szCs w:val="24"/>
        </w:rPr>
      </w:pPr>
      <w:r w:rsidRPr="004361E1">
        <w:rPr>
          <w:rFonts w:eastAsia="Times New Roman"/>
          <w:color w:val="000000"/>
        </w:rPr>
        <w:t xml:space="preserve">This video illustrates how </w:t>
      </w:r>
      <w:hyperlink r:id="rId10" w:history="1">
        <w:r w:rsidRPr="002D6B54">
          <w:rPr>
            <w:rStyle w:val="Hyperlink"/>
            <w:rFonts w:eastAsia="Times New Roman"/>
          </w:rPr>
          <w:t>Trotter Elementary School</w:t>
        </w:r>
      </w:hyperlink>
      <w:r w:rsidRPr="004361E1">
        <w:rPr>
          <w:rFonts w:eastAsia="Times New Roman"/>
          <w:color w:val="000000"/>
        </w:rPr>
        <w:t xml:space="preserve"> incorporated elements of Massachusetts’ four </w:t>
      </w:r>
      <w:hyperlink r:id="rId11" w:history="1">
        <w:r w:rsidRPr="004361E1">
          <w:rPr>
            <w:rFonts w:eastAsia="Times New Roman"/>
            <w:color w:val="1155CC"/>
            <w:u w:val="single"/>
          </w:rPr>
          <w:t>Turnaround Practices</w:t>
        </w:r>
      </w:hyperlink>
      <w:r w:rsidRPr="004361E1">
        <w:rPr>
          <w:rFonts w:eastAsia="Times New Roman"/>
          <w:color w:val="000000"/>
        </w:rPr>
        <w:t xml:space="preserve"> as they created a culture of high academic expectations for students. As you watch the video, identify how Trotter educators organized their practices around a common focus: promoting higher order thinking among students. </w:t>
      </w:r>
    </w:p>
    <w:p w14:paraId="687ED566" w14:textId="77777777" w:rsidR="0022171A" w:rsidRPr="004361E1" w:rsidRDefault="0022171A" w:rsidP="0022171A">
      <w:pPr>
        <w:spacing w:before="240" w:line="240" w:lineRule="auto"/>
        <w:rPr>
          <w:rFonts w:ascii="Times New Roman" w:eastAsia="Times New Roman" w:hAnsi="Times New Roman" w:cs="Times New Roman"/>
          <w:sz w:val="24"/>
          <w:szCs w:val="24"/>
        </w:rPr>
      </w:pPr>
      <w:r w:rsidRPr="004361E1">
        <w:rPr>
          <w:rFonts w:eastAsia="Times New Roman"/>
          <w:b/>
          <w:bCs/>
          <w:color w:val="000000"/>
        </w:rPr>
        <w:t xml:space="preserve">Leadership, Shared Responsibility, and Professional Collaboration </w:t>
      </w:r>
      <w:r w:rsidRPr="004361E1">
        <w:rPr>
          <w:rFonts w:eastAsia="Times New Roman"/>
          <w:b/>
          <w:bCs/>
          <w:i/>
          <w:iCs/>
          <w:color w:val="000000"/>
        </w:rPr>
        <w:t>(Turnaround Practice 1) </w:t>
      </w:r>
    </w:p>
    <w:p w14:paraId="64CDA04B" w14:textId="77777777" w:rsidR="0022171A" w:rsidRPr="004361E1" w:rsidRDefault="0022171A" w:rsidP="0022171A">
      <w:pPr>
        <w:numPr>
          <w:ilvl w:val="0"/>
          <w:numId w:val="1"/>
        </w:numPr>
        <w:spacing w:before="240" w:after="200" w:line="240" w:lineRule="auto"/>
        <w:textAlignment w:val="baseline"/>
        <w:rPr>
          <w:rFonts w:eastAsia="Times New Roman"/>
          <w:color w:val="000000"/>
        </w:rPr>
      </w:pPr>
      <w:r w:rsidRPr="004361E1">
        <w:rPr>
          <w:rFonts w:eastAsia="Times New Roman"/>
          <w:b/>
          <w:bCs/>
          <w:color w:val="000000"/>
        </w:rPr>
        <w:t xml:space="preserve">School leaders established a culture of high academic expectations. </w:t>
      </w:r>
      <w:r w:rsidRPr="004361E1">
        <w:rPr>
          <w:rFonts w:eastAsia="Times New Roman"/>
          <w:i/>
          <w:iCs/>
          <w:color w:val="000000"/>
        </w:rPr>
        <w:t xml:space="preserve">“We just really believed that there wasn’t any reason that children couldn’t do that work.” </w:t>
      </w:r>
      <w:r w:rsidRPr="004361E1">
        <w:rPr>
          <w:rFonts w:eastAsia="Times New Roman"/>
          <w:color w:val="000000"/>
        </w:rPr>
        <w:t>(Mairead, 1:03)</w:t>
      </w:r>
    </w:p>
    <w:p w14:paraId="3F8B3FDA" w14:textId="77777777" w:rsidR="0022171A" w:rsidRPr="004361E1" w:rsidRDefault="0022171A" w:rsidP="0022171A">
      <w:pPr>
        <w:numPr>
          <w:ilvl w:val="0"/>
          <w:numId w:val="1"/>
        </w:numPr>
        <w:spacing w:after="200" w:line="240" w:lineRule="auto"/>
        <w:textAlignment w:val="baseline"/>
        <w:rPr>
          <w:rFonts w:eastAsia="Times New Roman"/>
          <w:color w:val="000000"/>
        </w:rPr>
      </w:pPr>
      <w:r w:rsidRPr="004361E1">
        <w:rPr>
          <w:rFonts w:eastAsia="Times New Roman"/>
          <w:b/>
          <w:bCs/>
          <w:color w:val="000000"/>
        </w:rPr>
        <w:t>Teachers participate in identifying and monitoring implementation of new tools</w:t>
      </w:r>
      <w:r w:rsidRPr="004361E1">
        <w:rPr>
          <w:rFonts w:eastAsia="Times New Roman"/>
          <w:color w:val="000000"/>
        </w:rPr>
        <w:t xml:space="preserve">. </w:t>
      </w:r>
      <w:r w:rsidRPr="004361E1">
        <w:rPr>
          <w:rFonts w:eastAsia="Times New Roman"/>
          <w:i/>
          <w:iCs/>
          <w:color w:val="000000"/>
        </w:rPr>
        <w:t xml:space="preserve">“...we talked about what do we need to do to take these kids to the next level? It was great, because I actually had input on deciding what curriculum we wanted to use. And it was wonderful because we got to pilot it, and we're getting better each year…” </w:t>
      </w:r>
      <w:r w:rsidRPr="004361E1">
        <w:rPr>
          <w:rFonts w:eastAsia="Times New Roman"/>
          <w:color w:val="000000"/>
        </w:rPr>
        <w:t>(Georgeann, 2:13) </w:t>
      </w:r>
    </w:p>
    <w:p w14:paraId="5C1D6988" w14:textId="77777777" w:rsidR="0022171A" w:rsidRPr="004361E1" w:rsidRDefault="0022171A" w:rsidP="0022171A">
      <w:pPr>
        <w:spacing w:line="240" w:lineRule="auto"/>
        <w:rPr>
          <w:rFonts w:ascii="Times New Roman" w:eastAsia="Times New Roman" w:hAnsi="Times New Roman" w:cs="Times New Roman"/>
          <w:sz w:val="24"/>
          <w:szCs w:val="24"/>
        </w:rPr>
      </w:pPr>
      <w:r w:rsidRPr="004361E1">
        <w:rPr>
          <w:rFonts w:eastAsia="Times New Roman"/>
          <w:b/>
          <w:bCs/>
          <w:color w:val="000000"/>
        </w:rPr>
        <w:t xml:space="preserve">Intentional Practices for Improving Instruction </w:t>
      </w:r>
      <w:r w:rsidRPr="004361E1">
        <w:rPr>
          <w:rFonts w:eastAsia="Times New Roman"/>
          <w:b/>
          <w:bCs/>
          <w:i/>
          <w:iCs/>
          <w:color w:val="000000"/>
        </w:rPr>
        <w:t>(Turnaround Practice 2) </w:t>
      </w:r>
    </w:p>
    <w:p w14:paraId="6F66705A" w14:textId="77777777" w:rsidR="0022171A" w:rsidRPr="004361E1" w:rsidRDefault="0022171A" w:rsidP="0022171A">
      <w:pPr>
        <w:numPr>
          <w:ilvl w:val="0"/>
          <w:numId w:val="2"/>
        </w:numPr>
        <w:spacing w:after="200" w:line="240" w:lineRule="auto"/>
        <w:textAlignment w:val="baseline"/>
        <w:rPr>
          <w:rFonts w:eastAsia="Times New Roman"/>
          <w:color w:val="000000"/>
        </w:rPr>
      </w:pPr>
      <w:r w:rsidRPr="004361E1">
        <w:rPr>
          <w:rFonts w:eastAsia="Times New Roman"/>
          <w:b/>
          <w:bCs/>
          <w:color w:val="000000"/>
        </w:rPr>
        <w:t>Teachers and teacher teams use student data to adapt and improve instructional strategies</w:t>
      </w:r>
      <w:r w:rsidRPr="004361E1">
        <w:rPr>
          <w:rFonts w:eastAsia="Times New Roman"/>
          <w:color w:val="000000"/>
        </w:rPr>
        <w:t>. “</w:t>
      </w:r>
      <w:r w:rsidRPr="004361E1">
        <w:rPr>
          <w:rFonts w:eastAsia="Times New Roman"/>
          <w:i/>
          <w:iCs/>
          <w:color w:val="000000"/>
        </w:rPr>
        <w:t xml:space="preserve">We really consider the progress monitoring teams and the grade level team meetings as another type of professional development. You're building skills when you support people as a group in looking at student data” </w:t>
      </w:r>
      <w:r w:rsidRPr="004361E1">
        <w:rPr>
          <w:rFonts w:eastAsia="Times New Roman"/>
          <w:color w:val="000000"/>
        </w:rPr>
        <w:t>(Mairead, 5:23)</w:t>
      </w:r>
    </w:p>
    <w:p w14:paraId="47F126C1" w14:textId="77777777" w:rsidR="0022171A" w:rsidRPr="004361E1" w:rsidRDefault="0022171A" w:rsidP="0022171A">
      <w:pPr>
        <w:numPr>
          <w:ilvl w:val="0"/>
          <w:numId w:val="2"/>
        </w:numPr>
        <w:spacing w:after="200" w:line="240" w:lineRule="auto"/>
        <w:textAlignment w:val="baseline"/>
        <w:rPr>
          <w:rFonts w:eastAsia="Times New Roman"/>
          <w:color w:val="000000"/>
        </w:rPr>
      </w:pPr>
      <w:r w:rsidRPr="004361E1">
        <w:rPr>
          <w:rFonts w:eastAsia="Times New Roman"/>
          <w:b/>
          <w:bCs/>
          <w:color w:val="000000"/>
        </w:rPr>
        <w:t>Teachers reflect and improve their own practice.</w:t>
      </w:r>
      <w:r w:rsidRPr="004361E1">
        <w:rPr>
          <w:rFonts w:eastAsia="Times New Roman"/>
          <w:color w:val="000000"/>
        </w:rPr>
        <w:t xml:space="preserve"> </w:t>
      </w:r>
      <w:r w:rsidRPr="004361E1">
        <w:rPr>
          <w:rFonts w:eastAsia="Times New Roman"/>
          <w:i/>
          <w:iCs/>
          <w:color w:val="000000"/>
        </w:rPr>
        <w:t>“And I've watched the way that I interact with students too. Not providing the answers, but pushing so that they can explain their own thinking, so that they can self-correct and learn”</w:t>
      </w:r>
      <w:r w:rsidRPr="004361E1">
        <w:rPr>
          <w:rFonts w:eastAsia="Times New Roman"/>
          <w:color w:val="000000"/>
        </w:rPr>
        <w:t xml:space="preserve"> (Georgeann, 8:45) </w:t>
      </w:r>
    </w:p>
    <w:p w14:paraId="09688FE9" w14:textId="77777777" w:rsidR="0022171A" w:rsidRPr="004361E1" w:rsidRDefault="0022171A" w:rsidP="0022171A">
      <w:pPr>
        <w:spacing w:after="0" w:line="240" w:lineRule="auto"/>
        <w:rPr>
          <w:rFonts w:ascii="Times New Roman" w:eastAsia="Times New Roman" w:hAnsi="Times New Roman" w:cs="Times New Roman"/>
          <w:sz w:val="24"/>
          <w:szCs w:val="24"/>
        </w:rPr>
      </w:pPr>
    </w:p>
    <w:p w14:paraId="0B65904D" w14:textId="77777777" w:rsidR="0022171A" w:rsidRPr="009E4879" w:rsidRDefault="0022171A" w:rsidP="0022171A">
      <w:pPr>
        <w:spacing w:line="240" w:lineRule="auto"/>
        <w:jc w:val="center"/>
        <w:rPr>
          <w:rFonts w:ascii="Times New Roman" w:eastAsia="Times New Roman" w:hAnsi="Times New Roman" w:cs="Times New Roman"/>
          <w:color w:val="C45911" w:themeColor="accent2" w:themeShade="BF"/>
          <w:sz w:val="28"/>
          <w:szCs w:val="28"/>
        </w:rPr>
      </w:pPr>
      <w:r w:rsidRPr="009E4879">
        <w:rPr>
          <w:rFonts w:eastAsia="Times New Roman"/>
          <w:b/>
          <w:bCs/>
          <w:i/>
          <w:iCs/>
          <w:color w:val="C45911" w:themeColor="accent2" w:themeShade="BF"/>
          <w:sz w:val="28"/>
          <w:szCs w:val="28"/>
        </w:rPr>
        <w:t>Related Resources </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22171A" w:rsidRPr="004361E1" w14:paraId="1E1A00F3" w14:textId="77777777" w:rsidTr="00930F38">
        <w:trPr>
          <w:trHeight w:val="1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D855B" w14:textId="77777777" w:rsidR="0022171A" w:rsidRPr="004361E1" w:rsidRDefault="004A443A" w:rsidP="00930F38">
            <w:pPr>
              <w:spacing w:after="0" w:line="240" w:lineRule="auto"/>
              <w:rPr>
                <w:rFonts w:ascii="Times New Roman" w:eastAsia="Times New Roman" w:hAnsi="Times New Roman" w:cs="Times New Roman"/>
                <w:sz w:val="24"/>
                <w:szCs w:val="24"/>
              </w:rPr>
            </w:pPr>
            <w:hyperlink r:id="rId12" w:history="1">
              <w:r w:rsidR="0022171A" w:rsidRPr="004361E1">
                <w:rPr>
                  <w:rFonts w:eastAsia="Times New Roman"/>
                  <w:color w:val="1155CC"/>
                  <w:u w:val="single"/>
                </w:rPr>
                <w:t>Research on Effective Practices in School Turnaround</w:t>
              </w:r>
            </w:hyperlink>
            <w:r w:rsidR="0022171A" w:rsidRPr="004361E1">
              <w:rPr>
                <w:rFonts w:eastAsia="Times New Roman"/>
                <w:color w:val="000000"/>
              </w:rPr>
              <w:t xml:space="preserve"> - Learn more about the four key practices that c</w:t>
            </w:r>
            <w:r w:rsidR="0044796E">
              <w:rPr>
                <w:rFonts w:eastAsia="Times New Roman"/>
                <w:color w:val="000000"/>
              </w:rPr>
              <w:t>haracterize effective sustainable improvement efforts</w:t>
            </w:r>
            <w:r w:rsidR="0022171A" w:rsidRPr="004361E1">
              <w:rPr>
                <w:rFonts w:eastAsia="Times New Roman"/>
                <w:color w:val="000000"/>
              </w:rPr>
              <w:t xml:space="preserve"> in Massachusetts schools </w:t>
            </w:r>
          </w:p>
          <w:p w14:paraId="68D1D46A" w14:textId="77777777" w:rsidR="0022171A" w:rsidRPr="004361E1" w:rsidRDefault="0022171A" w:rsidP="00930F38">
            <w:pPr>
              <w:spacing w:after="0" w:line="240" w:lineRule="auto"/>
              <w:rPr>
                <w:rFonts w:ascii="Times New Roman" w:eastAsia="Times New Roman" w:hAnsi="Times New Roman" w:cs="Times New Roman"/>
                <w:sz w:val="24"/>
                <w:szCs w:val="24"/>
              </w:rPr>
            </w:pPr>
          </w:p>
          <w:p w14:paraId="54CED6F9" w14:textId="77777777" w:rsidR="0022171A" w:rsidRPr="004361E1" w:rsidRDefault="004A443A" w:rsidP="00930F38">
            <w:pPr>
              <w:spacing w:after="0" w:line="240" w:lineRule="auto"/>
              <w:rPr>
                <w:rFonts w:ascii="Times New Roman" w:eastAsia="Times New Roman" w:hAnsi="Times New Roman" w:cs="Times New Roman"/>
                <w:sz w:val="24"/>
                <w:szCs w:val="24"/>
              </w:rPr>
            </w:pPr>
            <w:hyperlink r:id="rId13" w:history="1">
              <w:r w:rsidR="0044796E">
                <w:rPr>
                  <w:rFonts w:eastAsia="Times New Roman"/>
                  <w:color w:val="1155CC"/>
                  <w:u w:val="single"/>
                </w:rPr>
                <w:t>Sustainable Improvement</w:t>
              </w:r>
              <w:r w:rsidR="0022171A" w:rsidRPr="004361E1">
                <w:rPr>
                  <w:rFonts w:eastAsia="Times New Roman"/>
                  <w:color w:val="1155CC"/>
                  <w:u w:val="single"/>
                </w:rPr>
                <w:t xml:space="preserve"> Plan Guidance</w:t>
              </w:r>
            </w:hyperlink>
            <w:r w:rsidR="0022171A" w:rsidRPr="004361E1">
              <w:rPr>
                <w:rFonts w:eastAsia="Times New Roman"/>
                <w:color w:val="000000"/>
              </w:rPr>
              <w:t xml:space="preserve"> - Resources for districts and schools on deve</w:t>
            </w:r>
            <w:r w:rsidR="0044796E">
              <w:rPr>
                <w:rFonts w:eastAsia="Times New Roman"/>
                <w:color w:val="000000"/>
              </w:rPr>
              <w:t>loping an effective sustainable improvement p</w:t>
            </w:r>
            <w:r w:rsidR="0022171A" w:rsidRPr="004361E1">
              <w:rPr>
                <w:rFonts w:eastAsia="Times New Roman"/>
                <w:color w:val="000000"/>
              </w:rPr>
              <w:t>lan, including how to use data to identify school assets, challenges, and engage in root cause analysis </w:t>
            </w:r>
          </w:p>
        </w:tc>
      </w:tr>
    </w:tbl>
    <w:p w14:paraId="66A332BB" w14:textId="77777777" w:rsidR="0022171A" w:rsidRPr="004361E1" w:rsidRDefault="0022171A" w:rsidP="00F8417D">
      <w:pPr>
        <w:spacing w:after="240" w:line="240" w:lineRule="auto"/>
        <w:rPr>
          <w:rFonts w:ascii="Times New Roman" w:eastAsia="Times New Roman" w:hAnsi="Times New Roman" w:cs="Times New Roman"/>
          <w:sz w:val="24"/>
          <w:szCs w:val="24"/>
        </w:rPr>
      </w:pPr>
      <w:r w:rsidRPr="004361E1">
        <w:rPr>
          <w:rFonts w:eastAsia="Times New Roman"/>
          <w:b/>
          <w:bCs/>
          <w:color w:val="000000"/>
        </w:rPr>
        <w:lastRenderedPageBreak/>
        <w:t xml:space="preserve">Detailed Reflection Questions. </w:t>
      </w:r>
      <w:r w:rsidRPr="004361E1">
        <w:rPr>
          <w:rFonts w:eastAsia="Times New Roman"/>
          <w:color w:val="000000"/>
        </w:rPr>
        <w:t>The following sections of the video illustrate key points that the Trotter team identified as critical levers for their success. As you watch the video, consider pausing after viewing the indicated times, and reflecting on the following questions. </w:t>
      </w:r>
    </w:p>
    <w:p w14:paraId="1DDE2294" w14:textId="77777777" w:rsidR="0022171A" w:rsidRPr="004361E1" w:rsidRDefault="004A443A" w:rsidP="002217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CCABEB0">
          <v:rect id="_x0000_i1026" style="width:0;height:1.5pt" o:hralign="center" o:hrstd="t" o:hr="t" fillcolor="#a0a0a0" stroked="f"/>
        </w:pict>
      </w:r>
    </w:p>
    <w:p w14:paraId="6DE137CB" w14:textId="77777777" w:rsidR="0022171A" w:rsidRPr="004361E1" w:rsidRDefault="0022171A" w:rsidP="0022171A">
      <w:pPr>
        <w:spacing w:line="240" w:lineRule="auto"/>
        <w:rPr>
          <w:rFonts w:ascii="Times New Roman" w:eastAsia="Times New Roman" w:hAnsi="Times New Roman" w:cs="Times New Roman"/>
          <w:sz w:val="24"/>
          <w:szCs w:val="24"/>
        </w:rPr>
      </w:pPr>
      <w:r w:rsidRPr="004361E1">
        <w:rPr>
          <w:rFonts w:eastAsia="Times New Roman"/>
          <w:b/>
          <w:bCs/>
          <w:color w:val="000000"/>
        </w:rPr>
        <w:t>Changing teacher perceptions</w:t>
      </w:r>
    </w:p>
    <w:p w14:paraId="74265124" w14:textId="77777777" w:rsidR="0022171A" w:rsidRPr="004361E1" w:rsidRDefault="0022171A" w:rsidP="0022171A">
      <w:pPr>
        <w:spacing w:line="240" w:lineRule="auto"/>
        <w:rPr>
          <w:rFonts w:ascii="Times New Roman" w:eastAsia="Times New Roman" w:hAnsi="Times New Roman" w:cs="Times New Roman"/>
          <w:sz w:val="24"/>
          <w:szCs w:val="24"/>
        </w:rPr>
      </w:pPr>
      <w:r w:rsidRPr="004361E1">
        <w:rPr>
          <w:rFonts w:eastAsia="Times New Roman"/>
          <w:color w:val="000000"/>
        </w:rPr>
        <w:t>(4:26-5:22) What did some teachers initially believe about their students? How did professional development help change perception? The principal described one particular teacher's role as uniquely important.  Why was this teacher’s reaction especially powerful?  </w:t>
      </w:r>
    </w:p>
    <w:p w14:paraId="7D03CF94" w14:textId="77777777" w:rsidR="0022171A" w:rsidRPr="004361E1" w:rsidRDefault="0022171A" w:rsidP="0022171A">
      <w:pPr>
        <w:spacing w:line="240" w:lineRule="auto"/>
        <w:rPr>
          <w:rFonts w:ascii="Times New Roman" w:eastAsia="Times New Roman" w:hAnsi="Times New Roman" w:cs="Times New Roman"/>
          <w:sz w:val="24"/>
          <w:szCs w:val="24"/>
        </w:rPr>
      </w:pPr>
      <w:r w:rsidRPr="004361E1">
        <w:rPr>
          <w:rFonts w:eastAsia="Times New Roman"/>
          <w:b/>
          <w:bCs/>
          <w:color w:val="000000"/>
        </w:rPr>
        <w:t>Lesson plan template </w:t>
      </w:r>
    </w:p>
    <w:p w14:paraId="163F6A90" w14:textId="77777777" w:rsidR="0022171A" w:rsidRPr="004361E1" w:rsidRDefault="0022171A" w:rsidP="0022171A">
      <w:pPr>
        <w:spacing w:line="240" w:lineRule="auto"/>
        <w:rPr>
          <w:rFonts w:ascii="Times New Roman" w:eastAsia="Times New Roman" w:hAnsi="Times New Roman" w:cs="Times New Roman"/>
          <w:sz w:val="24"/>
          <w:szCs w:val="24"/>
        </w:rPr>
      </w:pPr>
      <w:r w:rsidRPr="004361E1">
        <w:rPr>
          <w:rFonts w:eastAsia="Times New Roman"/>
          <w:color w:val="000000"/>
        </w:rPr>
        <w:t>(6:14-6:51) How does the lesson plan template support the school’s focus on higher order thinking? What activities in professional development built teachers capacity to write higher order questions? Why might it be important to revisit what might seem like “basic” work when implementing a new strategy? </w:t>
      </w:r>
    </w:p>
    <w:p w14:paraId="19E7CB4A" w14:textId="77777777" w:rsidR="0022171A" w:rsidRPr="004361E1" w:rsidRDefault="0022171A" w:rsidP="0022171A">
      <w:pPr>
        <w:spacing w:line="240" w:lineRule="auto"/>
        <w:rPr>
          <w:rFonts w:ascii="Times New Roman" w:eastAsia="Times New Roman" w:hAnsi="Times New Roman" w:cs="Times New Roman"/>
          <w:sz w:val="24"/>
          <w:szCs w:val="24"/>
        </w:rPr>
      </w:pPr>
      <w:r w:rsidRPr="004361E1">
        <w:rPr>
          <w:rFonts w:eastAsia="Times New Roman"/>
          <w:b/>
          <w:bCs/>
          <w:color w:val="000000"/>
        </w:rPr>
        <w:t>Peer observations </w:t>
      </w:r>
    </w:p>
    <w:p w14:paraId="6C6E9977" w14:textId="77777777" w:rsidR="0022171A" w:rsidRPr="004361E1" w:rsidRDefault="0022171A" w:rsidP="0022171A">
      <w:pPr>
        <w:spacing w:line="240" w:lineRule="auto"/>
        <w:rPr>
          <w:rFonts w:ascii="Times New Roman" w:eastAsia="Times New Roman" w:hAnsi="Times New Roman" w:cs="Times New Roman"/>
          <w:sz w:val="24"/>
          <w:szCs w:val="24"/>
        </w:rPr>
      </w:pPr>
      <w:r w:rsidRPr="004361E1">
        <w:rPr>
          <w:rFonts w:eastAsia="Times New Roman"/>
          <w:color w:val="000000"/>
        </w:rPr>
        <w:t xml:space="preserve">(6:52-7:46) </w:t>
      </w:r>
      <w:r w:rsidRPr="004361E1">
        <w:rPr>
          <w:rFonts w:ascii="Arial" w:eastAsia="Times New Roman" w:hAnsi="Arial" w:cs="Arial"/>
          <w:color w:val="000000"/>
          <w:sz w:val="21"/>
          <w:szCs w:val="21"/>
          <w:shd w:val="clear" w:color="auto" w:fill="FFFFFF"/>
        </w:rPr>
        <w:t>How did peer observation contribute to improving instruction?</w:t>
      </w:r>
      <w:r w:rsidRPr="004361E1">
        <w:rPr>
          <w:rFonts w:eastAsia="Times New Roman"/>
          <w:color w:val="000000"/>
        </w:rPr>
        <w:t xml:space="preserve"> In what area of inquiry are peer observations focused? </w:t>
      </w:r>
      <w:r w:rsidRPr="004361E1">
        <w:rPr>
          <w:rFonts w:ascii="Arial" w:eastAsia="Times New Roman" w:hAnsi="Arial" w:cs="Arial"/>
          <w:color w:val="000000"/>
          <w:sz w:val="21"/>
          <w:szCs w:val="21"/>
          <w:shd w:val="clear" w:color="auto" w:fill="FFFFFF"/>
        </w:rPr>
        <w:t xml:space="preserve">What specific teacher and student actions are observers seeking? </w:t>
      </w:r>
      <w:r w:rsidRPr="004361E1">
        <w:rPr>
          <w:rFonts w:eastAsia="Times New Roman"/>
          <w:color w:val="000000"/>
        </w:rPr>
        <w:t>What did they find in an observation session? What next steps were identified? </w:t>
      </w:r>
    </w:p>
    <w:p w14:paraId="6A026449" w14:textId="77777777" w:rsidR="0022171A" w:rsidRPr="004361E1" w:rsidRDefault="0022171A" w:rsidP="0022171A">
      <w:pPr>
        <w:spacing w:after="0" w:line="240" w:lineRule="auto"/>
        <w:rPr>
          <w:rFonts w:ascii="Times New Roman" w:eastAsia="Times New Roman" w:hAnsi="Times New Roman" w:cs="Times New Roman"/>
          <w:sz w:val="24"/>
          <w:szCs w:val="24"/>
        </w:rPr>
      </w:pPr>
    </w:p>
    <w:p w14:paraId="78CE40AC" w14:textId="77777777" w:rsidR="0022171A" w:rsidRPr="004361E1" w:rsidRDefault="004A443A" w:rsidP="002217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9024312">
          <v:rect id="_x0000_i1027" style="width:0;height:1.5pt" o:hralign="center" o:hrstd="t" o:hr="t" fillcolor="#a0a0a0" stroked="f"/>
        </w:pict>
      </w:r>
    </w:p>
    <w:p w14:paraId="1B9405DD" w14:textId="77777777" w:rsidR="0022171A" w:rsidRPr="00FF333F" w:rsidRDefault="0022171A" w:rsidP="0022171A">
      <w:pPr>
        <w:spacing w:after="0" w:line="240" w:lineRule="auto"/>
        <w:rPr>
          <w:rFonts w:ascii="Times New Roman" w:eastAsia="Times New Roman" w:hAnsi="Times New Roman" w:cs="Times New Roman"/>
          <w:sz w:val="24"/>
          <w:szCs w:val="24"/>
        </w:rPr>
      </w:pPr>
      <w:r w:rsidRPr="00FF333F">
        <w:rPr>
          <w:rFonts w:eastAsia="Times New Roman"/>
          <w:b/>
          <w:bCs/>
          <w:color w:val="000000"/>
        </w:rPr>
        <w:t>Additional Reflections for Your Context </w:t>
      </w:r>
    </w:p>
    <w:p w14:paraId="18B1C109" w14:textId="77777777" w:rsidR="0022171A" w:rsidRPr="00FF333F" w:rsidRDefault="0022171A" w:rsidP="0022171A">
      <w:pPr>
        <w:numPr>
          <w:ilvl w:val="0"/>
          <w:numId w:val="3"/>
        </w:numPr>
        <w:spacing w:after="0" w:line="240" w:lineRule="auto"/>
        <w:textAlignment w:val="baseline"/>
        <w:rPr>
          <w:rFonts w:eastAsia="Times New Roman"/>
          <w:color w:val="222222"/>
        </w:rPr>
      </w:pPr>
      <w:r w:rsidRPr="00FF333F">
        <w:rPr>
          <w:rFonts w:eastAsia="Times New Roman"/>
          <w:color w:val="222222"/>
        </w:rPr>
        <w:t>What strategies, insights, or specific actions from the video most resonate with you?</w:t>
      </w:r>
    </w:p>
    <w:p w14:paraId="76473043" w14:textId="77777777" w:rsidR="0022171A" w:rsidRPr="00FF333F" w:rsidRDefault="0022171A" w:rsidP="0022171A">
      <w:pPr>
        <w:numPr>
          <w:ilvl w:val="0"/>
          <w:numId w:val="3"/>
        </w:numPr>
        <w:spacing w:after="0" w:line="240" w:lineRule="auto"/>
        <w:textAlignment w:val="baseline"/>
        <w:rPr>
          <w:rFonts w:eastAsia="Times New Roman"/>
          <w:color w:val="222222"/>
        </w:rPr>
      </w:pPr>
      <w:r w:rsidRPr="00FF333F">
        <w:rPr>
          <w:rFonts w:eastAsia="Times New Roman"/>
          <w:color w:val="222222"/>
        </w:rPr>
        <w:t>What questions do you have about the video? </w:t>
      </w:r>
    </w:p>
    <w:p w14:paraId="24136ACF" w14:textId="77777777" w:rsidR="0022171A" w:rsidRPr="00FF333F" w:rsidRDefault="0022171A" w:rsidP="0022171A">
      <w:pPr>
        <w:numPr>
          <w:ilvl w:val="0"/>
          <w:numId w:val="3"/>
        </w:numPr>
        <w:spacing w:after="0" w:line="240" w:lineRule="auto"/>
        <w:textAlignment w:val="baseline"/>
        <w:rPr>
          <w:rFonts w:eastAsia="Times New Roman"/>
          <w:color w:val="222222"/>
        </w:rPr>
      </w:pPr>
      <w:r w:rsidRPr="00FF333F">
        <w:rPr>
          <w:rFonts w:eastAsia="Times New Roman"/>
          <w:color w:val="222222"/>
        </w:rPr>
        <w:t>What strategies or actions did you see in the video that you are already doing in your classroom, school, or district? </w:t>
      </w:r>
    </w:p>
    <w:p w14:paraId="17F55367" w14:textId="77777777" w:rsidR="0022171A" w:rsidRPr="00FF333F" w:rsidRDefault="0022171A" w:rsidP="0022171A">
      <w:pPr>
        <w:numPr>
          <w:ilvl w:val="0"/>
          <w:numId w:val="3"/>
        </w:numPr>
        <w:spacing w:after="0" w:line="240" w:lineRule="auto"/>
        <w:textAlignment w:val="baseline"/>
        <w:rPr>
          <w:rFonts w:eastAsia="Times New Roman"/>
          <w:color w:val="222222"/>
        </w:rPr>
      </w:pPr>
      <w:r w:rsidRPr="00FF333F">
        <w:rPr>
          <w:rFonts w:eastAsia="Times New Roman"/>
          <w:color w:val="222222"/>
        </w:rPr>
        <w:t>What strategies or actions did you see that you could consider implementing in your classroom, school, or district?</w:t>
      </w:r>
    </w:p>
    <w:p w14:paraId="398D65D8" w14:textId="77777777" w:rsidR="0022171A" w:rsidRPr="00FF333F" w:rsidRDefault="0022171A" w:rsidP="0022171A">
      <w:pPr>
        <w:numPr>
          <w:ilvl w:val="0"/>
          <w:numId w:val="3"/>
        </w:numPr>
        <w:spacing w:after="0" w:line="240" w:lineRule="auto"/>
        <w:textAlignment w:val="baseline"/>
        <w:rPr>
          <w:rFonts w:eastAsia="Times New Roman"/>
          <w:color w:val="222222"/>
        </w:rPr>
      </w:pPr>
      <w:r w:rsidRPr="00FF333F">
        <w:rPr>
          <w:rFonts w:eastAsia="Times New Roman"/>
          <w:color w:val="222222"/>
        </w:rPr>
        <w:t>What are the next steps for your classroom, school or district planning?</w:t>
      </w:r>
    </w:p>
    <w:p w14:paraId="0088D7A1" w14:textId="77777777" w:rsidR="0022171A" w:rsidRPr="004361E1" w:rsidRDefault="004A443A" w:rsidP="002217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6D40146">
          <v:rect id="_x0000_i1028" style="width:0;height:1.5pt" o:hralign="center" o:hrstd="t" o:hr="t" fillcolor="#a0a0a0" stroked="f"/>
        </w:pict>
      </w:r>
    </w:p>
    <w:p w14:paraId="1CC4EBE5" w14:textId="77777777" w:rsidR="0022171A" w:rsidRDefault="0022171A" w:rsidP="0022171A">
      <w:pPr>
        <w:rPr>
          <w:color w:val="222222"/>
        </w:rPr>
      </w:pPr>
    </w:p>
    <w:p w14:paraId="499A70B5" w14:textId="77777777" w:rsidR="0022171A" w:rsidRPr="0022171A" w:rsidRDefault="0022171A" w:rsidP="0022171A">
      <w:pPr>
        <w:jc w:val="center"/>
      </w:pPr>
    </w:p>
    <w:sectPr w:rsidR="0022171A" w:rsidRPr="00221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C71E7"/>
    <w:multiLevelType w:val="multilevel"/>
    <w:tmpl w:val="F3B6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E3771"/>
    <w:multiLevelType w:val="multilevel"/>
    <w:tmpl w:val="60AC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A6EAE"/>
    <w:multiLevelType w:val="multilevel"/>
    <w:tmpl w:val="D028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71A"/>
    <w:rsid w:val="0022171A"/>
    <w:rsid w:val="002D6B54"/>
    <w:rsid w:val="0044796E"/>
    <w:rsid w:val="004A443A"/>
    <w:rsid w:val="0054098F"/>
    <w:rsid w:val="009E4879"/>
    <w:rsid w:val="00EB19ED"/>
    <w:rsid w:val="00F31CB9"/>
    <w:rsid w:val="00F8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C6EE"/>
  <w15:chartTrackingRefBased/>
  <w15:docId w15:val="{FDFEDC14-9514-4F72-B1BC-AF563A16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B54"/>
    <w:rPr>
      <w:color w:val="0563C1" w:themeColor="hyperlink"/>
      <w:u w:val="single"/>
    </w:rPr>
  </w:style>
  <w:style w:type="character" w:customStyle="1" w:styleId="UnresolvedMention1">
    <w:name w:val="Unresolved Mention1"/>
    <w:basedOn w:val="DefaultParagraphFont"/>
    <w:uiPriority w:val="99"/>
    <w:semiHidden/>
    <w:unhideWhenUsed/>
    <w:rsid w:val="002D6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turnaround/level4/guidanc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turnaround/howitworks/turnaround-practices-50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turnaround/howitworks/turnaround-practices-508.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youtu.be/WZMuCKQEDZ8"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DESE-231-56566</_dlc_DocId>
    <_dlc_DocIdUrl xmlns="733efe1c-5bbe-4968-87dc-d400e65c879f">
      <Url>https://sharepoint.doemass.org/ese/webteam/cps/_layouts/DocIdRedir.aspx?ID=DESE-231-56566</Url>
      <Description>DESE-231-56566</Description>
    </_dlc_DocIdUrl>
  </documentManagement>
</p:properties>
</file>

<file path=customXml/itemProps1.xml><?xml version="1.0" encoding="utf-8"?>
<ds:datastoreItem xmlns:ds="http://schemas.openxmlformats.org/officeDocument/2006/customXml" ds:itemID="{F58F8E01-2C46-4CE9-BAD6-BB773261E06E}">
  <ds:schemaRefs>
    <ds:schemaRef ds:uri="http://schemas.microsoft.com/sharepoint/v3/contenttype/forms"/>
  </ds:schemaRefs>
</ds:datastoreItem>
</file>

<file path=customXml/itemProps2.xml><?xml version="1.0" encoding="utf-8"?>
<ds:datastoreItem xmlns:ds="http://schemas.openxmlformats.org/officeDocument/2006/customXml" ds:itemID="{3A1A0F2D-A421-4C5C-ACEA-12644E823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56B4F-7291-4F41-B161-6E243B0F9E58}">
  <ds:schemaRefs>
    <ds:schemaRef ds:uri="http://schemas.microsoft.com/sharepoint/events"/>
  </ds:schemaRefs>
</ds:datastoreItem>
</file>

<file path=customXml/itemProps4.xml><?xml version="1.0" encoding="utf-8"?>
<ds:datastoreItem xmlns:ds="http://schemas.openxmlformats.org/officeDocument/2006/customXml" ds:itemID="{5BB5E1D9-25F2-4398-9545-C1520B6BE4A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572</Words>
  <Characters>3326</Characters>
  <Application>Microsoft Office Word</Application>
  <DocSecurity>0</DocSecurity>
  <Lines>63</Lines>
  <Paragraphs>26</Paragraphs>
  <ScaleCrop>false</ScaleCrop>
  <HeadingPairs>
    <vt:vector size="2" baseType="variant">
      <vt:variant>
        <vt:lpstr>Title</vt:lpstr>
      </vt:variant>
      <vt:variant>
        <vt:i4>1</vt:i4>
      </vt:variant>
    </vt:vector>
  </HeadingPairs>
  <TitlesOfParts>
    <vt:vector size="1" baseType="lpstr">
      <vt:lpstr>Trotter Video Guide</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Trotter Video Guide</dc:title>
  <dc:subject>Trotter Video Guide</dc:subject>
  <dc:creator>Amanda Trainor</dc:creator>
  <cp:keywords/>
  <dc:description/>
  <cp:lastModifiedBy>O'Brien-Driscoll, Courtney (EOE)</cp:lastModifiedBy>
  <cp:revision>6</cp:revision>
  <dcterms:created xsi:type="dcterms:W3CDTF">2019-09-27T16:44:00Z</dcterms:created>
  <dcterms:modified xsi:type="dcterms:W3CDTF">2019-12-03T19:39:00Z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ba5157d2-7f0d-4d48-9a00-f519f9426c83</vt:lpwstr>
  </property>
  <property fmtid="{D5CDD505-2E9C-101B-9397-08002B2CF9AE}" pid="4" name="metadate">
    <vt:lpwstr>Dec 2 2019</vt:lpwstr>
  </property>
</Properties>
</file>