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B8AB7" w14:textId="77777777" w:rsidR="009D6D53" w:rsidRDefault="009D6D53" w:rsidP="00195763">
      <w:pPr>
        <w:spacing w:before="280" w:after="80" w:line="240" w:lineRule="auto"/>
        <w:outlineLvl w:val="2"/>
        <w:rPr>
          <w:rFonts w:ascii="Calibri" w:eastAsia="Times New Roman" w:hAnsi="Calibri" w:cs="Calibri"/>
          <w:b/>
          <w:bCs/>
          <w:color w:val="000000"/>
          <w:sz w:val="27"/>
          <w:szCs w:val="27"/>
        </w:rPr>
      </w:pPr>
    </w:p>
    <w:p w14:paraId="246585FE" w14:textId="77777777" w:rsidR="005679FE" w:rsidRPr="009D6D53" w:rsidRDefault="009D6D53" w:rsidP="005679FE">
      <w:pPr>
        <w:spacing w:before="280" w:after="80" w:line="240" w:lineRule="auto"/>
        <w:jc w:val="center"/>
        <w:outlineLvl w:val="2"/>
        <w:rPr>
          <w:rFonts w:ascii="Times New Roman" w:eastAsia="Times New Roman" w:hAnsi="Times New Roman" w:cs="Times New Roman"/>
          <w:b/>
          <w:bCs/>
          <w:sz w:val="27"/>
          <w:szCs w:val="27"/>
        </w:rPr>
      </w:pPr>
      <w:r w:rsidRPr="009D6D53">
        <w:rPr>
          <w:rFonts w:ascii="Calibri" w:eastAsia="Times New Roman" w:hAnsi="Calibri" w:cs="Calibri"/>
          <w:b/>
          <w:bCs/>
          <w:color w:val="000000"/>
          <w:sz w:val="27"/>
          <w:szCs w:val="27"/>
        </w:rPr>
        <w:t xml:space="preserve">IMAGE 2: </w:t>
      </w:r>
      <w:bookmarkStart w:id="0" w:name="_GoBack"/>
      <w:r w:rsidR="005679FE" w:rsidRPr="009D6D53">
        <w:rPr>
          <w:rFonts w:ascii="Calibri" w:eastAsia="Times New Roman" w:hAnsi="Calibri" w:cs="Calibri"/>
          <w:b/>
          <w:bCs/>
          <w:color w:val="000000"/>
          <w:sz w:val="27"/>
          <w:szCs w:val="27"/>
        </w:rPr>
        <w:t>Annual Renewal Process for Sustainable Improvement Plans at a Glance</w:t>
      </w:r>
    </w:p>
    <w:tbl>
      <w:tblPr>
        <w:tblW w:w="0" w:type="auto"/>
        <w:tblCellMar>
          <w:top w:w="15" w:type="dxa"/>
          <w:left w:w="15" w:type="dxa"/>
          <w:bottom w:w="15" w:type="dxa"/>
          <w:right w:w="15" w:type="dxa"/>
        </w:tblCellMar>
        <w:tblLook w:val="04A0" w:firstRow="1" w:lastRow="0" w:firstColumn="1" w:lastColumn="0" w:noHBand="0" w:noVBand="1"/>
        <w:tblCaption w:val="Image 2: Annual Renewal Process for Sustainable Improvement Plans at a Glance"/>
        <w:tblDescription w:val="This image summarizes each step of the annual renewal process: Implement the plan, monitor progress by frequently looking at goals and benchmark data, revise the execituive summary in teh spring and reset benchmarks and goals for the upcoming year.  "/>
      </w:tblPr>
      <w:tblGrid>
        <w:gridCol w:w="1807"/>
        <w:gridCol w:w="7543"/>
      </w:tblGrid>
      <w:tr w:rsidR="005679FE" w:rsidRPr="005679FE" w14:paraId="4B94ABD4" w14:textId="77777777" w:rsidTr="00CA5477">
        <w:trPr>
          <w:trHeight w:val="2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337AB7"/>
            <w:tcMar>
              <w:top w:w="0" w:type="dxa"/>
              <w:left w:w="108" w:type="dxa"/>
              <w:bottom w:w="0" w:type="dxa"/>
              <w:right w:w="108" w:type="dxa"/>
            </w:tcMar>
            <w:hideMark/>
          </w:tcPr>
          <w:bookmarkEnd w:id="0"/>
          <w:p w14:paraId="65D23052" w14:textId="77777777" w:rsidR="005679FE" w:rsidRPr="005679FE" w:rsidRDefault="005679FE" w:rsidP="00195763">
            <w:pPr>
              <w:spacing w:after="0" w:line="240" w:lineRule="auto"/>
              <w:jc w:val="center"/>
              <w:rPr>
                <w:rFonts w:ascii="Times New Roman" w:eastAsia="Times New Roman" w:hAnsi="Times New Roman" w:cs="Times New Roman"/>
                <w:sz w:val="24"/>
                <w:szCs w:val="24"/>
              </w:rPr>
            </w:pPr>
            <w:r w:rsidRPr="00CA5477">
              <w:rPr>
                <w:rFonts w:ascii="Calibri" w:eastAsia="Times New Roman" w:hAnsi="Calibri" w:cs="Calibri"/>
                <w:b/>
                <w:bCs/>
                <w:color w:val="FFFFFF" w:themeColor="background1"/>
                <w:sz w:val="24"/>
                <w:szCs w:val="24"/>
              </w:rPr>
              <w:t>Phase I</w:t>
            </w:r>
          </w:p>
        </w:tc>
      </w:tr>
      <w:tr w:rsidR="005679FE" w:rsidRPr="005679FE" w14:paraId="4666173D" w14:textId="77777777" w:rsidTr="00CA5477">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337AB7"/>
            <w:tcMar>
              <w:top w:w="0" w:type="dxa"/>
              <w:left w:w="108" w:type="dxa"/>
              <w:bottom w:w="0" w:type="dxa"/>
              <w:right w:w="108" w:type="dxa"/>
            </w:tcMar>
            <w:hideMark/>
          </w:tcPr>
          <w:p w14:paraId="2190CF64" w14:textId="77777777" w:rsidR="005679FE" w:rsidRPr="00CA5477" w:rsidRDefault="005679FE" w:rsidP="005679FE">
            <w:pPr>
              <w:spacing w:after="0" w:line="240" w:lineRule="auto"/>
              <w:rPr>
                <w:rFonts w:ascii="Times New Roman" w:eastAsia="Times New Roman" w:hAnsi="Times New Roman" w:cs="Times New Roman"/>
                <w:color w:val="FFFFFF" w:themeColor="background1"/>
                <w:sz w:val="24"/>
                <w:szCs w:val="24"/>
              </w:rPr>
            </w:pPr>
            <w:r w:rsidRPr="00CA5477">
              <w:rPr>
                <w:rFonts w:ascii="Calibri" w:eastAsia="Times New Roman" w:hAnsi="Calibri" w:cs="Calibri"/>
                <w:b/>
                <w:bCs/>
                <w:color w:val="FFFFFF" w:themeColor="background1"/>
                <w:sz w:val="24"/>
                <w:szCs w:val="24"/>
              </w:rPr>
              <w:t>Implement the Plan</w:t>
            </w:r>
          </w:p>
        </w:tc>
        <w:tc>
          <w:tcPr>
            <w:tcW w:w="0" w:type="auto"/>
            <w:tcBorders>
              <w:top w:val="single" w:sz="4" w:space="0" w:color="000000"/>
              <w:left w:val="single" w:sz="4" w:space="0" w:color="000000"/>
              <w:bottom w:val="single" w:sz="4" w:space="0" w:color="000000"/>
              <w:right w:val="single" w:sz="4" w:space="0" w:color="000000"/>
            </w:tcBorders>
            <w:shd w:val="clear" w:color="auto" w:fill="337AB7"/>
            <w:tcMar>
              <w:top w:w="0" w:type="dxa"/>
              <w:left w:w="108" w:type="dxa"/>
              <w:bottom w:w="0" w:type="dxa"/>
              <w:right w:w="108" w:type="dxa"/>
            </w:tcMar>
            <w:hideMark/>
          </w:tcPr>
          <w:p w14:paraId="4B70EDF8" w14:textId="77777777" w:rsidR="005679FE" w:rsidRPr="00CA5477" w:rsidRDefault="005679FE" w:rsidP="005679FE">
            <w:pPr>
              <w:spacing w:after="0" w:line="240" w:lineRule="auto"/>
              <w:rPr>
                <w:rFonts w:ascii="Times New Roman" w:eastAsia="Times New Roman" w:hAnsi="Times New Roman" w:cs="Times New Roman"/>
                <w:color w:val="FFFFFF" w:themeColor="background1"/>
                <w:sz w:val="24"/>
                <w:szCs w:val="24"/>
              </w:rPr>
            </w:pPr>
            <w:r w:rsidRPr="00CA5477">
              <w:rPr>
                <w:rFonts w:ascii="Calibri" w:eastAsia="Times New Roman" w:hAnsi="Calibri" w:cs="Calibri"/>
                <w:color w:val="FFFFFF" w:themeColor="background1"/>
                <w:sz w:val="24"/>
                <w:szCs w:val="24"/>
              </w:rPr>
              <w:t>Plan implementation is an iterative process that involves stakeholders, frequent monitoring of benchmarks, and ensures systems are in place to drive rapid and sustainable improvement. </w:t>
            </w:r>
          </w:p>
        </w:tc>
      </w:tr>
      <w:tr w:rsidR="005679FE" w:rsidRPr="005679FE" w14:paraId="0F1BB4DC" w14:textId="77777777" w:rsidTr="00CA5477">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337AB7"/>
            <w:tcMar>
              <w:top w:w="0" w:type="dxa"/>
              <w:left w:w="108" w:type="dxa"/>
              <w:bottom w:w="0" w:type="dxa"/>
              <w:right w:w="108" w:type="dxa"/>
            </w:tcMar>
            <w:hideMark/>
          </w:tcPr>
          <w:p w14:paraId="55965853" w14:textId="77777777" w:rsidR="005679FE" w:rsidRPr="00CA5477" w:rsidRDefault="005679FE" w:rsidP="005679FE">
            <w:pPr>
              <w:spacing w:after="0" w:line="240" w:lineRule="auto"/>
              <w:rPr>
                <w:rFonts w:ascii="Times New Roman" w:eastAsia="Times New Roman" w:hAnsi="Times New Roman" w:cs="Times New Roman"/>
                <w:color w:val="FFFFFF" w:themeColor="background1"/>
                <w:sz w:val="24"/>
                <w:szCs w:val="24"/>
              </w:rPr>
            </w:pPr>
            <w:r w:rsidRPr="00CA5477">
              <w:rPr>
                <w:rFonts w:ascii="Calibri" w:eastAsia="Times New Roman" w:hAnsi="Calibri" w:cs="Calibri"/>
                <w:b/>
                <w:bCs/>
                <w:color w:val="FFFFFF" w:themeColor="background1"/>
                <w:sz w:val="24"/>
                <w:szCs w:val="24"/>
              </w:rPr>
              <w:t>Monitor Progress</w:t>
            </w:r>
          </w:p>
        </w:tc>
        <w:tc>
          <w:tcPr>
            <w:tcW w:w="0" w:type="auto"/>
            <w:tcBorders>
              <w:top w:val="single" w:sz="4" w:space="0" w:color="000000"/>
              <w:left w:val="single" w:sz="4" w:space="0" w:color="000000"/>
              <w:bottom w:val="single" w:sz="4" w:space="0" w:color="000000"/>
              <w:right w:val="single" w:sz="4" w:space="0" w:color="000000"/>
            </w:tcBorders>
            <w:shd w:val="clear" w:color="auto" w:fill="337AB7"/>
            <w:tcMar>
              <w:top w:w="0" w:type="dxa"/>
              <w:left w:w="108" w:type="dxa"/>
              <w:bottom w:w="0" w:type="dxa"/>
              <w:right w:w="108" w:type="dxa"/>
            </w:tcMar>
            <w:hideMark/>
          </w:tcPr>
          <w:p w14:paraId="03C747D7" w14:textId="77777777" w:rsidR="005679FE" w:rsidRPr="00CA5477" w:rsidRDefault="005679FE" w:rsidP="005679FE">
            <w:pPr>
              <w:spacing w:after="0" w:line="240" w:lineRule="auto"/>
              <w:rPr>
                <w:rFonts w:ascii="Times New Roman" w:eastAsia="Times New Roman" w:hAnsi="Times New Roman" w:cs="Times New Roman"/>
                <w:color w:val="FFFFFF" w:themeColor="background1"/>
                <w:sz w:val="24"/>
                <w:szCs w:val="24"/>
              </w:rPr>
            </w:pPr>
            <w:r w:rsidRPr="00CA5477">
              <w:rPr>
                <w:rFonts w:ascii="Calibri" w:eastAsia="Times New Roman" w:hAnsi="Calibri" w:cs="Calibri"/>
                <w:color w:val="FFFFFF" w:themeColor="background1"/>
                <w:sz w:val="24"/>
                <w:szCs w:val="24"/>
              </w:rPr>
              <w:t>While a strong, well-conceived turnaround plan is an important blueprint for change, improvements in teaching and learning will only happen if regular monitoring of progress demonstrates that the plan is being well implemented and the strategies are leading to the desired outcomes. At the end of a full year of plan implementation, schools should reflect on data and make decisions, in consultation with stakeholders, on what to keep, revise, or abandon in the year ahead.  </w:t>
            </w:r>
          </w:p>
        </w:tc>
      </w:tr>
      <w:tr w:rsidR="005679FE" w:rsidRPr="005679FE" w14:paraId="623A6560" w14:textId="77777777" w:rsidTr="00CA5477">
        <w:trPr>
          <w:trHeight w:val="2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DBD39"/>
            <w:tcMar>
              <w:top w:w="0" w:type="dxa"/>
              <w:left w:w="108" w:type="dxa"/>
              <w:bottom w:w="0" w:type="dxa"/>
              <w:right w:w="108" w:type="dxa"/>
            </w:tcMar>
            <w:hideMark/>
          </w:tcPr>
          <w:p w14:paraId="34F626C7" w14:textId="77777777" w:rsidR="005679FE" w:rsidRPr="005679FE" w:rsidRDefault="005679FE" w:rsidP="00195763">
            <w:pPr>
              <w:spacing w:after="0" w:line="240" w:lineRule="auto"/>
              <w:jc w:val="center"/>
              <w:rPr>
                <w:rFonts w:ascii="Times New Roman" w:eastAsia="Times New Roman" w:hAnsi="Times New Roman" w:cs="Times New Roman"/>
                <w:sz w:val="24"/>
                <w:szCs w:val="24"/>
              </w:rPr>
            </w:pPr>
            <w:r w:rsidRPr="005679FE">
              <w:rPr>
                <w:rFonts w:ascii="Calibri" w:eastAsia="Times New Roman" w:hAnsi="Calibri" w:cs="Calibri"/>
                <w:b/>
                <w:bCs/>
                <w:color w:val="000000"/>
                <w:sz w:val="24"/>
                <w:szCs w:val="24"/>
              </w:rPr>
              <w:t>Phase II</w:t>
            </w:r>
          </w:p>
        </w:tc>
      </w:tr>
      <w:tr w:rsidR="005679FE" w:rsidRPr="005679FE" w14:paraId="326CA93F" w14:textId="77777777" w:rsidTr="00CA5477">
        <w:tc>
          <w:tcPr>
            <w:tcW w:w="0" w:type="auto"/>
            <w:tcBorders>
              <w:top w:val="single" w:sz="4" w:space="0" w:color="000000"/>
              <w:left w:val="single" w:sz="4" w:space="0" w:color="000000"/>
              <w:bottom w:val="single" w:sz="4" w:space="0" w:color="000000"/>
              <w:right w:val="single" w:sz="4" w:space="0" w:color="000000"/>
            </w:tcBorders>
            <w:shd w:val="clear" w:color="auto" w:fill="FDBD39"/>
            <w:tcMar>
              <w:top w:w="0" w:type="dxa"/>
              <w:left w:w="108" w:type="dxa"/>
              <w:bottom w:w="0" w:type="dxa"/>
              <w:right w:w="108" w:type="dxa"/>
            </w:tcMar>
            <w:hideMark/>
          </w:tcPr>
          <w:p w14:paraId="754FFFD8" w14:textId="77777777" w:rsidR="005679FE" w:rsidRPr="00CA5477" w:rsidRDefault="005679FE" w:rsidP="005679FE">
            <w:pPr>
              <w:spacing w:after="0" w:line="240" w:lineRule="auto"/>
              <w:rPr>
                <w:rFonts w:ascii="Times New Roman" w:eastAsia="Times New Roman" w:hAnsi="Times New Roman" w:cs="Times New Roman"/>
                <w:sz w:val="24"/>
                <w:szCs w:val="24"/>
              </w:rPr>
            </w:pPr>
            <w:r w:rsidRPr="00CA5477">
              <w:rPr>
                <w:rFonts w:ascii="Calibri" w:eastAsia="Times New Roman" w:hAnsi="Calibri" w:cs="Calibri"/>
                <w:b/>
                <w:bCs/>
                <w:sz w:val="24"/>
                <w:szCs w:val="24"/>
              </w:rPr>
              <w:t>Revise Executive Summary and </w:t>
            </w:r>
          </w:p>
        </w:tc>
        <w:tc>
          <w:tcPr>
            <w:tcW w:w="0" w:type="auto"/>
            <w:tcBorders>
              <w:top w:val="single" w:sz="4" w:space="0" w:color="000000"/>
              <w:left w:val="single" w:sz="4" w:space="0" w:color="000000"/>
              <w:bottom w:val="single" w:sz="4" w:space="0" w:color="000000"/>
              <w:right w:val="single" w:sz="4" w:space="0" w:color="000000"/>
            </w:tcBorders>
            <w:shd w:val="clear" w:color="auto" w:fill="FDBD39"/>
            <w:tcMar>
              <w:top w:w="0" w:type="dxa"/>
              <w:left w:w="108" w:type="dxa"/>
              <w:bottom w:w="0" w:type="dxa"/>
              <w:right w:w="108" w:type="dxa"/>
            </w:tcMar>
            <w:hideMark/>
          </w:tcPr>
          <w:p w14:paraId="1916F7DC" w14:textId="77777777" w:rsidR="005679FE" w:rsidRPr="00CA5477" w:rsidRDefault="005679FE" w:rsidP="005679FE">
            <w:pPr>
              <w:spacing w:after="0" w:line="240" w:lineRule="auto"/>
              <w:rPr>
                <w:rFonts w:ascii="Times New Roman" w:eastAsia="Times New Roman" w:hAnsi="Times New Roman" w:cs="Times New Roman"/>
                <w:sz w:val="24"/>
                <w:szCs w:val="24"/>
              </w:rPr>
            </w:pPr>
            <w:r w:rsidRPr="00CA5477">
              <w:rPr>
                <w:rFonts w:ascii="Calibri" w:eastAsia="Times New Roman" w:hAnsi="Calibri" w:cs="Calibri"/>
                <w:sz w:val="24"/>
                <w:szCs w:val="24"/>
              </w:rPr>
              <w:t>Each spring schools must update the Executive Summary to reflect decisions made in Phase I on what to keep, revise, or abandon in the year ahead.  </w:t>
            </w:r>
          </w:p>
          <w:p w14:paraId="212F661A" w14:textId="77777777" w:rsidR="005679FE" w:rsidRPr="00CA5477" w:rsidRDefault="005679FE" w:rsidP="005679FE">
            <w:pPr>
              <w:spacing w:after="0" w:line="240" w:lineRule="auto"/>
              <w:rPr>
                <w:rFonts w:ascii="Times New Roman" w:eastAsia="Times New Roman" w:hAnsi="Times New Roman" w:cs="Times New Roman"/>
                <w:sz w:val="24"/>
                <w:szCs w:val="24"/>
              </w:rPr>
            </w:pPr>
          </w:p>
        </w:tc>
      </w:tr>
      <w:tr w:rsidR="005679FE" w:rsidRPr="005679FE" w14:paraId="432B9DCF" w14:textId="77777777" w:rsidTr="00CA5477">
        <w:tc>
          <w:tcPr>
            <w:tcW w:w="0" w:type="auto"/>
            <w:tcBorders>
              <w:top w:val="single" w:sz="4" w:space="0" w:color="000000"/>
              <w:left w:val="single" w:sz="4" w:space="0" w:color="000000"/>
              <w:bottom w:val="single" w:sz="4" w:space="0" w:color="000000"/>
              <w:right w:val="single" w:sz="4" w:space="0" w:color="000000"/>
            </w:tcBorders>
            <w:shd w:val="clear" w:color="auto" w:fill="FDBD39"/>
            <w:tcMar>
              <w:top w:w="0" w:type="dxa"/>
              <w:left w:w="108" w:type="dxa"/>
              <w:bottom w:w="0" w:type="dxa"/>
              <w:right w:w="108" w:type="dxa"/>
            </w:tcMar>
            <w:hideMark/>
          </w:tcPr>
          <w:p w14:paraId="0DA59967" w14:textId="77777777" w:rsidR="005679FE" w:rsidRPr="00CA5477" w:rsidRDefault="005679FE" w:rsidP="005679FE">
            <w:pPr>
              <w:spacing w:after="0" w:line="240" w:lineRule="auto"/>
              <w:rPr>
                <w:rFonts w:ascii="Times New Roman" w:eastAsia="Times New Roman" w:hAnsi="Times New Roman" w:cs="Times New Roman"/>
                <w:sz w:val="24"/>
                <w:szCs w:val="24"/>
              </w:rPr>
            </w:pPr>
            <w:r w:rsidRPr="00CA5477">
              <w:rPr>
                <w:rFonts w:ascii="Calibri" w:eastAsia="Times New Roman" w:hAnsi="Calibri" w:cs="Calibri"/>
                <w:b/>
                <w:bCs/>
                <w:sz w:val="24"/>
                <w:szCs w:val="24"/>
              </w:rPr>
              <w:t>Goals &amp; Benchmarks</w:t>
            </w:r>
          </w:p>
        </w:tc>
        <w:tc>
          <w:tcPr>
            <w:tcW w:w="0" w:type="auto"/>
            <w:tcBorders>
              <w:top w:val="single" w:sz="4" w:space="0" w:color="000000"/>
              <w:left w:val="single" w:sz="4" w:space="0" w:color="000000"/>
              <w:bottom w:val="single" w:sz="4" w:space="0" w:color="000000"/>
              <w:right w:val="single" w:sz="4" w:space="0" w:color="000000"/>
            </w:tcBorders>
            <w:shd w:val="clear" w:color="auto" w:fill="FDBD39"/>
            <w:tcMar>
              <w:top w:w="0" w:type="dxa"/>
              <w:left w:w="108" w:type="dxa"/>
              <w:bottom w:w="0" w:type="dxa"/>
              <w:right w:w="108" w:type="dxa"/>
            </w:tcMar>
            <w:hideMark/>
          </w:tcPr>
          <w:p w14:paraId="24FAAAC9" w14:textId="77777777" w:rsidR="005679FE" w:rsidRPr="00CA5477" w:rsidRDefault="005679FE" w:rsidP="005679FE">
            <w:pPr>
              <w:spacing w:after="0" w:line="240" w:lineRule="auto"/>
              <w:rPr>
                <w:rFonts w:ascii="Times New Roman" w:eastAsia="Times New Roman" w:hAnsi="Times New Roman" w:cs="Times New Roman"/>
                <w:sz w:val="24"/>
                <w:szCs w:val="24"/>
              </w:rPr>
            </w:pPr>
            <w:r w:rsidRPr="00CA5477">
              <w:rPr>
                <w:rFonts w:ascii="Calibri" w:eastAsia="Times New Roman" w:hAnsi="Calibri" w:cs="Calibri"/>
                <w:sz w:val="24"/>
                <w:szCs w:val="24"/>
              </w:rPr>
              <w:t>Each spring schools must reset goals and benchmarks to measure the impact and effectiveness of planned strategies in the coming year.   </w:t>
            </w:r>
          </w:p>
          <w:p w14:paraId="3F76947F" w14:textId="77777777" w:rsidR="005679FE" w:rsidRPr="00CA5477" w:rsidRDefault="005679FE" w:rsidP="005679FE">
            <w:pPr>
              <w:spacing w:after="0" w:line="240" w:lineRule="auto"/>
              <w:rPr>
                <w:rFonts w:ascii="Times New Roman" w:eastAsia="Times New Roman" w:hAnsi="Times New Roman" w:cs="Times New Roman"/>
                <w:sz w:val="24"/>
                <w:szCs w:val="24"/>
              </w:rPr>
            </w:pPr>
          </w:p>
        </w:tc>
      </w:tr>
    </w:tbl>
    <w:p w14:paraId="7B51E796" w14:textId="77777777" w:rsidR="007750F3" w:rsidRDefault="007750F3"/>
    <w:sectPr w:rsidR="007750F3" w:rsidSect="0056272A">
      <w:headerReference w:type="default" r:id="rId7"/>
      <w:foot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2E1BC" w14:textId="77777777" w:rsidR="004F0F66" w:rsidRDefault="004F0F66" w:rsidP="005679FE">
      <w:pPr>
        <w:spacing w:after="0" w:line="240" w:lineRule="auto"/>
      </w:pPr>
      <w:r>
        <w:separator/>
      </w:r>
    </w:p>
  </w:endnote>
  <w:endnote w:type="continuationSeparator" w:id="0">
    <w:p w14:paraId="2569BAFA" w14:textId="77777777" w:rsidR="004F0F66" w:rsidRDefault="004F0F66" w:rsidP="0056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C12E4" w14:textId="77777777" w:rsidR="008729D6" w:rsidRPr="005679FE" w:rsidRDefault="008729D6" w:rsidP="008729D6">
    <w:pPr>
      <w:pStyle w:val="Header"/>
    </w:pPr>
    <w:r w:rsidRPr="005679FE">
      <w:rPr>
        <w:rFonts w:ascii="Calibri" w:hAnsi="Calibri" w:cs="Calibri"/>
        <w:bCs/>
        <w:color w:val="000000"/>
        <w:sz w:val="28"/>
        <w:szCs w:val="28"/>
      </w:rPr>
      <w:t>MA Sustainable Improvement Planning Guidance</w:t>
    </w:r>
    <w:r>
      <w:rPr>
        <w:rFonts w:ascii="Calibri" w:hAnsi="Calibri" w:cs="Calibri"/>
        <w:bCs/>
        <w:color w:val="000000"/>
        <w:sz w:val="28"/>
        <w:szCs w:val="28"/>
      </w:rPr>
      <w:tab/>
      <w:t>2019</w:t>
    </w:r>
  </w:p>
  <w:p w14:paraId="48FD9FE7" w14:textId="77777777" w:rsidR="008729D6" w:rsidRDefault="00872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6EB1B" w14:textId="77777777" w:rsidR="004F0F66" w:rsidRDefault="004F0F66" w:rsidP="005679FE">
      <w:pPr>
        <w:spacing w:after="0" w:line="240" w:lineRule="auto"/>
      </w:pPr>
      <w:r>
        <w:separator/>
      </w:r>
    </w:p>
  </w:footnote>
  <w:footnote w:type="continuationSeparator" w:id="0">
    <w:p w14:paraId="41D5A974" w14:textId="77777777" w:rsidR="004F0F66" w:rsidRDefault="004F0F66" w:rsidP="0056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9C6B4" w14:textId="77777777" w:rsidR="005679FE" w:rsidRPr="0056272A" w:rsidRDefault="005679FE" w:rsidP="0056272A">
    <w:pPr>
      <w:spacing w:before="280" w:after="80" w:line="240" w:lineRule="auto"/>
      <w:jc w:val="center"/>
      <w:outlineLvl w:val="2"/>
      <w:rPr>
        <w:rFonts w:ascii="Calibri" w:hAnsi="Calibri" w:cs="Calibri"/>
        <w:b/>
        <w:bCs/>
        <w:color w:val="333333"/>
        <w:sz w:val="36"/>
        <w:szCs w:val="36"/>
        <w:shd w:val="clear"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FE"/>
    <w:rsid w:val="00195763"/>
    <w:rsid w:val="002D0002"/>
    <w:rsid w:val="004F0F66"/>
    <w:rsid w:val="0056272A"/>
    <w:rsid w:val="005679FE"/>
    <w:rsid w:val="007750F3"/>
    <w:rsid w:val="008729D6"/>
    <w:rsid w:val="009D6D53"/>
    <w:rsid w:val="00CA5477"/>
    <w:rsid w:val="00D8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645F"/>
  <w15:chartTrackingRefBased/>
  <w15:docId w15:val="{27A01D9D-C8FD-4CCB-987F-A81696DF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9FE"/>
  </w:style>
  <w:style w:type="paragraph" w:styleId="Footer">
    <w:name w:val="footer"/>
    <w:basedOn w:val="Normal"/>
    <w:link w:val="FooterChar"/>
    <w:uiPriority w:val="99"/>
    <w:unhideWhenUsed/>
    <w:rsid w:val="0056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87486">
      <w:bodyDiv w:val="1"/>
      <w:marLeft w:val="0"/>
      <w:marRight w:val="0"/>
      <w:marTop w:val="0"/>
      <w:marBottom w:val="0"/>
      <w:divBdr>
        <w:top w:val="none" w:sz="0" w:space="0" w:color="auto"/>
        <w:left w:val="none" w:sz="0" w:space="0" w:color="auto"/>
        <w:bottom w:val="none" w:sz="0" w:space="0" w:color="auto"/>
        <w:right w:val="none" w:sz="0" w:space="0" w:color="auto"/>
      </w:divBdr>
      <w:divsChild>
        <w:div w:id="491723694">
          <w:marLeft w:val="547"/>
          <w:marRight w:val="0"/>
          <w:marTop w:val="0"/>
          <w:marBottom w:val="0"/>
          <w:divBdr>
            <w:top w:val="none" w:sz="0" w:space="0" w:color="auto"/>
            <w:left w:val="none" w:sz="0" w:space="0" w:color="auto"/>
            <w:bottom w:val="none" w:sz="0" w:space="0" w:color="auto"/>
            <w:right w:val="none" w:sz="0" w:space="0" w:color="auto"/>
          </w:divBdr>
        </w:div>
        <w:div w:id="92484894">
          <w:marLeft w:val="1166"/>
          <w:marRight w:val="0"/>
          <w:marTop w:val="0"/>
          <w:marBottom w:val="0"/>
          <w:divBdr>
            <w:top w:val="none" w:sz="0" w:space="0" w:color="auto"/>
            <w:left w:val="none" w:sz="0" w:space="0" w:color="auto"/>
            <w:bottom w:val="none" w:sz="0" w:space="0" w:color="auto"/>
            <w:right w:val="none" w:sz="0" w:space="0" w:color="auto"/>
          </w:divBdr>
        </w:div>
        <w:div w:id="1686789030">
          <w:marLeft w:val="1166"/>
          <w:marRight w:val="0"/>
          <w:marTop w:val="0"/>
          <w:marBottom w:val="0"/>
          <w:divBdr>
            <w:top w:val="none" w:sz="0" w:space="0" w:color="auto"/>
            <w:left w:val="none" w:sz="0" w:space="0" w:color="auto"/>
            <w:bottom w:val="none" w:sz="0" w:space="0" w:color="auto"/>
            <w:right w:val="none" w:sz="0" w:space="0" w:color="auto"/>
          </w:divBdr>
        </w:div>
      </w:divsChild>
    </w:div>
    <w:div w:id="485052368">
      <w:bodyDiv w:val="1"/>
      <w:marLeft w:val="0"/>
      <w:marRight w:val="0"/>
      <w:marTop w:val="0"/>
      <w:marBottom w:val="0"/>
      <w:divBdr>
        <w:top w:val="none" w:sz="0" w:space="0" w:color="auto"/>
        <w:left w:val="none" w:sz="0" w:space="0" w:color="auto"/>
        <w:bottom w:val="none" w:sz="0" w:space="0" w:color="auto"/>
        <w:right w:val="none" w:sz="0" w:space="0" w:color="auto"/>
      </w:divBdr>
      <w:divsChild>
        <w:div w:id="1979728578">
          <w:marLeft w:val="-108"/>
          <w:marRight w:val="0"/>
          <w:marTop w:val="0"/>
          <w:marBottom w:val="0"/>
          <w:divBdr>
            <w:top w:val="none" w:sz="0" w:space="0" w:color="auto"/>
            <w:left w:val="none" w:sz="0" w:space="0" w:color="auto"/>
            <w:bottom w:val="none" w:sz="0" w:space="0" w:color="auto"/>
            <w:right w:val="none" w:sz="0" w:space="0" w:color="auto"/>
          </w:divBdr>
        </w:div>
      </w:divsChild>
    </w:div>
    <w:div w:id="1549101200">
      <w:bodyDiv w:val="1"/>
      <w:marLeft w:val="0"/>
      <w:marRight w:val="0"/>
      <w:marTop w:val="0"/>
      <w:marBottom w:val="0"/>
      <w:divBdr>
        <w:top w:val="none" w:sz="0" w:space="0" w:color="auto"/>
        <w:left w:val="none" w:sz="0" w:space="0" w:color="auto"/>
        <w:bottom w:val="none" w:sz="0" w:space="0" w:color="auto"/>
        <w:right w:val="none" w:sz="0" w:space="0" w:color="auto"/>
      </w:divBdr>
      <w:divsChild>
        <w:div w:id="27410625">
          <w:marLeft w:val="547"/>
          <w:marRight w:val="0"/>
          <w:marTop w:val="0"/>
          <w:marBottom w:val="0"/>
          <w:divBdr>
            <w:top w:val="none" w:sz="0" w:space="0" w:color="auto"/>
            <w:left w:val="none" w:sz="0" w:space="0" w:color="auto"/>
            <w:bottom w:val="none" w:sz="0" w:space="0" w:color="auto"/>
            <w:right w:val="none" w:sz="0" w:space="0" w:color="auto"/>
          </w:divBdr>
        </w:div>
        <w:div w:id="1715305100">
          <w:marLeft w:val="1166"/>
          <w:marRight w:val="0"/>
          <w:marTop w:val="0"/>
          <w:marBottom w:val="0"/>
          <w:divBdr>
            <w:top w:val="none" w:sz="0" w:space="0" w:color="auto"/>
            <w:left w:val="none" w:sz="0" w:space="0" w:color="auto"/>
            <w:bottom w:val="none" w:sz="0" w:space="0" w:color="auto"/>
            <w:right w:val="none" w:sz="0" w:space="0" w:color="auto"/>
          </w:divBdr>
        </w:div>
        <w:div w:id="7298867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4BC5-318B-4E45-863E-8DC6EBDB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Annual Renewal Process for Sustainable Improvement Plans at a Glance</vt:lpstr>
    </vt:vector>
  </TitlesOfParts>
  <Company>Executive Office of Education</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Renewal Process for Sustainable Improvement Plans at a Glance</dc:title>
  <dc:subject>Annual Renewal Process for Sustainable Improvement Plans at a Glance</dc:subject>
  <dc:creator>Champagne, Erica (DESE)</dc:creator>
  <cp:keywords/>
  <dc:description/>
  <cp:lastModifiedBy>O'Brien-Driscoll, Courtney (EOE)</cp:lastModifiedBy>
  <cp:revision>4</cp:revision>
  <dcterms:created xsi:type="dcterms:W3CDTF">2019-10-11T18:31:00Z</dcterms:created>
  <dcterms:modified xsi:type="dcterms:W3CDTF">2019-10-11T18:59:00Z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2019</vt:lpwstr>
  </property>
</Properties>
</file>