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C2" w:rsidRDefault="00043A67">
      <w:pPr>
        <w:spacing w:before="75" w:line="271" w:lineRule="auto"/>
        <w:ind w:left="220" w:right="-20"/>
        <w:contextualSpacing w:val="0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Sample Stakeholder Engagement Worksheet</w:t>
      </w:r>
    </w:p>
    <w:p w:rsidR="00B50BC2" w:rsidRDefault="00B50BC2">
      <w:pPr>
        <w:spacing w:line="240" w:lineRule="auto"/>
        <w:contextualSpacing w:val="0"/>
        <w:rPr>
          <w:rFonts w:ascii="Calibri" w:eastAsia="Calibri" w:hAnsi="Calibri" w:cs="Calibri"/>
        </w:rPr>
      </w:pPr>
    </w:p>
    <w:p w:rsidR="00B50BC2" w:rsidRDefault="00043A67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Notes:</w:t>
      </w:r>
    </w:p>
    <w:p w:rsidR="00B50BC2" w:rsidRDefault="00043A6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 schools engaging in turnaround could benefit from considering these areas with stakeholders, but only underperforming schools under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 xml:space="preserve">M.G.L. </w:t>
        </w:r>
        <w:proofErr w:type="spellStart"/>
        <w:r>
          <w:rPr>
            <w:rFonts w:ascii="Calibri" w:eastAsia="Calibri" w:hAnsi="Calibri" w:cs="Calibri"/>
            <w:color w:val="1155CC"/>
            <w:u w:val="single"/>
          </w:rPr>
          <w:t>Ch</w:t>
        </w:r>
        <w:proofErr w:type="spellEnd"/>
        <w:r>
          <w:rPr>
            <w:rFonts w:ascii="Calibri" w:eastAsia="Calibri" w:hAnsi="Calibri" w:cs="Calibri"/>
            <w:color w:val="1155CC"/>
            <w:u w:val="single"/>
          </w:rPr>
          <w:t xml:space="preserve"> 69, Section 1J</w:t>
        </w:r>
      </w:hyperlink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are advised</w:t>
      </w:r>
      <w:proofErr w:type="gramEnd"/>
      <w:r>
        <w:rPr>
          <w:rFonts w:ascii="Calibri" w:eastAsia="Calibri" w:hAnsi="Calibri" w:cs="Calibri"/>
        </w:rPr>
        <w:t xml:space="preserve"> to consider each.  </w:t>
      </w:r>
    </w:p>
    <w:p w:rsidR="00B50BC2" w:rsidRDefault="00043A67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addition to the worksheet provided here, attach the dated and signed final recommendations of the stakeholder group. </w:t>
      </w:r>
    </w:p>
    <w:p w:rsidR="00B50BC2" w:rsidRDefault="00B50BC2">
      <w:pPr>
        <w:spacing w:before="10" w:line="240" w:lineRule="auto"/>
        <w:contextualSpacing w:val="0"/>
        <w:rPr>
          <w:rFonts w:ascii="Calibri" w:eastAsia="Calibri" w:hAnsi="Calibri" w:cs="Calibri"/>
        </w:rPr>
      </w:pPr>
    </w:p>
    <w:p w:rsidR="00B50BC2" w:rsidRDefault="00B50BC2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  <w:sectPr w:rsidR="00B50BC2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B50BC2" w:rsidRDefault="00043A67">
      <w:pPr>
        <w:tabs>
          <w:tab w:val="left" w:pos="3140"/>
        </w:tabs>
        <w:spacing w:before="11" w:line="289" w:lineRule="auto"/>
        <w:ind w:left="220" w:right="-76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District: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:rsidR="00B50BC2" w:rsidRDefault="00B50BC2">
      <w:pPr>
        <w:tabs>
          <w:tab w:val="left" w:pos="3700"/>
        </w:tabs>
        <w:spacing w:before="11" w:line="289" w:lineRule="auto"/>
        <w:ind w:right="-76"/>
        <w:contextualSpacing w:val="0"/>
        <w:rPr>
          <w:rFonts w:ascii="Calibri" w:eastAsia="Calibri" w:hAnsi="Calibri" w:cs="Calibri"/>
          <w:sz w:val="24"/>
          <w:szCs w:val="24"/>
        </w:rPr>
      </w:pPr>
    </w:p>
    <w:p w:rsidR="00B50BC2" w:rsidRDefault="00043A67">
      <w:pPr>
        <w:tabs>
          <w:tab w:val="left" w:pos="3700"/>
        </w:tabs>
        <w:spacing w:before="11" w:line="289" w:lineRule="auto"/>
        <w:ind w:right="-76"/>
        <w:contextualSpacing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 xml:space="preserve">School: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:rsidR="00B50BC2" w:rsidRDefault="00043A67">
      <w:pPr>
        <w:tabs>
          <w:tab w:val="left" w:pos="2080"/>
        </w:tabs>
        <w:spacing w:before="11" w:line="289" w:lineRule="auto"/>
        <w:ind w:right="-20"/>
        <w:contextualSpacing w:val="0"/>
        <w:rPr>
          <w:rFonts w:ascii="Calibri" w:eastAsia="Calibri" w:hAnsi="Calibri" w:cs="Calibri"/>
          <w:sz w:val="24"/>
          <w:szCs w:val="24"/>
        </w:rPr>
      </w:pPr>
      <w:bookmarkStart w:id="1" w:name="_1t3h5sf" w:colFirst="0" w:colLast="0"/>
      <w:bookmarkEnd w:id="1"/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t xml:space="preserve">Date: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:rsidR="00B50BC2" w:rsidRDefault="00B50BC2">
      <w:pPr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  <w:sectPr w:rsidR="00B50BC2">
          <w:type w:val="continuous"/>
          <w:pgSz w:w="12240" w:h="15840"/>
          <w:pgMar w:top="1440" w:right="1440" w:bottom="1440" w:left="1440" w:header="720" w:footer="720" w:gutter="0"/>
          <w:cols w:num="3" w:space="720" w:equalWidth="0">
            <w:col w:w="3270" w:space="215"/>
            <w:col w:w="3270" w:space="215"/>
            <w:col w:w="3270" w:space="0"/>
          </w:cols>
        </w:sectPr>
      </w:pPr>
    </w:p>
    <w:p w:rsidR="00B50BC2" w:rsidRDefault="00B50BC2">
      <w:pPr>
        <w:tabs>
          <w:tab w:val="left" w:pos="940"/>
        </w:tabs>
        <w:spacing w:line="240" w:lineRule="auto"/>
        <w:ind w:right="801"/>
        <w:contextualSpacing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260" w:type="dxa"/>
        <w:tblInd w:w="-180" w:type="dxa"/>
        <w:tblLayout w:type="fixed"/>
        <w:tblLook w:val="0000" w:firstRow="0" w:lastRow="0" w:firstColumn="0" w:lastColumn="0" w:noHBand="0" w:noVBand="0"/>
        <w:tblCaption w:val="Key Areas of Turnaround Plan"/>
        <w:tblDescription w:val="Key Areas of Turnaround Plan"/>
      </w:tblPr>
      <w:tblGrid>
        <w:gridCol w:w="7560"/>
        <w:gridCol w:w="1260"/>
        <w:gridCol w:w="1440"/>
      </w:tblGrid>
      <w:tr w:rsidR="00B50BC2" w:rsidTr="008B1601">
        <w:trPr>
          <w:cantSplit/>
          <w:trHeight w:val="280"/>
          <w:tblHeader/>
        </w:trPr>
        <w:tc>
          <w:tcPr>
            <w:tcW w:w="7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0BC2" w:rsidRDefault="00B50B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043A67">
            <w:pPr>
              <w:spacing w:line="267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Recommendation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Made?</w:t>
            </w:r>
            <w:proofErr w:type="gramEnd"/>
          </w:p>
        </w:tc>
      </w:tr>
      <w:tr w:rsidR="00B50BC2" w:rsidTr="008B1601">
        <w:trPr>
          <w:cantSplit/>
          <w:trHeight w:val="300"/>
          <w:tblHeader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Key Areas of Turnaround Plan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</w:p>
        </w:tc>
      </w:tr>
      <w:tr w:rsidR="00043A67" w:rsidTr="008B1601">
        <w:trPr>
          <w:trHeight w:val="30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7" w:rsidRDefault="00043A67" w:rsidP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Authorities necessary to promote rapid movement</w:t>
            </w:r>
          </w:p>
          <w:p w:rsidR="00043A67" w:rsidRDefault="00043A67" w:rsidP="00043A67">
            <w:pPr>
              <w:tabs>
                <w:tab w:val="left" w:pos="820"/>
              </w:tabs>
              <w:spacing w:line="266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Expand, alter, or replace the curriculum</w:t>
            </w:r>
          </w:p>
          <w:p w:rsidR="00043A67" w:rsidRDefault="00043A67" w:rsidP="00043A67">
            <w:pPr>
              <w:tabs>
                <w:tab w:val="left" w:pos="820"/>
              </w:tabs>
              <w:spacing w:line="240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(2)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Reallocate existing budget</w:t>
            </w:r>
          </w:p>
          <w:p w:rsidR="00043A67" w:rsidRDefault="00043A67" w:rsidP="00043A67">
            <w:pPr>
              <w:tabs>
                <w:tab w:val="left" w:pos="820"/>
              </w:tabs>
              <w:spacing w:line="240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(3)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Provide additional district funds (up to per-pupil)</w:t>
            </w:r>
          </w:p>
          <w:p w:rsidR="00043A67" w:rsidRDefault="00043A67" w:rsidP="00043A67">
            <w:pPr>
              <w:tabs>
                <w:tab w:val="left" w:pos="820"/>
              </w:tabs>
              <w:spacing w:line="240" w:lineRule="auto"/>
              <w:ind w:left="282" w:right="33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(4)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Differentiate compensation of school staff (bargained with union) </w:t>
            </w:r>
          </w:p>
          <w:p w:rsidR="00043A67" w:rsidRDefault="00043A67" w:rsidP="00043A67">
            <w:pPr>
              <w:tabs>
                <w:tab w:val="left" w:pos="820"/>
              </w:tabs>
              <w:spacing w:line="240" w:lineRule="auto"/>
              <w:ind w:left="282" w:right="549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(5)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Expand school day and/or year</w:t>
            </w:r>
          </w:p>
          <w:p w:rsidR="00043A67" w:rsidRDefault="00043A67" w:rsidP="00043A67">
            <w:pPr>
              <w:tabs>
                <w:tab w:val="left" w:pos="820"/>
              </w:tabs>
              <w:spacing w:line="240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(6)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Add pre-K and full-day kindergarten</w:t>
            </w:r>
          </w:p>
          <w:p w:rsidR="00043A67" w:rsidRDefault="00043A67" w:rsidP="00043A67">
            <w:pPr>
              <w:tabs>
                <w:tab w:val="left" w:pos="820"/>
              </w:tabs>
              <w:spacing w:line="240" w:lineRule="auto"/>
              <w:ind w:left="282" w:right="-20"/>
              <w:contextualSpacing w:val="0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(7)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Require all staff to re-apply for employment </w:t>
            </w:r>
          </w:p>
          <w:p w:rsidR="00043A67" w:rsidRDefault="00043A67" w:rsidP="00043A67">
            <w:pPr>
              <w:tabs>
                <w:tab w:val="left" w:pos="860"/>
              </w:tabs>
              <w:spacing w:line="264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(8)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Limit, suspend, or change collective bargaining agreements (as long as reduced pay is commensurate with reduced hours) </w:t>
            </w:r>
          </w:p>
          <w:p w:rsidR="00043A67" w:rsidRDefault="00043A67" w:rsidP="00043A67">
            <w:pPr>
              <w:tabs>
                <w:tab w:val="left" w:pos="0"/>
              </w:tabs>
              <w:spacing w:line="240" w:lineRule="auto"/>
              <w:ind w:left="540" w:right="377" w:hanging="54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(9) Limit, suspend or change 1 or more school district policy or practice related to the school</w:t>
            </w:r>
          </w:p>
          <w:p w:rsidR="00043A67" w:rsidRDefault="00043A67" w:rsidP="00043A67">
            <w:pPr>
              <w:spacing w:before="2" w:line="240" w:lineRule="auto"/>
              <w:ind w:left="540" w:right="311" w:hanging="54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(10) Include job-embedded professional development with teacher input and feedback</w:t>
            </w:r>
          </w:p>
          <w:p w:rsidR="00043A67" w:rsidRDefault="00043A67" w:rsidP="00043A67">
            <w:pPr>
              <w:spacing w:line="240" w:lineRule="auto"/>
              <w:ind w:left="540" w:right="996" w:hanging="54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(11) Increase teacher planning time and collaboration focused on improving student instruction</w:t>
            </w:r>
          </w:p>
          <w:p w:rsidR="00043A67" w:rsidRDefault="00043A67" w:rsidP="00043A67">
            <w:pPr>
              <w:spacing w:line="240" w:lineRule="auto"/>
              <w:ind w:left="540" w:right="774" w:hanging="54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(12) Plan professional development for administrators that includes leadership skills and distributed leadership</w:t>
            </w:r>
          </w:p>
          <w:p w:rsidR="00043A67" w:rsidRDefault="00043A67" w:rsidP="00043A67">
            <w:pPr>
              <w:spacing w:line="240" w:lineRule="auto"/>
              <w:ind w:left="540" w:right="247" w:hanging="54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(13) Provide for a continuum of high-expertise teachers by aligning hiring, induction, evaluation, professional development, advancement, culture, and organizational structure</w:t>
            </w:r>
          </w:p>
          <w:p w:rsidR="00043A67" w:rsidRDefault="00043A67" w:rsidP="00043A67">
            <w:pPr>
              <w:spacing w:line="240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(14) Search for and study best practices</w:t>
            </w:r>
          </w:p>
          <w:p w:rsidR="00043A67" w:rsidRDefault="00043A67" w:rsidP="00043A67">
            <w:pPr>
              <w:spacing w:line="240" w:lineRule="auto"/>
              <w:ind w:left="28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(15) Address mobility and transiency</w:t>
            </w:r>
          </w:p>
          <w:p w:rsidR="00043A67" w:rsidRDefault="00043A67" w:rsidP="00043A67">
            <w:pPr>
              <w:spacing w:line="267" w:lineRule="auto"/>
              <w:ind w:left="540" w:right="-20" w:hanging="54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(16) Add components based on reasons for underperformance and</w:t>
            </w:r>
          </w:p>
          <w:p w:rsidR="00043A67" w:rsidRDefault="00043A67" w:rsidP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recommendations of stakeholder group</w:t>
            </w:r>
          </w:p>
          <w:p w:rsidR="00043A67" w:rsidRDefault="00043A67" w:rsidP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 (17) Address achievement gaps (ELL, students with disabilities, low-income)</w:t>
            </w:r>
          </w:p>
          <w:p w:rsidR="00043A67" w:rsidRDefault="00043A67" w:rsidP="00043A67">
            <w:pPr>
              <w:spacing w:line="24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(18)  Alternative ELL programs (“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not withstanding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chapter 71A”)</w:t>
            </w:r>
          </w:p>
          <w:p w:rsidR="00043A67" w:rsidRDefault="00043A67" w:rsidP="00043A67">
            <w:pPr>
              <w:spacing w:line="24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(19)  Financial plan for the school</w:t>
            </w:r>
          </w:p>
          <w:p w:rsidR="00043A67" w:rsidRDefault="00043A67" w:rsidP="00043A67">
            <w:pPr>
              <w:spacing w:line="24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(20)  Address social service and health needs (“ready to learn”)</w:t>
            </w:r>
          </w:p>
          <w:p w:rsidR="00043A67" w:rsidRDefault="00043A67" w:rsidP="00043A67">
            <w:pPr>
              <w:spacing w:line="240" w:lineRule="auto"/>
              <w:ind w:left="360" w:right="196" w:hanging="36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(21)   Improve or expand child welfare services and law enforcement (“safe and secure learning environment”)</w:t>
            </w:r>
          </w:p>
          <w:p w:rsidR="00043A67" w:rsidRDefault="00043A67" w:rsidP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(22) Improve workforce development services (“meaningful employment skills and opportunities”)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7" w:rsidRDefault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67" w:rsidRDefault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B50BC2" w:rsidTr="008B1601">
        <w:trPr>
          <w:trHeight w:val="4340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043A67">
            <w:pPr>
              <w:spacing w:line="291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Suggested measurable annual goals that address:</w:t>
            </w:r>
          </w:p>
          <w:p w:rsidR="00B50BC2" w:rsidRDefault="00043A67">
            <w:pPr>
              <w:spacing w:line="266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   MCAS</w:t>
            </w:r>
          </w:p>
          <w:p w:rsidR="00B50BC2" w:rsidRDefault="00043A67">
            <w:pPr>
              <w:tabs>
                <w:tab w:val="left" w:pos="460"/>
              </w:tabs>
              <w:spacing w:line="240" w:lineRule="auto"/>
              <w:ind w:left="102" w:right="483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h)   Progress in areas of academic underperformance </w:t>
            </w:r>
          </w:p>
          <w:p w:rsidR="00B50BC2" w:rsidRDefault="00043A67">
            <w:pPr>
              <w:tabs>
                <w:tab w:val="left" w:pos="460"/>
              </w:tabs>
              <w:spacing w:line="240" w:lineRule="auto"/>
              <w:ind w:left="102" w:right="483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Progress among subgroups</w:t>
            </w:r>
          </w:p>
          <w:p w:rsidR="00B50BC2" w:rsidRDefault="00043A67">
            <w:pPr>
              <w:tabs>
                <w:tab w:val="left" w:pos="460"/>
              </w:tabs>
              <w:spacing w:line="24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Reduction of achievement gaps</w:t>
            </w:r>
          </w:p>
          <w:p w:rsidR="00B50BC2" w:rsidRDefault="00043A67">
            <w:pPr>
              <w:tabs>
                <w:tab w:val="left" w:pos="460"/>
              </w:tabs>
              <w:spacing w:line="240" w:lineRule="auto"/>
              <w:ind w:left="102" w:right="1203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     Student promotion, graduation, and dropout rates</w:t>
            </w:r>
          </w:p>
          <w:p w:rsidR="00B50BC2" w:rsidRDefault="00043A67">
            <w:pPr>
              <w:tabs>
                <w:tab w:val="left" w:pos="460"/>
              </w:tabs>
              <w:spacing w:line="240" w:lineRule="auto"/>
              <w:ind w:left="102" w:right="1203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      Student attendance, dismissal, and exclusion rates</w:t>
            </w:r>
          </w:p>
          <w:p w:rsidR="00B50BC2" w:rsidRDefault="00043A67">
            <w:pPr>
              <w:spacing w:line="240" w:lineRule="auto"/>
              <w:ind w:right="2463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  College readiness</w:t>
            </w:r>
          </w:p>
          <w:p w:rsidR="00B50BC2" w:rsidRDefault="00043A67">
            <w:pPr>
              <w:spacing w:line="24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   Developmentally appropriate child assessments (preK-3)</w:t>
            </w:r>
          </w:p>
          <w:p w:rsidR="00B50BC2" w:rsidRDefault="00043A67">
            <w:pPr>
              <w:spacing w:line="267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   Acquisition of 21st Century Skills</w:t>
            </w:r>
          </w:p>
          <w:p w:rsidR="00B50BC2" w:rsidRDefault="00043A67">
            <w:pPr>
              <w:spacing w:line="24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   Student safety and discipline</w:t>
            </w:r>
          </w:p>
          <w:p w:rsidR="00B50BC2" w:rsidRDefault="00043A67">
            <w:pPr>
              <w:spacing w:line="240" w:lineRule="auto"/>
              <w:ind w:left="101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q)   Parent and family engagement</w:t>
            </w:r>
          </w:p>
          <w:p w:rsidR="00B50BC2" w:rsidRDefault="00043A67">
            <w:pPr>
              <w:tabs>
                <w:tab w:val="left" w:pos="460"/>
              </w:tabs>
              <w:spacing w:line="240" w:lineRule="auto"/>
              <w:ind w:left="101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    Building a culture of academic success among students</w:t>
            </w:r>
          </w:p>
          <w:p w:rsidR="00B50BC2" w:rsidRDefault="00043A67">
            <w:pPr>
              <w:spacing w:before="1" w:line="290" w:lineRule="auto"/>
              <w:ind w:left="102" w:right="-20"/>
              <w:contextualSpacing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s)    Building a culture of student support among school faculty and staff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B50B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BC2" w:rsidRDefault="00B50BC2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0BC2" w:rsidRDefault="00B50BC2">
      <w:pPr>
        <w:widowControl w:val="0"/>
        <w:contextualSpacing w:val="0"/>
        <w:rPr>
          <w:rFonts w:ascii="Times New Roman" w:eastAsia="Times New Roman" w:hAnsi="Times New Roman" w:cs="Times New Roman"/>
          <w:sz w:val="24"/>
          <w:szCs w:val="24"/>
        </w:rPr>
        <w:sectPr w:rsidR="00B50BC2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B50BC2" w:rsidRDefault="00B50BC2">
      <w:pPr>
        <w:spacing w:line="240" w:lineRule="auto"/>
        <w:contextualSpacing w:val="0"/>
        <w:rPr>
          <w:rFonts w:ascii="Calibri" w:eastAsia="Calibri" w:hAnsi="Calibri" w:cs="Calibri"/>
          <w:i/>
          <w:sz w:val="24"/>
          <w:szCs w:val="24"/>
        </w:rPr>
      </w:pPr>
    </w:p>
    <w:p w:rsidR="00B50BC2" w:rsidRDefault="00043A67">
      <w:pPr>
        <w:contextualSpacing w:val="0"/>
      </w:pPr>
      <w:r>
        <w:t>List of Involved Stakeholders and Affiliation:</w:t>
      </w:r>
    </w:p>
    <w:p w:rsidR="00B50BC2" w:rsidRDefault="00B50BC2">
      <w:pPr>
        <w:contextualSpacing w:val="0"/>
      </w:pPr>
    </w:p>
    <w:p w:rsidR="00B50BC2" w:rsidRDefault="00043A67">
      <w:pPr>
        <w:contextualSpacing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BC2" w:rsidRDefault="00043A67">
      <w:pPr>
        <w:contextualSpacing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0BC2" w:rsidRDefault="00B50BC2">
      <w:pPr>
        <w:contextualSpacing w:val="0"/>
      </w:pPr>
    </w:p>
    <w:sectPr w:rsidR="00B50BC2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AFF"/>
    <w:multiLevelType w:val="multilevel"/>
    <w:tmpl w:val="2BD6F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C2"/>
    <w:rsid w:val="00043A67"/>
    <w:rsid w:val="00126D6B"/>
    <w:rsid w:val="008B1601"/>
    <w:rsid w:val="00B50BC2"/>
    <w:rsid w:val="00B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99C60C-7440-4157-A9A2-ECCF17AC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B16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alegislature.gov/Laws/GeneralLaws/PartI/TitleXII/Chapter69/Section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DESE-231-45539</_dlc_DocId>
    <_dlc_DocIdUrl xmlns="733efe1c-5bbe-4968-87dc-d400e65c879f">
      <Url>https://sharepoint.doemass.org/ese/webteam/cps/_layouts/DocIdRedir.aspx?ID=DESE-231-45539</Url>
      <Description>DESE-231-45539</Description>
    </_dlc_DocIdUrl>
  </documentManagement>
</p:properties>
</file>

<file path=customXml/itemProps1.xml><?xml version="1.0" encoding="utf-8"?>
<ds:datastoreItem xmlns:ds="http://schemas.openxmlformats.org/officeDocument/2006/customXml" ds:itemID="{B76DC974-594A-4E63-9940-546E12A30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74F2B1-DC47-430C-A741-733CC27B1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5DBFE5-8F7E-42B5-87EB-A049072DF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AF77E-8374-4877-B5F2-948F377258D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3128</Characters>
  <Application>Microsoft Office Word</Application>
  <DocSecurity>0</DocSecurity>
  <Lines>92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Stakeholder Engagement</vt:lpstr>
    </vt:vector>
  </TitlesOfParts>
  <Company>Executive Office of Education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Turnaround Sample Stakeholder Engagement Worksheet</dc:title>
  <dc:subject>Turnaround Sample Stakeholder Engagement Worksheet</dc:subject>
  <dc:creator>ESE- Champagne, Erica (DOE)</dc:creator>
  <cp:lastModifiedBy>O'Brien-Driscoll, Courtney</cp:lastModifiedBy>
  <cp:revision>4</cp:revision>
  <dcterms:created xsi:type="dcterms:W3CDTF">2018-10-04T03:31:00Z</dcterms:created>
  <dcterms:modified xsi:type="dcterms:W3CDTF">2018-10-11T16:12:00Z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ce816de3-5669-46f0-a377-6959f4f7668c</vt:lpwstr>
  </property>
  <property fmtid="{D5CDD505-2E9C-101B-9397-08002B2CF9AE}" pid="4" name="metadate">
    <vt:lpwstr>Oct 4 2018</vt:lpwstr>
  </property>
</Properties>
</file>