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EA6" w:rsidRDefault="00A83EB8">
      <w:pPr>
        <w:spacing w:after="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lang w:eastAsia="zh-CN"/>
        </w:rPr>
        <w:drawing>
          <wp:inline distT="114300" distB="114300" distL="114300" distR="114300">
            <wp:extent cx="3302000" cy="1270000"/>
            <wp:effectExtent l="0" t="0" r="0" b="0"/>
            <wp:docPr id="1" name="image1.png" descr="Massachusetts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0" name="image1.png" descr="Massachusetts Department of Elementary and Secondary Education Logo"/>
                    <pic:cNvPicPr preferRelativeResize="0"/>
                  </pic:nvPicPr>
                  <pic:blipFill>
                    <a:blip r:embed="rId10"/>
                    <a:srcRect/>
                    <a:stretch>
                      <a:fillRect/>
                    </a:stretch>
                  </pic:blipFill>
                  <pic:spPr>
                    <a:xfrm>
                      <a:off x="0" y="0"/>
                      <a:ext cx="3302000" cy="1270000"/>
                    </a:xfrm>
                    <a:prstGeom prst="rect">
                      <a:avLst/>
                    </a:prstGeom>
                    <a:ln/>
                  </pic:spPr>
                </pic:pic>
              </a:graphicData>
            </a:graphic>
          </wp:inline>
        </w:drawing>
      </w:r>
    </w:p>
    <w:p w:rsidR="00F71EA6" w:rsidRDefault="00A83EB8">
      <w:pPr>
        <w:spacing w:after="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71EA6" w:rsidRDefault="00F71EA6">
      <w:pPr>
        <w:pBdr>
          <w:bottom w:val="single" w:sz="8" w:space="3" w:color="4F81BD"/>
        </w:pBdr>
        <w:spacing w:after="300" w:line="288" w:lineRule="auto"/>
        <w:jc w:val="center"/>
        <w:rPr>
          <w:b/>
          <w:color w:val="FF0000"/>
          <w:highlight w:val="yellow"/>
        </w:rPr>
      </w:pPr>
    </w:p>
    <w:p w:rsidR="00F71EA6" w:rsidRDefault="00F71EA6">
      <w:pPr>
        <w:jc w:val="center"/>
        <w:rPr>
          <w:b/>
          <w:color w:val="FF0000"/>
          <w:highlight w:val="yellow"/>
        </w:rPr>
      </w:pPr>
    </w:p>
    <w:p w:rsidR="00F71EA6" w:rsidRDefault="00A83EB8">
      <w:pPr>
        <w:pBdr>
          <w:bottom w:val="single" w:sz="8" w:space="3" w:color="4F81BD"/>
        </w:pBdr>
        <w:spacing w:after="300" w:line="288" w:lineRule="auto"/>
        <w:jc w:val="center"/>
        <w:rPr>
          <w:b/>
          <w:sz w:val="36"/>
          <w:szCs w:val="36"/>
        </w:rPr>
      </w:pPr>
      <w:r>
        <w:rPr>
          <w:b/>
          <w:sz w:val="36"/>
          <w:szCs w:val="36"/>
        </w:rPr>
        <w:t>Turnaround Plan Template</w:t>
      </w:r>
    </w:p>
    <w:p w:rsidR="00F71EA6" w:rsidRDefault="00F71EA6">
      <w:pPr>
        <w:jc w:val="center"/>
        <w:rPr>
          <w:b/>
          <w:sz w:val="36"/>
          <w:szCs w:val="36"/>
        </w:rPr>
      </w:pPr>
    </w:p>
    <w:p w:rsidR="00F71EA6" w:rsidRDefault="00A83EB8">
      <w:pPr>
        <w:ind w:left="1260"/>
        <w:rPr>
          <w:b/>
          <w:sz w:val="36"/>
          <w:szCs w:val="36"/>
        </w:rPr>
      </w:pPr>
      <w:r>
        <w:rPr>
          <w:b/>
          <w:sz w:val="36"/>
          <w:szCs w:val="36"/>
        </w:rPr>
        <w:t>District:</w:t>
      </w:r>
    </w:p>
    <w:p w:rsidR="00F71EA6" w:rsidRDefault="00A83EB8">
      <w:pPr>
        <w:ind w:left="1260"/>
        <w:rPr>
          <w:b/>
          <w:sz w:val="36"/>
          <w:szCs w:val="36"/>
        </w:rPr>
      </w:pPr>
      <w:r>
        <w:rPr>
          <w:b/>
          <w:sz w:val="36"/>
          <w:szCs w:val="36"/>
        </w:rPr>
        <w:t>School:</w:t>
      </w:r>
    </w:p>
    <w:p w:rsidR="007E72A0" w:rsidRDefault="007E72A0">
      <w:pPr>
        <w:ind w:left="1260"/>
        <w:rPr>
          <w:b/>
          <w:sz w:val="36"/>
          <w:szCs w:val="36"/>
        </w:rPr>
      </w:pPr>
      <w:r>
        <w:rPr>
          <w:b/>
          <w:sz w:val="36"/>
          <w:szCs w:val="36"/>
        </w:rPr>
        <w:t>Academic Year:</w:t>
      </w:r>
    </w:p>
    <w:p w:rsidR="007E72A0" w:rsidRDefault="007E72A0">
      <w:pPr>
        <w:ind w:left="1260"/>
        <w:rPr>
          <w:b/>
          <w:sz w:val="36"/>
          <w:szCs w:val="36"/>
        </w:rPr>
      </w:pPr>
    </w:p>
    <w:p w:rsidR="00F71EA6" w:rsidRDefault="00A83EB8">
      <w:pPr>
        <w:ind w:left="1260"/>
        <w:rPr>
          <w:b/>
          <w:sz w:val="36"/>
          <w:szCs w:val="36"/>
        </w:rPr>
      </w:pPr>
      <w:r>
        <w:rPr>
          <w:b/>
          <w:sz w:val="36"/>
          <w:szCs w:val="36"/>
        </w:rPr>
        <w:t>Date</w:t>
      </w:r>
      <w:r w:rsidR="007E72A0">
        <w:rPr>
          <w:b/>
          <w:sz w:val="36"/>
          <w:szCs w:val="36"/>
        </w:rPr>
        <w:t xml:space="preserve"> Finalized</w:t>
      </w:r>
      <w:r>
        <w:rPr>
          <w:b/>
          <w:sz w:val="36"/>
          <w:szCs w:val="36"/>
        </w:rPr>
        <w:t>:</w:t>
      </w:r>
    </w:p>
    <w:p w:rsidR="00F71EA6" w:rsidRDefault="00F71EA6">
      <w:pPr>
        <w:ind w:left="1260"/>
        <w:rPr>
          <w:b/>
          <w:sz w:val="36"/>
          <w:szCs w:val="36"/>
        </w:rPr>
      </w:pPr>
    </w:p>
    <w:p w:rsidR="00F71EA6" w:rsidRDefault="00A83EB8">
      <w:pPr>
        <w:ind w:left="1260"/>
        <w:rPr>
          <w:b/>
          <w:sz w:val="36"/>
          <w:szCs w:val="36"/>
        </w:rPr>
      </w:pPr>
      <w:r>
        <w:br w:type="page"/>
      </w:r>
    </w:p>
    <w:p w:rsidR="00F71EA6" w:rsidRDefault="00A83EB8">
      <w:pPr>
        <w:spacing w:after="0" w:line="240" w:lineRule="auto"/>
        <w:rPr>
          <w:b/>
          <w:sz w:val="28"/>
          <w:szCs w:val="28"/>
        </w:rPr>
      </w:pPr>
      <w:r>
        <w:rPr>
          <w:b/>
          <w:sz w:val="28"/>
          <w:szCs w:val="28"/>
        </w:rPr>
        <w:lastRenderedPageBreak/>
        <w:t xml:space="preserve">Section I: Executive Summary </w:t>
      </w:r>
    </w:p>
    <w:p w:rsidR="00F71EA6" w:rsidRDefault="00A83EB8">
      <w:pPr>
        <w:spacing w:after="0" w:line="240" w:lineRule="auto"/>
        <w:rPr>
          <w:sz w:val="24"/>
          <w:szCs w:val="24"/>
        </w:rPr>
      </w:pPr>
      <w:bookmarkStart w:id="0" w:name="_gjdgxs" w:colFirst="0" w:colLast="0"/>
      <w:bookmarkEnd w:id="0"/>
      <w:r>
        <w:rPr>
          <w:sz w:val="24"/>
          <w:szCs w:val="24"/>
        </w:rPr>
        <w:t>The Executive Summary should summarize the essence of the turnaround plan in a way the average stakeholder would understand. (1-2 pages)</w:t>
      </w:r>
    </w:p>
    <w:p w:rsidR="00F71EA6" w:rsidRDefault="00F71EA6">
      <w:pPr>
        <w:spacing w:after="0" w:line="240" w:lineRule="auto"/>
        <w:rPr>
          <w:sz w:val="24"/>
          <w:szCs w:val="24"/>
        </w:rPr>
      </w:pPr>
    </w:p>
    <w:tbl>
      <w:tblPr>
        <w:tblStyle w:val="a"/>
        <w:tblW w:w="1043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This is the blank table for you to write the executive summary."/>
      </w:tblPr>
      <w:tblGrid>
        <w:gridCol w:w="10435"/>
      </w:tblGrid>
      <w:tr w:rsidR="00F71EA6" w:rsidTr="003D5B8D">
        <w:trPr>
          <w:tblHeader/>
        </w:trPr>
        <w:tc>
          <w:tcPr>
            <w:tcW w:w="10435" w:type="dxa"/>
            <w:tcBorders>
              <w:top w:val="single" w:sz="4" w:space="0" w:color="000000"/>
              <w:left w:val="single" w:sz="4" w:space="0" w:color="000000"/>
              <w:bottom w:val="single" w:sz="4" w:space="0" w:color="000000"/>
              <w:right w:val="single" w:sz="4" w:space="0" w:color="000000"/>
            </w:tcBorders>
          </w:tcPr>
          <w:p w:rsidR="00F71EA6" w:rsidRDefault="00F71EA6">
            <w:pPr>
              <w:rPr>
                <w:sz w:val="24"/>
                <w:szCs w:val="24"/>
              </w:rPr>
            </w:pPr>
          </w:p>
          <w:p w:rsidR="00F71EA6" w:rsidRDefault="00F71EA6">
            <w:pPr>
              <w:rPr>
                <w:sz w:val="24"/>
                <w:szCs w:val="24"/>
              </w:rPr>
            </w:pPr>
          </w:p>
          <w:p w:rsidR="00F71EA6" w:rsidRDefault="00F71EA6">
            <w:pPr>
              <w:rPr>
                <w:sz w:val="24"/>
                <w:szCs w:val="24"/>
              </w:rPr>
            </w:pPr>
          </w:p>
          <w:p w:rsidR="00F71EA6" w:rsidRDefault="00F71EA6">
            <w:pPr>
              <w:rPr>
                <w:sz w:val="24"/>
                <w:szCs w:val="24"/>
              </w:rPr>
            </w:pPr>
          </w:p>
          <w:p w:rsidR="00F71EA6" w:rsidRDefault="00F71EA6">
            <w:pPr>
              <w:rPr>
                <w:sz w:val="24"/>
                <w:szCs w:val="24"/>
              </w:rPr>
            </w:pPr>
          </w:p>
          <w:p w:rsidR="00F71EA6" w:rsidRDefault="00F71EA6">
            <w:pPr>
              <w:rPr>
                <w:sz w:val="24"/>
                <w:szCs w:val="24"/>
              </w:rPr>
            </w:pPr>
          </w:p>
        </w:tc>
      </w:tr>
    </w:tbl>
    <w:p w:rsidR="00F71EA6" w:rsidRDefault="00F71EA6">
      <w:pPr>
        <w:rPr>
          <w:sz w:val="24"/>
          <w:szCs w:val="24"/>
        </w:rPr>
      </w:pPr>
    </w:p>
    <w:p w:rsidR="00F71EA6" w:rsidRDefault="00A83EB8">
      <w:pPr>
        <w:rPr>
          <w:sz w:val="24"/>
          <w:szCs w:val="24"/>
        </w:rPr>
      </w:pPr>
      <w:r>
        <w:br w:type="page"/>
      </w:r>
    </w:p>
    <w:p w:rsidR="00F71EA6" w:rsidRDefault="00A83EB8">
      <w:pPr>
        <w:spacing w:after="0" w:line="240" w:lineRule="auto"/>
        <w:rPr>
          <w:b/>
          <w:sz w:val="28"/>
          <w:szCs w:val="28"/>
        </w:rPr>
      </w:pPr>
      <w:r>
        <w:rPr>
          <w:b/>
          <w:sz w:val="28"/>
          <w:szCs w:val="28"/>
        </w:rPr>
        <w:lastRenderedPageBreak/>
        <w:t>Section II: Stakeholder Engagement</w:t>
      </w:r>
    </w:p>
    <w:p w:rsidR="00F71EA6" w:rsidRDefault="00A83EB8">
      <w:pPr>
        <w:rPr>
          <w:sz w:val="24"/>
          <w:szCs w:val="24"/>
        </w:rPr>
      </w:pPr>
      <w:r>
        <w:rPr>
          <w:sz w:val="24"/>
          <w:szCs w:val="24"/>
        </w:rPr>
        <w:t>Briefly describe the district and school’s process for receiving input from stakeholders throughout all stages of the turnaround process. (1-2 pages)</w:t>
      </w:r>
    </w:p>
    <w:tbl>
      <w:tblPr>
        <w:tblStyle w:val="a0"/>
        <w:tblW w:w="1043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This is the table for you to write stakeholder engagement."/>
      </w:tblPr>
      <w:tblGrid>
        <w:gridCol w:w="10435"/>
      </w:tblGrid>
      <w:tr w:rsidR="00F71EA6" w:rsidTr="003D5B8D">
        <w:trPr>
          <w:trHeight w:val="2120"/>
          <w:tblHeader/>
        </w:trPr>
        <w:tc>
          <w:tcPr>
            <w:tcW w:w="10435" w:type="dxa"/>
            <w:tcBorders>
              <w:top w:val="single" w:sz="4" w:space="0" w:color="000000"/>
              <w:left w:val="single" w:sz="4" w:space="0" w:color="000000"/>
              <w:bottom w:val="single" w:sz="4" w:space="0" w:color="000000"/>
              <w:right w:val="single" w:sz="4" w:space="0" w:color="000000"/>
            </w:tcBorders>
          </w:tcPr>
          <w:p w:rsidR="00F71EA6" w:rsidRDefault="00F71EA6">
            <w:pPr>
              <w:rPr>
                <w:sz w:val="24"/>
                <w:szCs w:val="24"/>
              </w:rPr>
            </w:pPr>
          </w:p>
          <w:p w:rsidR="00F71EA6" w:rsidRDefault="00F71EA6">
            <w:pPr>
              <w:rPr>
                <w:sz w:val="24"/>
                <w:szCs w:val="24"/>
              </w:rPr>
            </w:pPr>
          </w:p>
          <w:p w:rsidR="00F71EA6" w:rsidRDefault="00F71EA6">
            <w:pPr>
              <w:rPr>
                <w:sz w:val="24"/>
                <w:szCs w:val="24"/>
              </w:rPr>
            </w:pPr>
          </w:p>
          <w:p w:rsidR="00F71EA6" w:rsidRDefault="00F71EA6">
            <w:pPr>
              <w:rPr>
                <w:sz w:val="24"/>
                <w:szCs w:val="24"/>
              </w:rPr>
            </w:pPr>
          </w:p>
          <w:p w:rsidR="00F71EA6" w:rsidRDefault="00F71EA6">
            <w:pPr>
              <w:rPr>
                <w:sz w:val="24"/>
                <w:szCs w:val="24"/>
              </w:rPr>
            </w:pPr>
          </w:p>
          <w:p w:rsidR="00F71EA6" w:rsidRDefault="00F71EA6">
            <w:pPr>
              <w:rPr>
                <w:sz w:val="24"/>
                <w:szCs w:val="24"/>
              </w:rPr>
            </w:pPr>
          </w:p>
        </w:tc>
      </w:tr>
    </w:tbl>
    <w:p w:rsidR="00F71EA6" w:rsidRDefault="00F71EA6">
      <w:pPr>
        <w:spacing w:after="0" w:line="240" w:lineRule="auto"/>
        <w:rPr>
          <w:sz w:val="24"/>
          <w:szCs w:val="24"/>
        </w:rPr>
      </w:pPr>
    </w:p>
    <w:p w:rsidR="00F71EA6" w:rsidRDefault="00A83EB8">
      <w:pPr>
        <w:rPr>
          <w:color w:val="000000"/>
          <w:sz w:val="24"/>
          <w:szCs w:val="24"/>
        </w:rPr>
      </w:pPr>
      <w:r>
        <w:br w:type="page"/>
      </w:r>
    </w:p>
    <w:p w:rsidR="00F71EA6" w:rsidRDefault="00A83EB8">
      <w:pPr>
        <w:spacing w:after="0" w:line="240" w:lineRule="auto"/>
        <w:rPr>
          <w:b/>
          <w:sz w:val="28"/>
          <w:szCs w:val="28"/>
        </w:rPr>
      </w:pPr>
      <w:r>
        <w:rPr>
          <w:b/>
          <w:sz w:val="28"/>
          <w:szCs w:val="28"/>
        </w:rPr>
        <w:lastRenderedPageBreak/>
        <w:t>Section III: Envision the Future</w:t>
      </w:r>
    </w:p>
    <w:p w:rsidR="00F71EA6" w:rsidRDefault="00A83EB8">
      <w:pPr>
        <w:spacing w:after="0" w:line="240" w:lineRule="auto"/>
        <w:rPr>
          <w:sz w:val="24"/>
          <w:szCs w:val="24"/>
        </w:rPr>
      </w:pPr>
      <w:r>
        <w:rPr>
          <w:sz w:val="24"/>
          <w:szCs w:val="24"/>
        </w:rPr>
        <w:t>Briefly describe the 3-5 year vision for the school as a result of the turnaround process. (1 page)</w:t>
      </w:r>
    </w:p>
    <w:tbl>
      <w:tblPr>
        <w:tblStyle w:val="a1"/>
        <w:tblW w:w="1043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This is the table for you to write envision the future."/>
      </w:tblPr>
      <w:tblGrid>
        <w:gridCol w:w="10435"/>
      </w:tblGrid>
      <w:tr w:rsidR="00F71EA6" w:rsidTr="003D5B8D">
        <w:trPr>
          <w:tblHeader/>
        </w:trPr>
        <w:tc>
          <w:tcPr>
            <w:tcW w:w="10435" w:type="dxa"/>
            <w:tcBorders>
              <w:top w:val="single" w:sz="4" w:space="0" w:color="000000"/>
              <w:left w:val="single" w:sz="4" w:space="0" w:color="000000"/>
              <w:bottom w:val="single" w:sz="4" w:space="0" w:color="000000"/>
              <w:right w:val="single" w:sz="4" w:space="0" w:color="000000"/>
            </w:tcBorders>
          </w:tcPr>
          <w:p w:rsidR="00F71EA6" w:rsidRDefault="00F71EA6">
            <w:pPr>
              <w:rPr>
                <w:sz w:val="24"/>
                <w:szCs w:val="24"/>
              </w:rPr>
            </w:pPr>
          </w:p>
          <w:p w:rsidR="00F71EA6" w:rsidRDefault="00F71EA6">
            <w:pPr>
              <w:rPr>
                <w:sz w:val="24"/>
                <w:szCs w:val="24"/>
              </w:rPr>
            </w:pPr>
          </w:p>
          <w:p w:rsidR="00F71EA6" w:rsidRDefault="00F71EA6">
            <w:pPr>
              <w:rPr>
                <w:sz w:val="24"/>
                <w:szCs w:val="24"/>
              </w:rPr>
            </w:pPr>
          </w:p>
          <w:p w:rsidR="00F71EA6" w:rsidRDefault="00F71EA6">
            <w:pPr>
              <w:rPr>
                <w:sz w:val="24"/>
                <w:szCs w:val="24"/>
              </w:rPr>
            </w:pPr>
          </w:p>
          <w:p w:rsidR="00F71EA6" w:rsidRDefault="00F71EA6">
            <w:pPr>
              <w:rPr>
                <w:sz w:val="24"/>
                <w:szCs w:val="24"/>
              </w:rPr>
            </w:pPr>
          </w:p>
        </w:tc>
      </w:tr>
    </w:tbl>
    <w:p w:rsidR="00F71EA6" w:rsidRDefault="00F71EA6">
      <w:pPr>
        <w:spacing w:after="0" w:line="240" w:lineRule="auto"/>
        <w:rPr>
          <w:b/>
          <w:sz w:val="28"/>
          <w:szCs w:val="28"/>
        </w:rPr>
      </w:pPr>
    </w:p>
    <w:p w:rsidR="00F71EA6" w:rsidRDefault="00F71EA6">
      <w:pPr>
        <w:spacing w:after="0" w:line="240" w:lineRule="auto"/>
        <w:rPr>
          <w:b/>
          <w:sz w:val="28"/>
          <w:szCs w:val="28"/>
        </w:rPr>
      </w:pPr>
    </w:p>
    <w:p w:rsidR="00F71EA6" w:rsidRDefault="00A83EB8">
      <w:pPr>
        <w:spacing w:after="0" w:line="240" w:lineRule="auto"/>
        <w:rPr>
          <w:b/>
          <w:sz w:val="28"/>
          <w:szCs w:val="28"/>
        </w:rPr>
      </w:pPr>
      <w:r>
        <w:br w:type="page"/>
      </w:r>
    </w:p>
    <w:p w:rsidR="00F71EA6" w:rsidRDefault="00A83EB8">
      <w:pPr>
        <w:spacing w:after="0" w:line="240" w:lineRule="auto"/>
        <w:rPr>
          <w:b/>
          <w:sz w:val="28"/>
          <w:szCs w:val="28"/>
        </w:rPr>
      </w:pPr>
      <w:r>
        <w:rPr>
          <w:b/>
          <w:sz w:val="28"/>
          <w:szCs w:val="28"/>
        </w:rPr>
        <w:lastRenderedPageBreak/>
        <w:t>Section IV: Analysis of Assets and Challenges</w:t>
      </w:r>
    </w:p>
    <w:p w:rsidR="00F71EA6" w:rsidRDefault="00A83EB8">
      <w:pPr>
        <w:spacing w:line="240" w:lineRule="auto"/>
        <w:rPr>
          <w:sz w:val="24"/>
          <w:szCs w:val="24"/>
        </w:rPr>
      </w:pPr>
      <w:r>
        <w:rPr>
          <w:sz w:val="24"/>
          <w:szCs w:val="24"/>
        </w:rPr>
        <w:t>Describe the key assets to build upon, and challenges that need to be addressed, that were identified as a result of a thorough root cause analysis. (2-3 pages)</w:t>
      </w:r>
    </w:p>
    <w:tbl>
      <w:tblPr>
        <w:tblStyle w:val="a2"/>
        <w:tblW w:w="1043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This is the table for you to write analysis of assets and challenges."/>
      </w:tblPr>
      <w:tblGrid>
        <w:gridCol w:w="10435"/>
      </w:tblGrid>
      <w:tr w:rsidR="00F71EA6" w:rsidTr="003D5B8D">
        <w:trPr>
          <w:tblHeader/>
        </w:trPr>
        <w:tc>
          <w:tcPr>
            <w:tcW w:w="10435" w:type="dxa"/>
            <w:tcBorders>
              <w:top w:val="single" w:sz="4" w:space="0" w:color="000000"/>
              <w:left w:val="single" w:sz="4" w:space="0" w:color="000000"/>
              <w:bottom w:val="single" w:sz="4" w:space="0" w:color="000000"/>
              <w:right w:val="single" w:sz="4" w:space="0" w:color="000000"/>
            </w:tcBorders>
          </w:tcPr>
          <w:p w:rsidR="00F71EA6" w:rsidRDefault="00F71EA6">
            <w:pPr>
              <w:rPr>
                <w:sz w:val="24"/>
                <w:szCs w:val="24"/>
              </w:rPr>
            </w:pPr>
          </w:p>
          <w:p w:rsidR="00F71EA6" w:rsidRDefault="00F71EA6">
            <w:pPr>
              <w:rPr>
                <w:sz w:val="24"/>
                <w:szCs w:val="24"/>
              </w:rPr>
            </w:pPr>
          </w:p>
          <w:p w:rsidR="00F71EA6" w:rsidRDefault="00F71EA6">
            <w:pPr>
              <w:rPr>
                <w:sz w:val="24"/>
                <w:szCs w:val="24"/>
              </w:rPr>
            </w:pPr>
          </w:p>
          <w:p w:rsidR="00F71EA6" w:rsidRDefault="00F71EA6">
            <w:pPr>
              <w:rPr>
                <w:sz w:val="24"/>
                <w:szCs w:val="24"/>
              </w:rPr>
            </w:pPr>
          </w:p>
          <w:p w:rsidR="00F71EA6" w:rsidRDefault="00F71EA6">
            <w:pPr>
              <w:rPr>
                <w:sz w:val="24"/>
                <w:szCs w:val="24"/>
              </w:rPr>
            </w:pPr>
          </w:p>
          <w:p w:rsidR="00F71EA6" w:rsidRDefault="00F71EA6">
            <w:pPr>
              <w:rPr>
                <w:sz w:val="24"/>
                <w:szCs w:val="24"/>
              </w:rPr>
            </w:pPr>
          </w:p>
        </w:tc>
      </w:tr>
    </w:tbl>
    <w:p w:rsidR="00F71EA6" w:rsidRDefault="00F71EA6">
      <w:pPr>
        <w:spacing w:line="240" w:lineRule="auto"/>
        <w:rPr>
          <w:sz w:val="24"/>
          <w:szCs w:val="24"/>
        </w:rPr>
      </w:pPr>
    </w:p>
    <w:p w:rsidR="00F71EA6" w:rsidRDefault="00A83EB8">
      <w:pPr>
        <w:spacing w:after="0" w:line="240" w:lineRule="auto"/>
        <w:rPr>
          <w:b/>
          <w:sz w:val="28"/>
          <w:szCs w:val="28"/>
        </w:rPr>
      </w:pPr>
      <w:r>
        <w:br w:type="page"/>
      </w:r>
    </w:p>
    <w:p w:rsidR="00F71EA6" w:rsidRDefault="00A83EB8">
      <w:pPr>
        <w:spacing w:after="0" w:line="240" w:lineRule="auto"/>
        <w:rPr>
          <w:b/>
          <w:sz w:val="28"/>
          <w:szCs w:val="28"/>
        </w:rPr>
      </w:pPr>
      <w:r>
        <w:rPr>
          <w:b/>
          <w:sz w:val="28"/>
          <w:szCs w:val="28"/>
        </w:rPr>
        <w:lastRenderedPageBreak/>
        <w:t>Section V: Strategic Objectives &amp; Initiatives Aligned to Turnaround Practices</w:t>
      </w:r>
    </w:p>
    <w:p w:rsidR="00F71EA6" w:rsidRDefault="00A83EB8">
      <w:pPr>
        <w:spacing w:after="0" w:line="240" w:lineRule="auto"/>
        <w:rPr>
          <w:sz w:val="24"/>
          <w:szCs w:val="24"/>
        </w:rPr>
      </w:pPr>
      <w:r>
        <w:rPr>
          <w:sz w:val="24"/>
          <w:szCs w:val="24"/>
        </w:rPr>
        <w:t>Describe the key strategies the school will implement, the rationale for selecting those strategies, and the plan to support them. If a strategy falls under multiple turnaround practices, list the strategy once, then reference it in subsequent practices.</w:t>
      </w:r>
      <w:r>
        <w:rPr>
          <w:i/>
          <w:sz w:val="24"/>
          <w:szCs w:val="24"/>
        </w:rPr>
        <w:t xml:space="preserve">  </w:t>
      </w:r>
      <w:r>
        <w:rPr>
          <w:sz w:val="24"/>
          <w:szCs w:val="24"/>
        </w:rPr>
        <w:t>(Use as a general rule: 2-3 strategies, described in up to 3 pages per turnaround practice. Total page length for Section V is approximately 8-12 pages.)</w:t>
      </w:r>
    </w:p>
    <w:p w:rsidR="00F71EA6" w:rsidRDefault="00F71EA6">
      <w:pPr>
        <w:spacing w:after="0" w:line="240" w:lineRule="auto"/>
        <w:rPr>
          <w:sz w:val="24"/>
          <w:szCs w:val="24"/>
        </w:rPr>
      </w:pPr>
    </w:p>
    <w:p w:rsidR="00F71EA6" w:rsidRDefault="00F71EA6">
      <w:pPr>
        <w:spacing w:after="0" w:line="240" w:lineRule="auto"/>
        <w:rPr>
          <w:b/>
          <w:sz w:val="24"/>
          <w:szCs w:val="24"/>
          <w:u w:val="single"/>
        </w:rPr>
      </w:pPr>
    </w:p>
    <w:p w:rsidR="00F71EA6" w:rsidRDefault="00A83EB8">
      <w:pPr>
        <w:spacing w:after="0" w:line="240" w:lineRule="auto"/>
        <w:rPr>
          <w:b/>
          <w:sz w:val="24"/>
          <w:szCs w:val="24"/>
        </w:rPr>
      </w:pPr>
      <w:r>
        <w:rPr>
          <w:b/>
          <w:sz w:val="24"/>
          <w:szCs w:val="24"/>
          <w:u w:val="single"/>
        </w:rPr>
        <w:t>Turnaround Practice #1</w:t>
      </w:r>
      <w:r>
        <w:rPr>
          <w:b/>
          <w:sz w:val="24"/>
          <w:szCs w:val="24"/>
        </w:rPr>
        <w:t>: Leadership, shared responsibility, and professional collaboration</w:t>
      </w:r>
    </w:p>
    <w:p w:rsidR="00F71EA6" w:rsidRDefault="00A83EB8">
      <w:pPr>
        <w:spacing w:after="0" w:line="256" w:lineRule="auto"/>
        <w:rPr>
          <w:sz w:val="24"/>
          <w:szCs w:val="24"/>
        </w:rPr>
      </w:pPr>
      <w:r>
        <w:rPr>
          <w:sz w:val="24"/>
          <w:szCs w:val="24"/>
        </w:rPr>
        <w:t xml:space="preserve">The school has established a community of practice through leadership, shared responsibility for all students, and professional collaboration. </w:t>
      </w:r>
    </w:p>
    <w:p w:rsidR="00F71EA6" w:rsidRDefault="00F71EA6">
      <w:pPr>
        <w:spacing w:after="0" w:line="240" w:lineRule="auto"/>
        <w:rPr>
          <w:sz w:val="24"/>
          <w:szCs w:val="24"/>
        </w:rPr>
      </w:pPr>
    </w:p>
    <w:tbl>
      <w:tblPr>
        <w:tblStyle w:val="a3"/>
        <w:tblW w:w="1043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This is the blank table for you to write in."/>
      </w:tblPr>
      <w:tblGrid>
        <w:gridCol w:w="10435"/>
      </w:tblGrid>
      <w:tr w:rsidR="00F71EA6" w:rsidTr="003D5B8D">
        <w:trPr>
          <w:tblHeader/>
        </w:trPr>
        <w:tc>
          <w:tcPr>
            <w:tcW w:w="10435" w:type="dxa"/>
            <w:tcBorders>
              <w:top w:val="single" w:sz="4" w:space="0" w:color="000000"/>
              <w:left w:val="single" w:sz="4" w:space="0" w:color="000000"/>
              <w:bottom w:val="single" w:sz="4" w:space="0" w:color="000000"/>
              <w:right w:val="single" w:sz="4" w:space="0" w:color="000000"/>
            </w:tcBorders>
          </w:tcPr>
          <w:p w:rsidR="00F71EA6" w:rsidRDefault="00F71EA6">
            <w:pPr>
              <w:rPr>
                <w:sz w:val="24"/>
                <w:szCs w:val="24"/>
              </w:rPr>
            </w:pPr>
          </w:p>
          <w:p w:rsidR="00F71EA6" w:rsidRDefault="00F71EA6">
            <w:pPr>
              <w:rPr>
                <w:sz w:val="24"/>
                <w:szCs w:val="24"/>
              </w:rPr>
            </w:pPr>
          </w:p>
          <w:p w:rsidR="00F71EA6" w:rsidRDefault="00F71EA6">
            <w:pPr>
              <w:rPr>
                <w:sz w:val="24"/>
                <w:szCs w:val="24"/>
              </w:rPr>
            </w:pPr>
          </w:p>
          <w:p w:rsidR="00F71EA6" w:rsidRDefault="00F71EA6">
            <w:pPr>
              <w:rPr>
                <w:sz w:val="24"/>
                <w:szCs w:val="24"/>
              </w:rPr>
            </w:pPr>
          </w:p>
          <w:p w:rsidR="00F71EA6" w:rsidRDefault="00F71EA6">
            <w:pPr>
              <w:rPr>
                <w:sz w:val="24"/>
                <w:szCs w:val="24"/>
              </w:rPr>
            </w:pPr>
          </w:p>
          <w:p w:rsidR="00F71EA6" w:rsidRDefault="00F71EA6">
            <w:pPr>
              <w:rPr>
                <w:sz w:val="24"/>
                <w:szCs w:val="24"/>
              </w:rPr>
            </w:pPr>
          </w:p>
        </w:tc>
      </w:tr>
    </w:tbl>
    <w:p w:rsidR="00F71EA6" w:rsidRDefault="00F71EA6">
      <w:pPr>
        <w:spacing w:after="0" w:line="240" w:lineRule="auto"/>
        <w:rPr>
          <w:b/>
          <w:sz w:val="28"/>
          <w:szCs w:val="28"/>
        </w:rPr>
      </w:pPr>
    </w:p>
    <w:p w:rsidR="00F71EA6" w:rsidRDefault="00F71EA6">
      <w:pPr>
        <w:spacing w:after="0" w:line="240" w:lineRule="auto"/>
        <w:rPr>
          <w:b/>
          <w:sz w:val="28"/>
          <w:szCs w:val="28"/>
        </w:rPr>
      </w:pPr>
    </w:p>
    <w:p w:rsidR="00F71EA6" w:rsidRDefault="00A83EB8">
      <w:pPr>
        <w:spacing w:after="0" w:line="240" w:lineRule="auto"/>
        <w:rPr>
          <w:b/>
          <w:sz w:val="28"/>
          <w:szCs w:val="28"/>
        </w:rPr>
      </w:pPr>
      <w:r>
        <w:br w:type="page"/>
      </w:r>
    </w:p>
    <w:p w:rsidR="00F71EA6" w:rsidRDefault="00A83EB8">
      <w:pPr>
        <w:spacing w:after="0" w:line="240" w:lineRule="auto"/>
        <w:rPr>
          <w:b/>
          <w:sz w:val="24"/>
          <w:szCs w:val="24"/>
        </w:rPr>
      </w:pPr>
      <w:r>
        <w:rPr>
          <w:b/>
          <w:sz w:val="24"/>
          <w:szCs w:val="24"/>
          <w:u w:val="single"/>
        </w:rPr>
        <w:lastRenderedPageBreak/>
        <w:t>Turnaround Practice #2</w:t>
      </w:r>
      <w:r>
        <w:rPr>
          <w:b/>
          <w:sz w:val="24"/>
          <w:szCs w:val="24"/>
        </w:rPr>
        <w:t>:  Intentional practices for improving instruction</w:t>
      </w:r>
    </w:p>
    <w:p w:rsidR="00F71EA6" w:rsidRDefault="00A83EB8">
      <w:pPr>
        <w:spacing w:after="0" w:line="256" w:lineRule="auto"/>
        <w:rPr>
          <w:sz w:val="24"/>
          <w:szCs w:val="24"/>
        </w:rPr>
      </w:pPr>
      <w:r>
        <w:rPr>
          <w:sz w:val="24"/>
          <w:szCs w:val="24"/>
        </w:rPr>
        <w:t>The school employs intentional practices for improving teacher-specific and student-responsive instruction.</w:t>
      </w:r>
    </w:p>
    <w:p w:rsidR="00F71EA6" w:rsidRDefault="00F71EA6">
      <w:pPr>
        <w:spacing w:after="0" w:line="240" w:lineRule="auto"/>
        <w:rPr>
          <w:sz w:val="24"/>
          <w:szCs w:val="24"/>
        </w:rPr>
      </w:pPr>
    </w:p>
    <w:tbl>
      <w:tblPr>
        <w:tblStyle w:val="a4"/>
        <w:tblW w:w="1043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This is the blank table for you to write in."/>
      </w:tblPr>
      <w:tblGrid>
        <w:gridCol w:w="10435"/>
      </w:tblGrid>
      <w:tr w:rsidR="00F71EA6" w:rsidTr="003D5B8D">
        <w:trPr>
          <w:tblHeader/>
        </w:trPr>
        <w:tc>
          <w:tcPr>
            <w:tcW w:w="10435" w:type="dxa"/>
            <w:tcBorders>
              <w:top w:val="single" w:sz="4" w:space="0" w:color="000000"/>
              <w:left w:val="single" w:sz="4" w:space="0" w:color="000000"/>
              <w:bottom w:val="single" w:sz="4" w:space="0" w:color="000000"/>
              <w:right w:val="single" w:sz="4" w:space="0" w:color="000000"/>
            </w:tcBorders>
          </w:tcPr>
          <w:p w:rsidR="00F71EA6" w:rsidRDefault="00F71EA6">
            <w:pPr>
              <w:rPr>
                <w:sz w:val="24"/>
                <w:szCs w:val="24"/>
              </w:rPr>
            </w:pPr>
          </w:p>
          <w:p w:rsidR="00F71EA6" w:rsidRDefault="00F71EA6">
            <w:pPr>
              <w:rPr>
                <w:sz w:val="24"/>
                <w:szCs w:val="24"/>
              </w:rPr>
            </w:pPr>
          </w:p>
          <w:p w:rsidR="00F71EA6" w:rsidRDefault="00F71EA6">
            <w:pPr>
              <w:rPr>
                <w:sz w:val="24"/>
                <w:szCs w:val="24"/>
              </w:rPr>
            </w:pPr>
          </w:p>
          <w:p w:rsidR="00F71EA6" w:rsidRDefault="00F71EA6">
            <w:pPr>
              <w:rPr>
                <w:sz w:val="24"/>
                <w:szCs w:val="24"/>
              </w:rPr>
            </w:pPr>
          </w:p>
          <w:p w:rsidR="00F71EA6" w:rsidRDefault="00F71EA6">
            <w:pPr>
              <w:rPr>
                <w:sz w:val="24"/>
                <w:szCs w:val="24"/>
              </w:rPr>
            </w:pPr>
          </w:p>
          <w:p w:rsidR="00F71EA6" w:rsidRDefault="00F71EA6">
            <w:pPr>
              <w:rPr>
                <w:sz w:val="24"/>
                <w:szCs w:val="24"/>
              </w:rPr>
            </w:pPr>
          </w:p>
        </w:tc>
      </w:tr>
    </w:tbl>
    <w:p w:rsidR="00F71EA6" w:rsidRDefault="00F71EA6">
      <w:pPr>
        <w:rPr>
          <w:i/>
          <w:sz w:val="24"/>
          <w:szCs w:val="24"/>
        </w:rPr>
      </w:pPr>
    </w:p>
    <w:p w:rsidR="00F71EA6" w:rsidRDefault="00F71EA6">
      <w:pPr>
        <w:spacing w:after="0" w:line="240" w:lineRule="auto"/>
        <w:rPr>
          <w:b/>
          <w:sz w:val="24"/>
          <w:szCs w:val="24"/>
          <w:u w:val="single"/>
        </w:rPr>
      </w:pPr>
    </w:p>
    <w:p w:rsidR="00F71EA6" w:rsidRDefault="00A83EB8">
      <w:pPr>
        <w:spacing w:after="0" w:line="240" w:lineRule="auto"/>
        <w:rPr>
          <w:b/>
          <w:sz w:val="28"/>
          <w:szCs w:val="28"/>
        </w:rPr>
      </w:pPr>
      <w:r>
        <w:br w:type="page"/>
      </w:r>
    </w:p>
    <w:p w:rsidR="00F71EA6" w:rsidRDefault="00A83EB8">
      <w:pPr>
        <w:spacing w:after="0" w:line="240" w:lineRule="auto"/>
        <w:rPr>
          <w:b/>
          <w:sz w:val="24"/>
          <w:szCs w:val="24"/>
          <w:u w:val="single"/>
        </w:rPr>
      </w:pPr>
      <w:r>
        <w:rPr>
          <w:b/>
          <w:sz w:val="24"/>
          <w:szCs w:val="24"/>
          <w:u w:val="single"/>
        </w:rPr>
        <w:lastRenderedPageBreak/>
        <w:t>Turnaround Practice #3</w:t>
      </w:r>
      <w:r>
        <w:rPr>
          <w:b/>
          <w:sz w:val="24"/>
          <w:szCs w:val="24"/>
        </w:rPr>
        <w:t>:  Student-specific supports and instruction to all students</w:t>
      </w:r>
    </w:p>
    <w:p w:rsidR="00F71EA6" w:rsidRDefault="00A83EB8">
      <w:pPr>
        <w:spacing w:after="0" w:line="256" w:lineRule="auto"/>
        <w:rPr>
          <w:sz w:val="24"/>
          <w:szCs w:val="24"/>
        </w:rPr>
      </w:pPr>
      <w:r>
        <w:rPr>
          <w:sz w:val="24"/>
          <w:szCs w:val="24"/>
        </w:rPr>
        <w:t>The school is able to provide student-specific supports and interventions informed by data and the identification of student-specific needs.</w:t>
      </w:r>
    </w:p>
    <w:p w:rsidR="00F71EA6" w:rsidRDefault="00F71EA6">
      <w:pPr>
        <w:spacing w:after="0" w:line="240" w:lineRule="auto"/>
        <w:rPr>
          <w:sz w:val="24"/>
          <w:szCs w:val="24"/>
        </w:rPr>
      </w:pPr>
    </w:p>
    <w:tbl>
      <w:tblPr>
        <w:tblStyle w:val="a5"/>
        <w:tblW w:w="1043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This is the blank table for you to write in."/>
      </w:tblPr>
      <w:tblGrid>
        <w:gridCol w:w="10435"/>
      </w:tblGrid>
      <w:tr w:rsidR="00F71EA6" w:rsidTr="003D5B8D">
        <w:trPr>
          <w:tblHeader/>
        </w:trPr>
        <w:tc>
          <w:tcPr>
            <w:tcW w:w="10435" w:type="dxa"/>
            <w:tcBorders>
              <w:top w:val="single" w:sz="4" w:space="0" w:color="000000"/>
              <w:left w:val="single" w:sz="4" w:space="0" w:color="000000"/>
              <w:bottom w:val="single" w:sz="4" w:space="0" w:color="000000"/>
              <w:right w:val="single" w:sz="4" w:space="0" w:color="000000"/>
            </w:tcBorders>
          </w:tcPr>
          <w:p w:rsidR="00F71EA6" w:rsidRDefault="00F71EA6">
            <w:pPr>
              <w:rPr>
                <w:sz w:val="24"/>
                <w:szCs w:val="24"/>
              </w:rPr>
            </w:pPr>
          </w:p>
          <w:p w:rsidR="00F71EA6" w:rsidRDefault="00F71EA6">
            <w:pPr>
              <w:rPr>
                <w:sz w:val="24"/>
                <w:szCs w:val="24"/>
              </w:rPr>
            </w:pPr>
          </w:p>
          <w:p w:rsidR="00F71EA6" w:rsidRDefault="00F71EA6">
            <w:pPr>
              <w:rPr>
                <w:sz w:val="24"/>
                <w:szCs w:val="24"/>
              </w:rPr>
            </w:pPr>
          </w:p>
          <w:p w:rsidR="00F71EA6" w:rsidRDefault="00F71EA6">
            <w:pPr>
              <w:rPr>
                <w:sz w:val="24"/>
                <w:szCs w:val="24"/>
              </w:rPr>
            </w:pPr>
          </w:p>
          <w:p w:rsidR="00F71EA6" w:rsidRDefault="00F71EA6">
            <w:pPr>
              <w:rPr>
                <w:sz w:val="24"/>
                <w:szCs w:val="24"/>
              </w:rPr>
            </w:pPr>
          </w:p>
          <w:p w:rsidR="00F71EA6" w:rsidRDefault="00F71EA6">
            <w:pPr>
              <w:rPr>
                <w:sz w:val="24"/>
                <w:szCs w:val="24"/>
              </w:rPr>
            </w:pPr>
          </w:p>
        </w:tc>
      </w:tr>
    </w:tbl>
    <w:p w:rsidR="00F71EA6" w:rsidRDefault="00F71EA6">
      <w:pPr>
        <w:rPr>
          <w:i/>
          <w:sz w:val="24"/>
          <w:szCs w:val="24"/>
        </w:rPr>
      </w:pPr>
    </w:p>
    <w:p w:rsidR="00F71EA6" w:rsidRDefault="00F71EA6">
      <w:pPr>
        <w:spacing w:after="0" w:line="240" w:lineRule="auto"/>
        <w:rPr>
          <w:b/>
          <w:sz w:val="24"/>
          <w:szCs w:val="24"/>
          <w:u w:val="single"/>
        </w:rPr>
      </w:pPr>
    </w:p>
    <w:p w:rsidR="00F71EA6" w:rsidRDefault="00A83EB8">
      <w:pPr>
        <w:spacing w:after="0" w:line="240" w:lineRule="auto"/>
        <w:rPr>
          <w:b/>
          <w:sz w:val="28"/>
          <w:szCs w:val="28"/>
        </w:rPr>
      </w:pPr>
      <w:r>
        <w:br w:type="page"/>
      </w:r>
    </w:p>
    <w:p w:rsidR="00F71EA6" w:rsidRDefault="00A83EB8">
      <w:pPr>
        <w:spacing w:after="0" w:line="240" w:lineRule="auto"/>
        <w:rPr>
          <w:b/>
          <w:sz w:val="24"/>
          <w:szCs w:val="24"/>
        </w:rPr>
      </w:pPr>
      <w:r>
        <w:rPr>
          <w:b/>
          <w:sz w:val="24"/>
          <w:szCs w:val="24"/>
          <w:u w:val="single"/>
        </w:rPr>
        <w:lastRenderedPageBreak/>
        <w:t>Turnaround Practice #4</w:t>
      </w:r>
      <w:r>
        <w:rPr>
          <w:b/>
          <w:sz w:val="24"/>
          <w:szCs w:val="24"/>
        </w:rPr>
        <w:t>:  School Culture and Climate</w:t>
      </w:r>
    </w:p>
    <w:p w:rsidR="00F71EA6" w:rsidRDefault="00A83EB8">
      <w:pPr>
        <w:spacing w:line="256" w:lineRule="auto"/>
        <w:rPr>
          <w:sz w:val="24"/>
          <w:szCs w:val="24"/>
        </w:rPr>
      </w:pPr>
      <w:r>
        <w:rPr>
          <w:sz w:val="24"/>
          <w:szCs w:val="24"/>
        </w:rPr>
        <w:t>A safe, orderly, and respectful environment for students and a collegial and collaborative culture among teachers.</w:t>
      </w:r>
    </w:p>
    <w:p w:rsidR="00F71EA6" w:rsidRDefault="00F71EA6">
      <w:pPr>
        <w:spacing w:after="0" w:line="240" w:lineRule="auto"/>
        <w:rPr>
          <w:sz w:val="24"/>
          <w:szCs w:val="24"/>
        </w:rPr>
      </w:pPr>
      <w:bookmarkStart w:id="1" w:name="_r1515h8xh82w" w:colFirst="0" w:colLast="0"/>
      <w:bookmarkEnd w:id="1"/>
    </w:p>
    <w:tbl>
      <w:tblPr>
        <w:tblStyle w:val="a6"/>
        <w:tblW w:w="1043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This is the blank table for you to write in."/>
      </w:tblPr>
      <w:tblGrid>
        <w:gridCol w:w="10435"/>
      </w:tblGrid>
      <w:tr w:rsidR="00F71EA6" w:rsidTr="003D5B8D">
        <w:trPr>
          <w:tblHeader/>
        </w:trPr>
        <w:tc>
          <w:tcPr>
            <w:tcW w:w="10435" w:type="dxa"/>
            <w:tcBorders>
              <w:top w:val="single" w:sz="4" w:space="0" w:color="000000"/>
              <w:left w:val="single" w:sz="4" w:space="0" w:color="000000"/>
              <w:bottom w:val="single" w:sz="4" w:space="0" w:color="000000"/>
              <w:right w:val="single" w:sz="4" w:space="0" w:color="000000"/>
            </w:tcBorders>
          </w:tcPr>
          <w:p w:rsidR="00F71EA6" w:rsidRDefault="00F71EA6">
            <w:pPr>
              <w:rPr>
                <w:sz w:val="24"/>
                <w:szCs w:val="24"/>
              </w:rPr>
            </w:pPr>
          </w:p>
          <w:p w:rsidR="00F71EA6" w:rsidRDefault="00F71EA6">
            <w:pPr>
              <w:rPr>
                <w:sz w:val="24"/>
                <w:szCs w:val="24"/>
              </w:rPr>
            </w:pPr>
          </w:p>
          <w:p w:rsidR="00F71EA6" w:rsidRDefault="00F71EA6">
            <w:pPr>
              <w:rPr>
                <w:sz w:val="24"/>
                <w:szCs w:val="24"/>
              </w:rPr>
            </w:pPr>
          </w:p>
          <w:p w:rsidR="00F71EA6" w:rsidRDefault="00F71EA6">
            <w:pPr>
              <w:rPr>
                <w:sz w:val="24"/>
                <w:szCs w:val="24"/>
              </w:rPr>
            </w:pPr>
          </w:p>
          <w:p w:rsidR="00F71EA6" w:rsidRDefault="00F71EA6">
            <w:pPr>
              <w:rPr>
                <w:sz w:val="24"/>
                <w:szCs w:val="24"/>
              </w:rPr>
            </w:pPr>
          </w:p>
          <w:p w:rsidR="00F71EA6" w:rsidRDefault="00F71EA6">
            <w:pPr>
              <w:rPr>
                <w:sz w:val="24"/>
                <w:szCs w:val="24"/>
              </w:rPr>
            </w:pPr>
          </w:p>
        </w:tc>
      </w:tr>
    </w:tbl>
    <w:p w:rsidR="00F71EA6" w:rsidRDefault="00F71EA6">
      <w:pPr>
        <w:rPr>
          <w:i/>
          <w:sz w:val="24"/>
          <w:szCs w:val="24"/>
        </w:rPr>
      </w:pPr>
    </w:p>
    <w:p w:rsidR="00F71EA6" w:rsidRDefault="00A83EB8">
      <w:pPr>
        <w:spacing w:line="256" w:lineRule="auto"/>
        <w:rPr>
          <w:sz w:val="24"/>
          <w:szCs w:val="24"/>
        </w:rPr>
      </w:pPr>
      <w:r>
        <w:br w:type="page"/>
      </w:r>
    </w:p>
    <w:p w:rsidR="00F71EA6" w:rsidRDefault="00A83EB8">
      <w:pPr>
        <w:spacing w:after="0" w:line="240" w:lineRule="auto"/>
        <w:rPr>
          <w:b/>
          <w:sz w:val="28"/>
          <w:szCs w:val="28"/>
        </w:rPr>
      </w:pPr>
      <w:r>
        <w:rPr>
          <w:b/>
          <w:sz w:val="28"/>
          <w:szCs w:val="28"/>
        </w:rPr>
        <w:lastRenderedPageBreak/>
        <w:t>Section VI: District Systems</w:t>
      </w:r>
    </w:p>
    <w:p w:rsidR="00F71EA6" w:rsidRDefault="00A83EB8">
      <w:pPr>
        <w:spacing w:after="0" w:line="240" w:lineRule="auto"/>
        <w:rPr>
          <w:sz w:val="24"/>
          <w:szCs w:val="24"/>
        </w:rPr>
      </w:pPr>
      <w:r>
        <w:rPr>
          <w:sz w:val="24"/>
          <w:szCs w:val="24"/>
        </w:rPr>
        <w:t>Districts describe changes in policies/autonomies, systems to support school-level turnaround plans, and a three-year financial plan for the school, including an analysis of resource inequities.  (2-3 pages)</w:t>
      </w:r>
    </w:p>
    <w:tbl>
      <w:tblPr>
        <w:tblStyle w:val="a7"/>
        <w:tblW w:w="1043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This is the blank table for you to write in."/>
      </w:tblPr>
      <w:tblGrid>
        <w:gridCol w:w="10435"/>
      </w:tblGrid>
      <w:tr w:rsidR="00F71EA6" w:rsidTr="003D5B8D">
        <w:trPr>
          <w:tblHeader/>
        </w:trPr>
        <w:tc>
          <w:tcPr>
            <w:tcW w:w="10435" w:type="dxa"/>
            <w:tcBorders>
              <w:top w:val="single" w:sz="4" w:space="0" w:color="000000"/>
              <w:left w:val="single" w:sz="4" w:space="0" w:color="000000"/>
              <w:bottom w:val="single" w:sz="4" w:space="0" w:color="000000"/>
              <w:right w:val="single" w:sz="4" w:space="0" w:color="000000"/>
            </w:tcBorders>
          </w:tcPr>
          <w:p w:rsidR="00F71EA6" w:rsidRDefault="00F71EA6">
            <w:pPr>
              <w:rPr>
                <w:sz w:val="24"/>
                <w:szCs w:val="24"/>
              </w:rPr>
            </w:pPr>
          </w:p>
          <w:p w:rsidR="00F71EA6" w:rsidRDefault="00F71EA6">
            <w:pPr>
              <w:rPr>
                <w:sz w:val="24"/>
                <w:szCs w:val="24"/>
              </w:rPr>
            </w:pPr>
          </w:p>
          <w:p w:rsidR="00F71EA6" w:rsidRDefault="00F71EA6">
            <w:pPr>
              <w:rPr>
                <w:sz w:val="24"/>
                <w:szCs w:val="24"/>
              </w:rPr>
            </w:pPr>
          </w:p>
          <w:p w:rsidR="00F71EA6" w:rsidRDefault="00F71EA6">
            <w:pPr>
              <w:rPr>
                <w:sz w:val="24"/>
                <w:szCs w:val="24"/>
              </w:rPr>
            </w:pPr>
          </w:p>
          <w:p w:rsidR="00F71EA6" w:rsidRDefault="00F71EA6">
            <w:pPr>
              <w:rPr>
                <w:sz w:val="24"/>
                <w:szCs w:val="24"/>
              </w:rPr>
            </w:pPr>
          </w:p>
          <w:p w:rsidR="00F71EA6" w:rsidRDefault="00F71EA6">
            <w:pPr>
              <w:rPr>
                <w:sz w:val="24"/>
                <w:szCs w:val="24"/>
              </w:rPr>
            </w:pPr>
          </w:p>
        </w:tc>
      </w:tr>
    </w:tbl>
    <w:p w:rsidR="00F71EA6" w:rsidRDefault="00F71EA6"/>
    <w:p w:rsidR="00F71EA6" w:rsidRDefault="00A83EB8">
      <w:pPr>
        <w:pStyle w:val="Heading2"/>
        <w:keepNext w:val="0"/>
        <w:keepLines w:val="0"/>
        <w:spacing w:line="288" w:lineRule="auto"/>
        <w:ind w:left="720"/>
        <w:rPr>
          <w:color w:val="000000"/>
          <w:sz w:val="24"/>
          <w:szCs w:val="24"/>
        </w:rPr>
      </w:pPr>
      <w:bookmarkStart w:id="2" w:name="_gsrbfl31ltez" w:colFirst="0" w:colLast="0"/>
      <w:bookmarkEnd w:id="2"/>
      <w:r>
        <w:br w:type="page"/>
      </w:r>
    </w:p>
    <w:p w:rsidR="00F71EA6" w:rsidRDefault="00A83EB8">
      <w:pPr>
        <w:pStyle w:val="Heading2"/>
        <w:keepNext w:val="0"/>
        <w:keepLines w:val="0"/>
        <w:spacing w:line="288" w:lineRule="auto"/>
        <w:ind w:left="720"/>
        <w:rPr>
          <w:color w:val="000000"/>
          <w:sz w:val="24"/>
          <w:szCs w:val="24"/>
        </w:rPr>
      </w:pPr>
      <w:bookmarkStart w:id="3" w:name="_2dkio876v0lu" w:colFirst="0" w:colLast="0"/>
      <w:bookmarkEnd w:id="3"/>
      <w:r>
        <w:rPr>
          <w:color w:val="000000"/>
          <w:sz w:val="24"/>
          <w:szCs w:val="24"/>
        </w:rPr>
        <w:lastRenderedPageBreak/>
        <w:t>Changes in Policy and Strategies to Consider under State Law</w:t>
      </w:r>
    </w:p>
    <w:p w:rsidR="00F71EA6" w:rsidRDefault="00A83EB8">
      <w:pPr>
        <w:spacing w:before="120" w:after="120" w:line="288" w:lineRule="auto"/>
      </w:pPr>
      <w:r>
        <w:t xml:space="preserve">Districts are required to consider the following changes to policy and strategies for any school designated Underperforming, and are granted statutory flexibilities to enhance their efforts to address them. However all schools, even those without this designation, can benefit from considering these changes. </w:t>
      </w:r>
      <w:r>
        <w:rPr>
          <w:u w:val="single"/>
        </w:rPr>
        <w:t>Check all that apply and attach a copy of the revised collective bargaining agreement. Joint Resolution Committee decision, or Memorandum of Understanding/Agreement</w:t>
      </w:r>
      <w:r>
        <w:t>.</w:t>
      </w:r>
    </w:p>
    <w:p w:rsidR="00F71EA6" w:rsidRDefault="00A83EB8">
      <w:pPr>
        <w:spacing w:before="60" w:after="0" w:line="288" w:lineRule="auto"/>
        <w:ind w:left="720" w:right="-20"/>
        <w:rPr>
          <w:b/>
          <w:sz w:val="19"/>
          <w:szCs w:val="19"/>
        </w:rPr>
      </w:pPr>
      <w:r>
        <w:rPr>
          <w:b/>
          <w:sz w:val="19"/>
          <w:szCs w:val="19"/>
        </w:rPr>
        <w:t>Curriculum and Instruction</w:t>
      </w:r>
    </w:p>
    <w:p w:rsidR="00F71EA6" w:rsidRDefault="00A83EB8">
      <w:pPr>
        <w:spacing w:before="60" w:after="0" w:line="288" w:lineRule="auto"/>
        <w:ind w:left="360" w:right="420"/>
        <w:rPr>
          <w:sz w:val="19"/>
          <w:szCs w:val="19"/>
        </w:rPr>
      </w:pPr>
      <w:r>
        <w:rPr>
          <w:rFonts w:ascii="Times New Roman" w:eastAsia="Times New Roman" w:hAnsi="Times New Roman" w:cs="Times New Roman"/>
          <w:sz w:val="19"/>
          <w:szCs w:val="19"/>
        </w:rPr>
        <w:t xml:space="preserve">◻   </w:t>
      </w:r>
      <w:r>
        <w:rPr>
          <w:b/>
          <w:sz w:val="19"/>
          <w:szCs w:val="19"/>
        </w:rPr>
        <w:t>Expand, alter, or replace curriculum</w:t>
      </w:r>
      <w:r>
        <w:rPr>
          <w:sz w:val="19"/>
          <w:szCs w:val="19"/>
        </w:rPr>
        <w:t>: The Superintendent may expand, alter or replace the curriculum and program offerings of the school, including the implementation of research based early literacy programs, early interventions for struggling readers and the teaching of advanced placement courses or other rigorous nationally or internationally recognized courses, if the school does not already have such programs or courses</w:t>
      </w:r>
    </w:p>
    <w:p w:rsidR="00F71EA6" w:rsidRDefault="00A83EB8">
      <w:pPr>
        <w:spacing w:before="60" w:after="0" w:line="288" w:lineRule="auto"/>
        <w:ind w:left="720" w:right="-20"/>
        <w:rPr>
          <w:sz w:val="19"/>
          <w:szCs w:val="19"/>
        </w:rPr>
      </w:pPr>
      <w:r>
        <w:rPr>
          <w:rFonts w:ascii="Times New Roman" w:eastAsia="Times New Roman" w:hAnsi="Times New Roman" w:cs="Times New Roman"/>
          <w:sz w:val="19"/>
          <w:szCs w:val="19"/>
        </w:rPr>
        <w:t xml:space="preserve">◻   </w:t>
      </w:r>
      <w:r>
        <w:rPr>
          <w:b/>
          <w:sz w:val="19"/>
          <w:szCs w:val="19"/>
        </w:rPr>
        <w:t>Expand use of time</w:t>
      </w:r>
      <w:r>
        <w:rPr>
          <w:sz w:val="19"/>
          <w:szCs w:val="19"/>
        </w:rPr>
        <w:t>: The Superintendent may expand the school day or school year or both of the school</w:t>
      </w:r>
    </w:p>
    <w:p w:rsidR="00F71EA6" w:rsidRDefault="00A83EB8">
      <w:pPr>
        <w:spacing w:before="60" w:after="0" w:line="288" w:lineRule="auto"/>
        <w:ind w:left="360" w:right="-20"/>
        <w:rPr>
          <w:sz w:val="19"/>
          <w:szCs w:val="19"/>
        </w:rPr>
      </w:pPr>
      <w:r>
        <w:rPr>
          <w:rFonts w:ascii="Times New Roman" w:eastAsia="Times New Roman" w:hAnsi="Times New Roman" w:cs="Times New Roman"/>
          <w:sz w:val="19"/>
          <w:szCs w:val="19"/>
        </w:rPr>
        <w:t xml:space="preserve">◻   </w:t>
      </w:r>
      <w:r>
        <w:rPr>
          <w:b/>
          <w:sz w:val="19"/>
          <w:szCs w:val="19"/>
        </w:rPr>
        <w:t>Add Kindergarten or pre-Kindergarten</w:t>
      </w:r>
      <w:r>
        <w:rPr>
          <w:sz w:val="19"/>
          <w:szCs w:val="19"/>
        </w:rPr>
        <w:t>: The Superintendent may, for an elementary school, add prekindergarten and full day kindergarten classes, if the school does not already have such classes</w:t>
      </w:r>
    </w:p>
    <w:p w:rsidR="00F71EA6" w:rsidRDefault="00A83EB8">
      <w:pPr>
        <w:spacing w:before="60" w:after="0" w:line="288" w:lineRule="auto"/>
        <w:ind w:left="720" w:right="-20"/>
        <w:rPr>
          <w:b/>
          <w:sz w:val="19"/>
          <w:szCs w:val="19"/>
        </w:rPr>
      </w:pPr>
      <w:r>
        <w:rPr>
          <w:b/>
          <w:sz w:val="19"/>
          <w:szCs w:val="19"/>
        </w:rPr>
        <w:t>Financial and Asset Management</w:t>
      </w:r>
    </w:p>
    <w:p w:rsidR="00F71EA6" w:rsidRDefault="00A83EB8">
      <w:pPr>
        <w:spacing w:before="60" w:after="0" w:line="288" w:lineRule="auto"/>
        <w:ind w:left="720" w:right="-20"/>
        <w:rPr>
          <w:sz w:val="19"/>
          <w:szCs w:val="19"/>
        </w:rPr>
      </w:pPr>
      <w:r>
        <w:rPr>
          <w:rFonts w:ascii="Times New Roman" w:eastAsia="Times New Roman" w:hAnsi="Times New Roman" w:cs="Times New Roman"/>
          <w:sz w:val="19"/>
          <w:szCs w:val="19"/>
        </w:rPr>
        <w:t xml:space="preserve">◻   </w:t>
      </w:r>
      <w:r>
        <w:rPr>
          <w:b/>
          <w:sz w:val="19"/>
          <w:szCs w:val="19"/>
        </w:rPr>
        <w:t>Reallocate school budget</w:t>
      </w:r>
      <w:r>
        <w:rPr>
          <w:sz w:val="19"/>
          <w:szCs w:val="19"/>
        </w:rPr>
        <w:t>: The Superintendent may reallocate the uses of the existing budget of the school</w:t>
      </w:r>
    </w:p>
    <w:p w:rsidR="00F71EA6" w:rsidRDefault="00A83EB8">
      <w:pPr>
        <w:spacing w:before="60" w:after="0" w:line="288" w:lineRule="auto"/>
        <w:ind w:left="360" w:right="520"/>
        <w:rPr>
          <w:sz w:val="19"/>
          <w:szCs w:val="19"/>
        </w:rPr>
      </w:pPr>
      <w:r>
        <w:rPr>
          <w:rFonts w:ascii="Times New Roman" w:eastAsia="Times New Roman" w:hAnsi="Times New Roman" w:cs="Times New Roman"/>
          <w:sz w:val="19"/>
          <w:szCs w:val="19"/>
        </w:rPr>
        <w:t xml:space="preserve">◻   </w:t>
      </w:r>
      <w:r>
        <w:rPr>
          <w:b/>
          <w:sz w:val="19"/>
          <w:szCs w:val="19"/>
        </w:rPr>
        <w:t>Reallocated district budget</w:t>
      </w:r>
      <w:r>
        <w:rPr>
          <w:sz w:val="19"/>
          <w:szCs w:val="19"/>
        </w:rPr>
        <w:t>: The Superintendent may provide additional funds to the school from the budget of the district, if the school does not already receive funding from the district at least equal to the average per pupil funding received for students of the same classification and grade level in the district. (If the school receives funding at least equal to the average per pupil funding, with the approval of the School Committee, the Superintendent can direct additional funds to the school.)</w:t>
      </w:r>
    </w:p>
    <w:p w:rsidR="00F71EA6" w:rsidRDefault="00A83EB8">
      <w:pPr>
        <w:spacing w:before="60" w:after="0" w:line="288" w:lineRule="auto"/>
        <w:ind w:left="720" w:right="-20"/>
        <w:rPr>
          <w:b/>
          <w:sz w:val="19"/>
          <w:szCs w:val="19"/>
        </w:rPr>
      </w:pPr>
      <w:r>
        <w:rPr>
          <w:b/>
          <w:sz w:val="19"/>
          <w:szCs w:val="19"/>
        </w:rPr>
        <w:t>Human Resources</w:t>
      </w:r>
    </w:p>
    <w:p w:rsidR="00F71EA6" w:rsidRDefault="00A83EB8">
      <w:pPr>
        <w:spacing w:before="60" w:after="0" w:line="288" w:lineRule="auto"/>
        <w:ind w:left="360" w:right="120"/>
        <w:rPr>
          <w:sz w:val="19"/>
          <w:szCs w:val="19"/>
        </w:rPr>
      </w:pPr>
      <w:r>
        <w:rPr>
          <w:rFonts w:ascii="Times New Roman" w:eastAsia="Times New Roman" w:hAnsi="Times New Roman" w:cs="Times New Roman"/>
          <w:sz w:val="19"/>
          <w:szCs w:val="19"/>
        </w:rPr>
        <w:t xml:space="preserve">◻   </w:t>
      </w:r>
      <w:r>
        <w:rPr>
          <w:b/>
          <w:sz w:val="19"/>
          <w:szCs w:val="19"/>
        </w:rPr>
        <w:t xml:space="preserve">Attract and retain leaders and teachers: </w:t>
      </w:r>
      <w:r>
        <w:rPr>
          <w:sz w:val="19"/>
          <w:szCs w:val="19"/>
        </w:rPr>
        <w:t>The Superintendent may provide funds, subject to appropriation and following consultation with applicable local unions, to increase the salary of any administrator, or teacher in the school, to attract or retain highly qualified administrators, or teachers or to reward administrators, or teachers who work in underperforming schools that achieve the annual goals set forth in the turnaround plan</w:t>
      </w:r>
    </w:p>
    <w:p w:rsidR="00F71EA6" w:rsidRDefault="00A83EB8">
      <w:pPr>
        <w:spacing w:after="0" w:line="288" w:lineRule="auto"/>
        <w:ind w:left="360" w:right="140"/>
        <w:rPr>
          <w:sz w:val="19"/>
          <w:szCs w:val="19"/>
        </w:rPr>
      </w:pPr>
      <w:r>
        <w:rPr>
          <w:rFonts w:ascii="Times New Roman" w:eastAsia="Times New Roman" w:hAnsi="Times New Roman" w:cs="Times New Roman"/>
          <w:sz w:val="19"/>
          <w:szCs w:val="19"/>
        </w:rPr>
        <w:t xml:space="preserve">◻   </w:t>
      </w:r>
      <w:r>
        <w:rPr>
          <w:b/>
          <w:sz w:val="19"/>
          <w:szCs w:val="19"/>
        </w:rPr>
        <w:t xml:space="preserve">Make staffing changes: </w:t>
      </w:r>
      <w:r>
        <w:rPr>
          <w:sz w:val="19"/>
          <w:szCs w:val="19"/>
        </w:rPr>
        <w:t>The Superintendent may, following consultation with applicable local unions, require the principal and all administrators, teachers and staff to reapply for their positions in the school, with full discretion vested in the superintendent regarding his consideration of and decisions on rehiring based on the reapplications</w:t>
      </w:r>
    </w:p>
    <w:p w:rsidR="00F71EA6" w:rsidRDefault="00A83EB8">
      <w:pPr>
        <w:spacing w:after="0" w:line="288" w:lineRule="auto"/>
        <w:ind w:left="360" w:right="-20"/>
        <w:rPr>
          <w:sz w:val="19"/>
          <w:szCs w:val="19"/>
        </w:rPr>
      </w:pPr>
      <w:r>
        <w:rPr>
          <w:rFonts w:ascii="Times New Roman" w:eastAsia="Times New Roman" w:hAnsi="Times New Roman" w:cs="Times New Roman"/>
          <w:sz w:val="19"/>
          <w:szCs w:val="19"/>
        </w:rPr>
        <w:t xml:space="preserve">◻   </w:t>
      </w:r>
      <w:r>
        <w:rPr>
          <w:b/>
          <w:sz w:val="19"/>
          <w:szCs w:val="19"/>
        </w:rPr>
        <w:t>Implement new systems</w:t>
      </w:r>
      <w:r>
        <w:rPr>
          <w:sz w:val="19"/>
          <w:szCs w:val="19"/>
        </w:rPr>
        <w:t>: The Superintendent may establish steps to assure a continuum of high expertise teachers by aligning the following processes with a common core of professional knowledge and skill: hiring, induction, teacher evaluation, professional development, teacher advancement, school culture and organizational structure</w:t>
      </w:r>
    </w:p>
    <w:p w:rsidR="00F71EA6" w:rsidRDefault="00A83EB8">
      <w:pPr>
        <w:spacing w:after="0" w:line="288" w:lineRule="auto"/>
        <w:ind w:left="360" w:right="-20"/>
        <w:rPr>
          <w:sz w:val="19"/>
          <w:szCs w:val="19"/>
        </w:rPr>
      </w:pPr>
      <w:r>
        <w:rPr>
          <w:rFonts w:ascii="Times New Roman" w:eastAsia="Times New Roman" w:hAnsi="Times New Roman" w:cs="Times New Roman"/>
          <w:sz w:val="19"/>
          <w:szCs w:val="19"/>
        </w:rPr>
        <w:t xml:space="preserve">◻   </w:t>
      </w:r>
      <w:r>
        <w:rPr>
          <w:b/>
          <w:sz w:val="19"/>
          <w:szCs w:val="19"/>
        </w:rPr>
        <w:t xml:space="preserve">Leadership development: </w:t>
      </w:r>
      <w:r>
        <w:rPr>
          <w:sz w:val="19"/>
          <w:szCs w:val="19"/>
        </w:rPr>
        <w:t>The Superintendent may establish a plan for professional development for administrators at the school, with an emphasis on strategies that develop leadership skills and use the principles of distributive leadership</w:t>
      </w:r>
    </w:p>
    <w:p w:rsidR="00F71EA6" w:rsidRDefault="00A83EB8">
      <w:pPr>
        <w:spacing w:before="60" w:after="0" w:line="288" w:lineRule="auto"/>
        <w:ind w:left="720" w:right="-20"/>
        <w:rPr>
          <w:b/>
          <w:sz w:val="19"/>
          <w:szCs w:val="19"/>
        </w:rPr>
      </w:pPr>
      <w:r>
        <w:rPr>
          <w:b/>
          <w:sz w:val="19"/>
          <w:szCs w:val="19"/>
        </w:rPr>
        <w:t>Professional Development and Collaboration</w:t>
      </w:r>
    </w:p>
    <w:p w:rsidR="00F71EA6" w:rsidRDefault="00A83EB8">
      <w:pPr>
        <w:spacing w:before="60" w:after="0" w:line="288" w:lineRule="auto"/>
        <w:ind w:left="360" w:right="-20"/>
        <w:rPr>
          <w:sz w:val="19"/>
          <w:szCs w:val="19"/>
        </w:rPr>
      </w:pPr>
      <w:r>
        <w:rPr>
          <w:rFonts w:ascii="Times New Roman" w:eastAsia="Times New Roman" w:hAnsi="Times New Roman" w:cs="Times New Roman"/>
          <w:sz w:val="19"/>
          <w:szCs w:val="19"/>
        </w:rPr>
        <w:t xml:space="preserve">◻   </w:t>
      </w:r>
      <w:r>
        <w:rPr>
          <w:b/>
          <w:sz w:val="19"/>
          <w:szCs w:val="19"/>
        </w:rPr>
        <w:t>Embedded professional development</w:t>
      </w:r>
      <w:r>
        <w:rPr>
          <w:sz w:val="19"/>
          <w:szCs w:val="19"/>
        </w:rPr>
        <w:t>: The Superintendent may include a provision of job embedded professional development for teachers at the school, with an emphasis on strategies that involve teacher input and feedback</w:t>
      </w:r>
    </w:p>
    <w:p w:rsidR="00F71EA6" w:rsidRDefault="00A83EB8">
      <w:pPr>
        <w:spacing w:after="0" w:line="288" w:lineRule="auto"/>
        <w:ind w:left="360" w:right="-160"/>
        <w:rPr>
          <w:sz w:val="19"/>
          <w:szCs w:val="19"/>
        </w:rPr>
      </w:pPr>
      <w:r>
        <w:rPr>
          <w:rFonts w:ascii="Times New Roman" w:eastAsia="Times New Roman" w:hAnsi="Times New Roman" w:cs="Times New Roman"/>
          <w:sz w:val="19"/>
          <w:szCs w:val="19"/>
        </w:rPr>
        <w:t xml:space="preserve">◻   </w:t>
      </w:r>
      <w:r>
        <w:rPr>
          <w:b/>
          <w:sz w:val="19"/>
          <w:szCs w:val="19"/>
        </w:rPr>
        <w:t xml:space="preserve">Expanded teacher planning time: </w:t>
      </w:r>
      <w:r>
        <w:rPr>
          <w:sz w:val="19"/>
          <w:szCs w:val="19"/>
        </w:rPr>
        <w:t>The Superintendent may provide for increased opportunities for teacher planning time and collaboration focused on improving student instruction</w:t>
      </w:r>
    </w:p>
    <w:p w:rsidR="00F71EA6" w:rsidRDefault="00A83EB8">
      <w:pPr>
        <w:spacing w:before="60" w:after="0" w:line="288" w:lineRule="auto"/>
        <w:ind w:left="720" w:right="-20"/>
        <w:rPr>
          <w:b/>
          <w:sz w:val="19"/>
          <w:szCs w:val="19"/>
        </w:rPr>
      </w:pPr>
      <w:r>
        <w:rPr>
          <w:b/>
          <w:sz w:val="19"/>
          <w:szCs w:val="19"/>
        </w:rPr>
        <w:lastRenderedPageBreak/>
        <w:t>Leadership and Governance</w:t>
      </w:r>
    </w:p>
    <w:p w:rsidR="00F71EA6" w:rsidRDefault="00A83EB8">
      <w:pPr>
        <w:spacing w:before="60" w:after="0" w:line="288" w:lineRule="auto"/>
        <w:ind w:left="360" w:right="220"/>
        <w:rPr>
          <w:sz w:val="19"/>
          <w:szCs w:val="19"/>
        </w:rPr>
      </w:pPr>
      <w:r>
        <w:rPr>
          <w:rFonts w:ascii="Times New Roman" w:eastAsia="Times New Roman" w:hAnsi="Times New Roman" w:cs="Times New Roman"/>
          <w:sz w:val="19"/>
          <w:szCs w:val="19"/>
        </w:rPr>
        <w:t xml:space="preserve">◻   </w:t>
      </w:r>
      <w:r>
        <w:rPr>
          <w:b/>
          <w:sz w:val="19"/>
          <w:szCs w:val="19"/>
        </w:rPr>
        <w:t xml:space="preserve">Change Collective Bargaining and Policies: </w:t>
      </w:r>
      <w:r>
        <w:rPr>
          <w:sz w:val="19"/>
          <w:szCs w:val="19"/>
        </w:rPr>
        <w:t xml:space="preserve">The Superintendent may limit, suspend or change 1 or more provisions of any contract or collective bargaining agreement, as the contract or agreement applies to the school; </w:t>
      </w:r>
      <w:proofErr w:type="gramStart"/>
      <w:r>
        <w:rPr>
          <w:sz w:val="19"/>
          <w:szCs w:val="19"/>
        </w:rPr>
        <w:t>provided</w:t>
      </w:r>
      <w:proofErr w:type="gramEnd"/>
      <w:r>
        <w:rPr>
          <w:sz w:val="19"/>
          <w:szCs w:val="19"/>
        </w:rPr>
        <w:t>, that the superintendent shall not reduce the compensation of an administrator, teacher or staff member unless the hours of the person are proportionately reduced</w:t>
      </w:r>
    </w:p>
    <w:p w:rsidR="00F71EA6" w:rsidRDefault="00A83EB8">
      <w:pPr>
        <w:spacing w:before="60" w:after="0" w:line="288" w:lineRule="auto"/>
        <w:ind w:left="360" w:right="-20"/>
        <w:rPr>
          <w:sz w:val="19"/>
          <w:szCs w:val="19"/>
        </w:rPr>
      </w:pPr>
      <w:r>
        <w:rPr>
          <w:rFonts w:ascii="Times New Roman" w:eastAsia="Times New Roman" w:hAnsi="Times New Roman" w:cs="Times New Roman"/>
          <w:sz w:val="19"/>
          <w:szCs w:val="19"/>
        </w:rPr>
        <w:t xml:space="preserve">◻   </w:t>
      </w:r>
      <w:r>
        <w:rPr>
          <w:b/>
          <w:sz w:val="19"/>
          <w:szCs w:val="19"/>
        </w:rPr>
        <w:t>Change District Policies</w:t>
      </w:r>
      <w:r>
        <w:rPr>
          <w:sz w:val="19"/>
          <w:szCs w:val="19"/>
        </w:rPr>
        <w:t>: The Superintendent may limit, suspend or change 1 or more school district policies or practices, as such policies or practices relate to the school</w:t>
      </w:r>
    </w:p>
    <w:p w:rsidR="00F71EA6" w:rsidRDefault="00A83EB8">
      <w:pPr>
        <w:spacing w:before="60" w:after="0" w:line="288" w:lineRule="auto"/>
        <w:ind w:left="720" w:right="-20"/>
        <w:rPr>
          <w:b/>
          <w:sz w:val="19"/>
          <w:szCs w:val="19"/>
        </w:rPr>
      </w:pPr>
      <w:r>
        <w:rPr>
          <w:b/>
          <w:sz w:val="19"/>
          <w:szCs w:val="19"/>
        </w:rPr>
        <w:t>Additional Strategies</w:t>
      </w:r>
    </w:p>
    <w:p w:rsidR="00F71EA6" w:rsidRDefault="00A83EB8">
      <w:pPr>
        <w:spacing w:before="60" w:after="0" w:line="288" w:lineRule="auto"/>
        <w:ind w:left="360" w:right="-20"/>
        <w:rPr>
          <w:sz w:val="19"/>
          <w:szCs w:val="19"/>
        </w:rPr>
      </w:pPr>
      <w:r>
        <w:rPr>
          <w:rFonts w:ascii="Times New Roman" w:eastAsia="Times New Roman" w:hAnsi="Times New Roman" w:cs="Times New Roman"/>
          <w:sz w:val="19"/>
          <w:szCs w:val="19"/>
        </w:rPr>
        <w:t xml:space="preserve">◻   </w:t>
      </w:r>
      <w:r>
        <w:rPr>
          <w:b/>
          <w:sz w:val="19"/>
          <w:szCs w:val="19"/>
        </w:rPr>
        <w:t xml:space="preserve">Study best practices: </w:t>
      </w:r>
      <w:r>
        <w:rPr>
          <w:sz w:val="19"/>
          <w:szCs w:val="19"/>
        </w:rPr>
        <w:t>The Superintendent may develop a strategy to search for and study best practices in areas of demonstrated deficiency in the school</w:t>
      </w:r>
    </w:p>
    <w:p w:rsidR="00F71EA6" w:rsidRDefault="00A83EB8">
      <w:pPr>
        <w:spacing w:before="60" w:after="0" w:line="288" w:lineRule="auto"/>
        <w:ind w:left="360" w:right="240"/>
        <w:rPr>
          <w:sz w:val="19"/>
          <w:szCs w:val="19"/>
        </w:rPr>
      </w:pPr>
      <w:r>
        <w:rPr>
          <w:rFonts w:ascii="Times New Roman" w:eastAsia="Times New Roman" w:hAnsi="Times New Roman" w:cs="Times New Roman"/>
          <w:sz w:val="19"/>
          <w:szCs w:val="19"/>
        </w:rPr>
        <w:t xml:space="preserve">◻   </w:t>
      </w:r>
      <w:r>
        <w:rPr>
          <w:b/>
          <w:sz w:val="19"/>
          <w:szCs w:val="19"/>
        </w:rPr>
        <w:t>Address mobility and transiency</w:t>
      </w:r>
      <w:r>
        <w:rPr>
          <w:sz w:val="19"/>
          <w:szCs w:val="19"/>
        </w:rPr>
        <w:t>: The Superintendent may establish strategies to address mobility and transiency among the student population of the school</w:t>
      </w:r>
    </w:p>
    <w:p w:rsidR="00F71EA6" w:rsidRDefault="00A83EB8">
      <w:pPr>
        <w:spacing w:after="0" w:line="287" w:lineRule="auto"/>
        <w:ind w:left="720"/>
      </w:pPr>
      <w:r>
        <w:rPr>
          <w:sz w:val="19"/>
          <w:szCs w:val="19"/>
        </w:rPr>
        <w:t xml:space="preserve">◻   </w:t>
      </w:r>
      <w:r>
        <w:rPr>
          <w:b/>
          <w:sz w:val="19"/>
          <w:szCs w:val="19"/>
        </w:rPr>
        <w:t>Additional strategies</w:t>
      </w:r>
      <w:r>
        <w:rPr>
          <w:sz w:val="19"/>
          <w:szCs w:val="19"/>
        </w:rPr>
        <w:t>: The Superintendent may include additional components based on the reasons why the school was designated as underperforming and the recommendations of the local stakeholder group</w:t>
      </w:r>
    </w:p>
    <w:p w:rsidR="00F71EA6" w:rsidRDefault="00F71EA6">
      <w:pPr>
        <w:spacing w:after="0" w:line="240" w:lineRule="auto"/>
        <w:rPr>
          <w:sz w:val="24"/>
          <w:szCs w:val="24"/>
        </w:rPr>
      </w:pPr>
    </w:p>
    <w:p w:rsidR="00F71EA6" w:rsidRDefault="00F71EA6">
      <w:pPr>
        <w:spacing w:after="0" w:line="240" w:lineRule="auto"/>
        <w:rPr>
          <w:sz w:val="24"/>
          <w:szCs w:val="24"/>
        </w:rPr>
      </w:pPr>
    </w:p>
    <w:p w:rsidR="00F71EA6" w:rsidRDefault="00F71EA6">
      <w:pPr>
        <w:spacing w:after="0" w:line="240" w:lineRule="auto"/>
        <w:rPr>
          <w:sz w:val="24"/>
          <w:szCs w:val="24"/>
        </w:rPr>
      </w:pPr>
    </w:p>
    <w:p w:rsidR="00F71EA6" w:rsidRDefault="00A83EB8">
      <w:pPr>
        <w:spacing w:after="0" w:line="240" w:lineRule="auto"/>
        <w:rPr>
          <w:sz w:val="24"/>
          <w:szCs w:val="24"/>
        </w:rPr>
      </w:pPr>
      <w:r>
        <w:br w:type="page"/>
      </w:r>
    </w:p>
    <w:p w:rsidR="00F71EA6" w:rsidRDefault="00A83EB8">
      <w:pPr>
        <w:spacing w:after="0" w:line="240" w:lineRule="auto"/>
        <w:rPr>
          <w:b/>
          <w:sz w:val="28"/>
          <w:szCs w:val="28"/>
        </w:rPr>
      </w:pPr>
      <w:r>
        <w:rPr>
          <w:b/>
          <w:sz w:val="28"/>
          <w:szCs w:val="28"/>
        </w:rPr>
        <w:lastRenderedPageBreak/>
        <w:t>Section VII: Goals, Benchmarks, and Progress Monitoring</w:t>
      </w:r>
    </w:p>
    <w:p w:rsidR="00F71EA6" w:rsidRDefault="00F71EA6">
      <w:pPr>
        <w:spacing w:after="0" w:line="240" w:lineRule="auto"/>
        <w:rPr>
          <w:sz w:val="24"/>
          <w:szCs w:val="24"/>
        </w:rPr>
      </w:pPr>
      <w:bookmarkStart w:id="4" w:name="_4gk96qx9jimx" w:colFirst="0" w:colLast="0"/>
      <w:bookmarkEnd w:id="4"/>
    </w:p>
    <w:p w:rsidR="00F71EA6" w:rsidRDefault="00A83EB8">
      <w:pPr>
        <w:spacing w:after="0"/>
        <w:rPr>
          <w:sz w:val="24"/>
          <w:szCs w:val="24"/>
        </w:rPr>
      </w:pPr>
      <w:r>
        <w:rPr>
          <w:sz w:val="24"/>
          <w:szCs w:val="24"/>
        </w:rPr>
        <w:t xml:space="preserve">Describe the process the school and district will use to monitor the impact of the strategies as articulated in the benchmarks. </w:t>
      </w:r>
      <w:r w:rsidR="0082125A">
        <w:rPr>
          <w:sz w:val="24"/>
          <w:szCs w:val="24"/>
        </w:rPr>
        <w:t>(2-3 pages)</w:t>
      </w:r>
    </w:p>
    <w:tbl>
      <w:tblPr>
        <w:tblStyle w:val="a8"/>
        <w:tblW w:w="1043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This is the blank table for you to write in."/>
      </w:tblPr>
      <w:tblGrid>
        <w:gridCol w:w="10435"/>
      </w:tblGrid>
      <w:tr w:rsidR="00F71EA6" w:rsidTr="003D5B8D">
        <w:trPr>
          <w:tblHeader/>
        </w:trPr>
        <w:tc>
          <w:tcPr>
            <w:tcW w:w="10435" w:type="dxa"/>
            <w:tcBorders>
              <w:top w:val="single" w:sz="4" w:space="0" w:color="000000"/>
              <w:left w:val="single" w:sz="4" w:space="0" w:color="000000"/>
              <w:bottom w:val="single" w:sz="4" w:space="0" w:color="000000"/>
              <w:right w:val="single" w:sz="4" w:space="0" w:color="000000"/>
            </w:tcBorders>
          </w:tcPr>
          <w:p w:rsidR="00F71EA6" w:rsidRDefault="00F71EA6">
            <w:pPr>
              <w:rPr>
                <w:sz w:val="24"/>
                <w:szCs w:val="24"/>
              </w:rPr>
            </w:pPr>
            <w:bookmarkStart w:id="5" w:name="_34387gbojnvc" w:colFirst="0" w:colLast="0"/>
            <w:bookmarkEnd w:id="5"/>
          </w:p>
          <w:p w:rsidR="00F71EA6" w:rsidRDefault="00F71EA6">
            <w:pPr>
              <w:rPr>
                <w:sz w:val="24"/>
                <w:szCs w:val="24"/>
              </w:rPr>
            </w:pPr>
            <w:bookmarkStart w:id="6" w:name="_ux3pbkwsd301" w:colFirst="0" w:colLast="0"/>
            <w:bookmarkEnd w:id="6"/>
          </w:p>
          <w:p w:rsidR="00F71EA6" w:rsidRDefault="00F71EA6">
            <w:pPr>
              <w:rPr>
                <w:sz w:val="24"/>
                <w:szCs w:val="24"/>
              </w:rPr>
            </w:pPr>
            <w:bookmarkStart w:id="7" w:name="_cu2xzwg64mfd" w:colFirst="0" w:colLast="0"/>
            <w:bookmarkEnd w:id="7"/>
          </w:p>
          <w:p w:rsidR="00F71EA6" w:rsidRDefault="00F71EA6">
            <w:pPr>
              <w:rPr>
                <w:sz w:val="24"/>
                <w:szCs w:val="24"/>
              </w:rPr>
            </w:pPr>
            <w:bookmarkStart w:id="8" w:name="_vlll1ltxupl" w:colFirst="0" w:colLast="0"/>
            <w:bookmarkEnd w:id="8"/>
          </w:p>
          <w:p w:rsidR="00F71EA6" w:rsidRDefault="00F71EA6">
            <w:pPr>
              <w:rPr>
                <w:sz w:val="24"/>
                <w:szCs w:val="24"/>
              </w:rPr>
            </w:pPr>
          </w:p>
          <w:p w:rsidR="00F71EA6" w:rsidRDefault="00F71EA6">
            <w:pPr>
              <w:rPr>
                <w:sz w:val="24"/>
                <w:szCs w:val="24"/>
              </w:rPr>
            </w:pPr>
          </w:p>
        </w:tc>
      </w:tr>
    </w:tbl>
    <w:p w:rsidR="00F71EA6" w:rsidRDefault="00F71EA6">
      <w:pPr>
        <w:spacing w:after="0" w:line="287" w:lineRule="auto"/>
        <w:ind w:left="720"/>
        <w:rPr>
          <w:sz w:val="24"/>
          <w:szCs w:val="24"/>
        </w:rPr>
      </w:pPr>
    </w:p>
    <w:p w:rsidR="00F71EA6" w:rsidRDefault="00A83EB8">
      <w:pPr>
        <w:spacing w:after="0"/>
        <w:rPr>
          <w:b/>
          <w:i/>
          <w:sz w:val="24"/>
          <w:szCs w:val="24"/>
          <w:u w:val="single"/>
        </w:rPr>
      </w:pPr>
      <w:r>
        <w:rPr>
          <w:b/>
          <w:i/>
          <w:sz w:val="24"/>
          <w:szCs w:val="24"/>
          <w:u w:val="single"/>
        </w:rPr>
        <w:t>Use the tables below to articulate the goals and benchmarks.</w:t>
      </w:r>
    </w:p>
    <w:p w:rsidR="00F71EA6" w:rsidRDefault="00F71EA6">
      <w:pPr>
        <w:spacing w:after="0"/>
        <w:rPr>
          <w:sz w:val="24"/>
          <w:szCs w:val="24"/>
        </w:rPr>
      </w:pPr>
    </w:p>
    <w:p w:rsidR="00F71EA6" w:rsidRDefault="00A83EB8">
      <w:pPr>
        <w:spacing w:after="0" w:line="240" w:lineRule="auto"/>
        <w:rPr>
          <w:b/>
          <w:sz w:val="24"/>
          <w:szCs w:val="24"/>
        </w:rPr>
      </w:pPr>
      <w:r>
        <w:rPr>
          <w:b/>
          <w:sz w:val="24"/>
          <w:szCs w:val="24"/>
          <w:u w:val="single"/>
        </w:rPr>
        <w:t>Turnaround Practice #1</w:t>
      </w:r>
      <w:r>
        <w:rPr>
          <w:b/>
          <w:sz w:val="24"/>
          <w:szCs w:val="24"/>
        </w:rPr>
        <w:t>: Leadership, shared responsibility &amp; professional collaboration</w:t>
      </w:r>
    </w:p>
    <w:p w:rsidR="00F71EA6" w:rsidRDefault="00A83EB8">
      <w:pPr>
        <w:spacing w:after="0" w:line="256" w:lineRule="auto"/>
        <w:rPr>
          <w:sz w:val="24"/>
          <w:szCs w:val="24"/>
        </w:rPr>
      </w:pPr>
      <w:r>
        <w:rPr>
          <w:sz w:val="24"/>
          <w:szCs w:val="24"/>
        </w:rPr>
        <w:t>The school has established a community of practice through leadership, shared responsibility for all students and professional collaboration.</w:t>
      </w:r>
    </w:p>
    <w:p w:rsidR="00F71EA6" w:rsidRDefault="00A83EB8">
      <w:pPr>
        <w:spacing w:after="0" w:line="256" w:lineRule="auto"/>
        <w:rPr>
          <w:sz w:val="24"/>
          <w:szCs w:val="24"/>
        </w:rPr>
      </w:pPr>
      <w:r>
        <w:rPr>
          <w:sz w:val="24"/>
          <w:szCs w:val="24"/>
        </w:rPr>
        <w:t xml:space="preserve"> </w:t>
      </w:r>
    </w:p>
    <w:tbl>
      <w:tblPr>
        <w:tblStyle w:val="a9"/>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Description w:val="This is the table of turnaround practice #1."/>
      </w:tblPr>
      <w:tblGrid>
        <w:gridCol w:w="2818"/>
        <w:gridCol w:w="6542"/>
      </w:tblGrid>
      <w:tr w:rsidR="00F71EA6" w:rsidTr="003D5B8D">
        <w:trPr>
          <w:trHeight w:val="1360"/>
          <w:tblHeader/>
        </w:trPr>
        <w:tc>
          <w:tcPr>
            <w:tcW w:w="2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EA6" w:rsidRDefault="00A83EB8">
            <w:pPr>
              <w:spacing w:after="0"/>
            </w:pPr>
            <w:r>
              <w:rPr>
                <w:b/>
                <w:sz w:val="24"/>
                <w:szCs w:val="24"/>
              </w:rPr>
              <w:t>Measurable Annual Goals (MAGs) for Student Achievement</w:t>
            </w:r>
          </w:p>
        </w:tc>
        <w:tc>
          <w:tcPr>
            <w:tcW w:w="654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71EA6" w:rsidRDefault="00A83EB8">
            <w:pPr>
              <w:spacing w:after="0"/>
            </w:pPr>
            <w:r>
              <w:t>We will meet or exceed accountability targets as set by DESE for all students and the lowest performing students group.</w:t>
            </w:r>
          </w:p>
        </w:tc>
      </w:tr>
      <w:tr w:rsidR="00F71EA6" w:rsidTr="003D5B8D">
        <w:trPr>
          <w:trHeight w:val="1020"/>
          <w:tblHeader/>
        </w:trPr>
        <w:tc>
          <w:tcPr>
            <w:tcW w:w="28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71EA6" w:rsidRDefault="00A83EB8">
            <w:pPr>
              <w:spacing w:after="0"/>
              <w:rPr>
                <w:b/>
                <w:sz w:val="24"/>
                <w:szCs w:val="24"/>
              </w:rPr>
            </w:pPr>
            <w:r>
              <w:rPr>
                <w:b/>
                <w:sz w:val="24"/>
                <w:szCs w:val="24"/>
              </w:rPr>
              <w:t>Interim Benchmarks for Teachers/Practitioners</w:t>
            </w:r>
          </w:p>
        </w:tc>
        <w:tc>
          <w:tcPr>
            <w:tcW w:w="6541" w:type="dxa"/>
            <w:tcBorders>
              <w:top w:val="nil"/>
              <w:left w:val="nil"/>
              <w:bottom w:val="single" w:sz="8" w:space="0" w:color="000000"/>
              <w:right w:val="single" w:sz="8" w:space="0" w:color="000000"/>
            </w:tcBorders>
            <w:tcMar>
              <w:top w:w="100" w:type="dxa"/>
              <w:left w:w="100" w:type="dxa"/>
              <w:bottom w:w="100" w:type="dxa"/>
              <w:right w:w="100" w:type="dxa"/>
            </w:tcMar>
          </w:tcPr>
          <w:p w:rsidR="00F71EA6" w:rsidRDefault="00A83EB8">
            <w:pPr>
              <w:spacing w:after="0"/>
              <w:ind w:left="360"/>
            </w:pPr>
            <w:r>
              <w:t xml:space="preserve">1.        </w:t>
            </w:r>
          </w:p>
          <w:p w:rsidR="00F71EA6" w:rsidRDefault="00A83EB8">
            <w:pPr>
              <w:spacing w:after="0"/>
              <w:ind w:left="360"/>
            </w:pPr>
            <w:r>
              <w:t xml:space="preserve">2.        </w:t>
            </w:r>
            <w:bookmarkStart w:id="9" w:name="_GoBack"/>
            <w:bookmarkEnd w:id="9"/>
          </w:p>
          <w:p w:rsidR="00F71EA6" w:rsidRDefault="00A83EB8">
            <w:pPr>
              <w:spacing w:after="0"/>
              <w:ind w:left="360"/>
            </w:pPr>
            <w:r>
              <w:t xml:space="preserve">3.         </w:t>
            </w:r>
          </w:p>
        </w:tc>
      </w:tr>
      <w:tr w:rsidR="00F71EA6" w:rsidTr="003D5B8D">
        <w:trPr>
          <w:trHeight w:val="1040"/>
          <w:tblHeader/>
        </w:trPr>
        <w:tc>
          <w:tcPr>
            <w:tcW w:w="28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71EA6" w:rsidRDefault="00A83EB8">
            <w:pPr>
              <w:spacing w:after="0"/>
              <w:rPr>
                <w:b/>
                <w:sz w:val="24"/>
                <w:szCs w:val="24"/>
              </w:rPr>
            </w:pPr>
            <w:r>
              <w:rPr>
                <w:b/>
                <w:sz w:val="24"/>
                <w:szCs w:val="24"/>
              </w:rPr>
              <w:t>Interim Benchmarks for Students</w:t>
            </w:r>
          </w:p>
        </w:tc>
        <w:tc>
          <w:tcPr>
            <w:tcW w:w="6541" w:type="dxa"/>
            <w:tcBorders>
              <w:top w:val="nil"/>
              <w:left w:val="nil"/>
              <w:bottom w:val="single" w:sz="8" w:space="0" w:color="000000"/>
              <w:right w:val="single" w:sz="8" w:space="0" w:color="000000"/>
            </w:tcBorders>
            <w:tcMar>
              <w:top w:w="100" w:type="dxa"/>
              <w:left w:w="100" w:type="dxa"/>
              <w:bottom w:w="100" w:type="dxa"/>
              <w:right w:w="100" w:type="dxa"/>
            </w:tcMar>
          </w:tcPr>
          <w:p w:rsidR="00F71EA6" w:rsidRDefault="00A83EB8">
            <w:pPr>
              <w:spacing w:after="0"/>
              <w:ind w:left="360"/>
            </w:pPr>
            <w:r>
              <w:t xml:space="preserve">1.        </w:t>
            </w:r>
          </w:p>
          <w:p w:rsidR="00F71EA6" w:rsidRDefault="00A83EB8">
            <w:pPr>
              <w:spacing w:after="0"/>
              <w:ind w:left="360"/>
            </w:pPr>
            <w:r>
              <w:t xml:space="preserve">2.        </w:t>
            </w:r>
          </w:p>
          <w:p w:rsidR="00F71EA6" w:rsidRDefault="00A83EB8">
            <w:pPr>
              <w:spacing w:after="0"/>
              <w:ind w:left="360"/>
            </w:pPr>
            <w:r>
              <w:t xml:space="preserve">3.        </w:t>
            </w:r>
          </w:p>
        </w:tc>
      </w:tr>
    </w:tbl>
    <w:p w:rsidR="00F71EA6" w:rsidRDefault="00F71EA6">
      <w:pPr>
        <w:spacing w:after="0" w:line="240" w:lineRule="auto"/>
        <w:rPr>
          <w:b/>
          <w:sz w:val="28"/>
          <w:szCs w:val="28"/>
        </w:rPr>
      </w:pPr>
    </w:p>
    <w:p w:rsidR="00F71EA6" w:rsidRDefault="00A83EB8">
      <w:pPr>
        <w:spacing w:after="0" w:line="240" w:lineRule="auto"/>
        <w:rPr>
          <w:b/>
          <w:sz w:val="24"/>
          <w:szCs w:val="24"/>
        </w:rPr>
      </w:pPr>
      <w:r>
        <w:rPr>
          <w:b/>
          <w:sz w:val="24"/>
          <w:szCs w:val="24"/>
          <w:u w:val="single"/>
        </w:rPr>
        <w:t>Turnaround Practice #2</w:t>
      </w:r>
      <w:r>
        <w:rPr>
          <w:b/>
          <w:sz w:val="24"/>
          <w:szCs w:val="24"/>
        </w:rPr>
        <w:t>:  Intentional practices for improving instruction</w:t>
      </w:r>
    </w:p>
    <w:p w:rsidR="00F71EA6" w:rsidRDefault="00A83EB8">
      <w:pPr>
        <w:spacing w:after="0" w:line="256" w:lineRule="auto"/>
        <w:rPr>
          <w:sz w:val="24"/>
          <w:szCs w:val="24"/>
        </w:rPr>
      </w:pPr>
      <w:r>
        <w:rPr>
          <w:sz w:val="24"/>
          <w:szCs w:val="24"/>
        </w:rPr>
        <w:t>The school employs intentional practices for improving teacher-specific and student-responsive instruction.</w:t>
      </w:r>
    </w:p>
    <w:p w:rsidR="00F71EA6" w:rsidRDefault="00F71EA6">
      <w:pPr>
        <w:spacing w:after="0" w:line="256" w:lineRule="auto"/>
        <w:rPr>
          <w:sz w:val="24"/>
          <w:szCs w:val="24"/>
        </w:rPr>
      </w:pPr>
    </w:p>
    <w:tbl>
      <w:tblPr>
        <w:tblStyle w:val="aa"/>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Description w:val="This is the table of turnaround practice #2."/>
      </w:tblPr>
      <w:tblGrid>
        <w:gridCol w:w="2891"/>
        <w:gridCol w:w="6469"/>
      </w:tblGrid>
      <w:tr w:rsidR="00F71EA6" w:rsidTr="003D5B8D">
        <w:trPr>
          <w:trHeight w:val="1360"/>
          <w:tblHeader/>
        </w:trPr>
        <w:tc>
          <w:tcPr>
            <w:tcW w:w="28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EA6" w:rsidRDefault="00A83EB8">
            <w:pPr>
              <w:spacing w:after="0"/>
            </w:pPr>
            <w:r>
              <w:rPr>
                <w:b/>
                <w:sz w:val="24"/>
                <w:szCs w:val="24"/>
              </w:rPr>
              <w:lastRenderedPageBreak/>
              <w:t>Measurable Annual Goals (MAGs) for Student Achievement</w:t>
            </w:r>
          </w:p>
        </w:tc>
        <w:tc>
          <w:tcPr>
            <w:tcW w:w="64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71EA6" w:rsidRDefault="00A83EB8">
            <w:pPr>
              <w:spacing w:after="0"/>
            </w:pPr>
            <w:r>
              <w:t xml:space="preserve">We will meet or exceed accountability targets as set by DESE for all students and the lowest performing students group.  </w:t>
            </w:r>
          </w:p>
        </w:tc>
      </w:tr>
      <w:tr w:rsidR="00F71EA6" w:rsidTr="003D5B8D">
        <w:trPr>
          <w:trHeight w:val="3200"/>
          <w:tblHeader/>
        </w:trPr>
        <w:tc>
          <w:tcPr>
            <w:tcW w:w="289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71EA6" w:rsidRDefault="00A83EB8">
            <w:pPr>
              <w:spacing w:after="0"/>
              <w:rPr>
                <w:b/>
                <w:sz w:val="24"/>
                <w:szCs w:val="24"/>
              </w:rPr>
            </w:pPr>
            <w:r>
              <w:rPr>
                <w:b/>
                <w:sz w:val="24"/>
                <w:szCs w:val="24"/>
              </w:rPr>
              <w:t>Other MAGs</w:t>
            </w:r>
          </w:p>
          <w:p w:rsidR="00F71EA6" w:rsidRDefault="00A83EB8">
            <w:pPr>
              <w:spacing w:after="0"/>
            </w:pPr>
            <w:r>
              <w:t>3 required by statute:</w:t>
            </w:r>
          </w:p>
          <w:p w:rsidR="00F71EA6" w:rsidRDefault="00A83EB8">
            <w:pPr>
              <w:spacing w:after="0"/>
              <w:ind w:left="360"/>
            </w:pPr>
            <w:r>
              <w:t>1. Student acquisition of twenty-first century skills</w:t>
            </w:r>
          </w:p>
          <w:p w:rsidR="00F71EA6" w:rsidRDefault="00A83EB8">
            <w:pPr>
              <w:spacing w:after="0"/>
              <w:ind w:left="360"/>
            </w:pPr>
            <w:r>
              <w:t>2. Development of college readiness</w:t>
            </w:r>
          </w:p>
          <w:p w:rsidR="00F71EA6" w:rsidRDefault="00A83EB8">
            <w:pPr>
              <w:spacing w:after="0"/>
              <w:ind w:left="360"/>
            </w:pPr>
            <w:r>
              <w:t>3. Developmentally appropriate child assessments from pre-kindergarten through third grade, if applicable</w:t>
            </w:r>
          </w:p>
        </w:tc>
        <w:tc>
          <w:tcPr>
            <w:tcW w:w="6468" w:type="dxa"/>
            <w:tcBorders>
              <w:top w:val="nil"/>
              <w:left w:val="nil"/>
              <w:bottom w:val="single" w:sz="8" w:space="0" w:color="000000"/>
              <w:right w:val="single" w:sz="8" w:space="0" w:color="000000"/>
            </w:tcBorders>
            <w:tcMar>
              <w:top w:w="100" w:type="dxa"/>
              <w:left w:w="100" w:type="dxa"/>
              <w:bottom w:w="100" w:type="dxa"/>
              <w:right w:w="100" w:type="dxa"/>
            </w:tcMar>
          </w:tcPr>
          <w:p w:rsidR="00F71EA6" w:rsidRDefault="00A83EB8">
            <w:pPr>
              <w:spacing w:after="0"/>
              <w:ind w:left="360"/>
            </w:pPr>
            <w:r>
              <w:t xml:space="preserve">1.        </w:t>
            </w:r>
          </w:p>
          <w:p w:rsidR="00F71EA6" w:rsidRDefault="00A83EB8">
            <w:pPr>
              <w:spacing w:after="0"/>
              <w:ind w:left="360"/>
            </w:pPr>
            <w:r>
              <w:t xml:space="preserve">2.        </w:t>
            </w:r>
          </w:p>
          <w:p w:rsidR="00F71EA6" w:rsidRDefault="00A83EB8">
            <w:pPr>
              <w:spacing w:after="0"/>
              <w:ind w:left="360"/>
            </w:pPr>
            <w:r>
              <w:t xml:space="preserve">3.        </w:t>
            </w:r>
          </w:p>
        </w:tc>
      </w:tr>
      <w:tr w:rsidR="00F71EA6" w:rsidTr="003D5B8D">
        <w:trPr>
          <w:trHeight w:val="1280"/>
          <w:tblHeader/>
        </w:trPr>
        <w:tc>
          <w:tcPr>
            <w:tcW w:w="289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71EA6" w:rsidRDefault="00A83EB8">
            <w:pPr>
              <w:spacing w:after="0"/>
              <w:rPr>
                <w:b/>
                <w:sz w:val="24"/>
                <w:szCs w:val="24"/>
              </w:rPr>
            </w:pPr>
            <w:r>
              <w:rPr>
                <w:b/>
                <w:sz w:val="24"/>
                <w:szCs w:val="24"/>
              </w:rPr>
              <w:t>Interim Benchmarks for Teachers/Practitioners</w:t>
            </w:r>
          </w:p>
        </w:tc>
        <w:tc>
          <w:tcPr>
            <w:tcW w:w="6468" w:type="dxa"/>
            <w:tcBorders>
              <w:top w:val="nil"/>
              <w:left w:val="nil"/>
              <w:bottom w:val="single" w:sz="8" w:space="0" w:color="000000"/>
              <w:right w:val="single" w:sz="8" w:space="0" w:color="000000"/>
            </w:tcBorders>
            <w:tcMar>
              <w:top w:w="100" w:type="dxa"/>
              <w:left w:w="100" w:type="dxa"/>
              <w:bottom w:w="100" w:type="dxa"/>
              <w:right w:w="100" w:type="dxa"/>
            </w:tcMar>
          </w:tcPr>
          <w:p w:rsidR="00F71EA6" w:rsidRDefault="00A83EB8">
            <w:pPr>
              <w:spacing w:after="0"/>
              <w:ind w:left="360"/>
            </w:pPr>
            <w:r>
              <w:t xml:space="preserve">1.        </w:t>
            </w:r>
          </w:p>
          <w:p w:rsidR="00F71EA6" w:rsidRDefault="00A83EB8">
            <w:pPr>
              <w:spacing w:after="0"/>
              <w:ind w:left="360"/>
            </w:pPr>
            <w:r>
              <w:t xml:space="preserve">2.        </w:t>
            </w:r>
          </w:p>
          <w:p w:rsidR="00F71EA6" w:rsidRDefault="00A83EB8">
            <w:pPr>
              <w:spacing w:after="0"/>
              <w:ind w:left="360"/>
            </w:pPr>
            <w:r>
              <w:t xml:space="preserve">3.        </w:t>
            </w:r>
          </w:p>
          <w:p w:rsidR="00F71EA6" w:rsidRDefault="00A83EB8">
            <w:pPr>
              <w:spacing w:after="0"/>
            </w:pPr>
            <w:r>
              <w:t xml:space="preserve"> </w:t>
            </w:r>
          </w:p>
        </w:tc>
      </w:tr>
      <w:tr w:rsidR="00F71EA6" w:rsidTr="003D5B8D">
        <w:trPr>
          <w:trHeight w:val="1280"/>
          <w:tblHeader/>
        </w:trPr>
        <w:tc>
          <w:tcPr>
            <w:tcW w:w="289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71EA6" w:rsidRDefault="00A83EB8">
            <w:pPr>
              <w:spacing w:after="0"/>
              <w:rPr>
                <w:b/>
                <w:sz w:val="24"/>
                <w:szCs w:val="24"/>
              </w:rPr>
            </w:pPr>
            <w:r>
              <w:rPr>
                <w:b/>
                <w:sz w:val="24"/>
                <w:szCs w:val="24"/>
              </w:rPr>
              <w:t>Interim Benchmarks for Students</w:t>
            </w:r>
          </w:p>
        </w:tc>
        <w:tc>
          <w:tcPr>
            <w:tcW w:w="6468" w:type="dxa"/>
            <w:tcBorders>
              <w:top w:val="nil"/>
              <w:left w:val="nil"/>
              <w:bottom w:val="single" w:sz="8" w:space="0" w:color="000000"/>
              <w:right w:val="single" w:sz="8" w:space="0" w:color="000000"/>
            </w:tcBorders>
            <w:tcMar>
              <w:top w:w="100" w:type="dxa"/>
              <w:left w:w="100" w:type="dxa"/>
              <w:bottom w:w="100" w:type="dxa"/>
              <w:right w:w="100" w:type="dxa"/>
            </w:tcMar>
          </w:tcPr>
          <w:p w:rsidR="00F71EA6" w:rsidRDefault="00A83EB8">
            <w:pPr>
              <w:spacing w:after="0"/>
              <w:ind w:left="360"/>
            </w:pPr>
            <w:r>
              <w:t xml:space="preserve">1.        </w:t>
            </w:r>
          </w:p>
          <w:p w:rsidR="00F71EA6" w:rsidRDefault="00A83EB8">
            <w:pPr>
              <w:spacing w:after="0"/>
              <w:ind w:left="360"/>
            </w:pPr>
            <w:r>
              <w:t xml:space="preserve">2.        </w:t>
            </w:r>
          </w:p>
          <w:p w:rsidR="00F71EA6" w:rsidRDefault="00A83EB8">
            <w:pPr>
              <w:spacing w:after="0"/>
              <w:ind w:left="360"/>
            </w:pPr>
            <w:r>
              <w:t xml:space="preserve">3.        </w:t>
            </w:r>
          </w:p>
          <w:p w:rsidR="00F71EA6" w:rsidRDefault="00A83EB8">
            <w:pPr>
              <w:spacing w:after="0"/>
            </w:pPr>
            <w:r>
              <w:t xml:space="preserve"> </w:t>
            </w:r>
          </w:p>
        </w:tc>
      </w:tr>
    </w:tbl>
    <w:p w:rsidR="00F71EA6" w:rsidRDefault="00F71EA6">
      <w:pPr>
        <w:rPr>
          <w:sz w:val="24"/>
          <w:szCs w:val="24"/>
        </w:rPr>
      </w:pPr>
    </w:p>
    <w:p w:rsidR="00F71EA6" w:rsidRDefault="00A83EB8">
      <w:pPr>
        <w:spacing w:after="0" w:line="240" w:lineRule="auto"/>
        <w:rPr>
          <w:b/>
          <w:sz w:val="24"/>
          <w:szCs w:val="24"/>
          <w:u w:val="single"/>
        </w:rPr>
      </w:pPr>
      <w:r>
        <w:rPr>
          <w:b/>
          <w:sz w:val="24"/>
          <w:szCs w:val="24"/>
          <w:u w:val="single"/>
        </w:rPr>
        <w:t>Turnaround Practice #3</w:t>
      </w:r>
      <w:r>
        <w:rPr>
          <w:b/>
          <w:sz w:val="24"/>
          <w:szCs w:val="24"/>
        </w:rPr>
        <w:t>:  Student-specific supports and instruction to all students</w:t>
      </w:r>
    </w:p>
    <w:p w:rsidR="00F71EA6" w:rsidRDefault="00A83EB8">
      <w:pPr>
        <w:spacing w:after="0" w:line="256" w:lineRule="auto"/>
        <w:rPr>
          <w:sz w:val="24"/>
          <w:szCs w:val="24"/>
        </w:rPr>
      </w:pPr>
      <w:r>
        <w:rPr>
          <w:sz w:val="24"/>
          <w:szCs w:val="24"/>
        </w:rPr>
        <w:t>The school is able to provide student-specific supports and interventions informed by data and the identification of student-specific needs.</w:t>
      </w:r>
    </w:p>
    <w:p w:rsidR="00F71EA6" w:rsidRDefault="00F71EA6">
      <w:pPr>
        <w:spacing w:after="0" w:line="256" w:lineRule="auto"/>
        <w:rPr>
          <w:sz w:val="24"/>
          <w:szCs w:val="24"/>
        </w:rPr>
      </w:pPr>
    </w:p>
    <w:tbl>
      <w:tblPr>
        <w:tblStyle w:val="ab"/>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Description w:val="This is the table of turnaround practice #3."/>
      </w:tblPr>
      <w:tblGrid>
        <w:gridCol w:w="2818"/>
        <w:gridCol w:w="6542"/>
      </w:tblGrid>
      <w:tr w:rsidR="00F71EA6" w:rsidTr="003D5B8D">
        <w:trPr>
          <w:trHeight w:val="1060"/>
          <w:tblHeader/>
        </w:trPr>
        <w:tc>
          <w:tcPr>
            <w:tcW w:w="2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EA6" w:rsidRDefault="00A83EB8">
            <w:pPr>
              <w:spacing w:after="0"/>
            </w:pPr>
            <w:r>
              <w:rPr>
                <w:b/>
                <w:sz w:val="24"/>
                <w:szCs w:val="24"/>
              </w:rPr>
              <w:lastRenderedPageBreak/>
              <w:t>MAGs for Student Achievement</w:t>
            </w:r>
          </w:p>
        </w:tc>
        <w:tc>
          <w:tcPr>
            <w:tcW w:w="654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71EA6" w:rsidRDefault="00A83EB8">
            <w:pPr>
              <w:spacing w:after="0"/>
            </w:pPr>
            <w:r>
              <w:t xml:space="preserve">We will meet or exceed accountability targets as set by DESE for all students and the lowest performing students group.  </w:t>
            </w:r>
          </w:p>
        </w:tc>
      </w:tr>
      <w:tr w:rsidR="00F71EA6" w:rsidTr="003D5B8D">
        <w:trPr>
          <w:trHeight w:val="1560"/>
          <w:tblHeader/>
        </w:trPr>
        <w:tc>
          <w:tcPr>
            <w:tcW w:w="28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71EA6" w:rsidRDefault="00A83EB8">
            <w:pPr>
              <w:spacing w:after="0"/>
              <w:rPr>
                <w:b/>
                <w:sz w:val="24"/>
                <w:szCs w:val="24"/>
              </w:rPr>
            </w:pPr>
            <w:r>
              <w:rPr>
                <w:b/>
                <w:sz w:val="24"/>
                <w:szCs w:val="24"/>
              </w:rPr>
              <w:t>Interim Benchmarks for Teachers/Practitioners</w:t>
            </w:r>
          </w:p>
        </w:tc>
        <w:tc>
          <w:tcPr>
            <w:tcW w:w="6541" w:type="dxa"/>
            <w:tcBorders>
              <w:top w:val="nil"/>
              <w:left w:val="nil"/>
              <w:bottom w:val="single" w:sz="8" w:space="0" w:color="000000"/>
              <w:right w:val="single" w:sz="8" w:space="0" w:color="000000"/>
            </w:tcBorders>
            <w:tcMar>
              <w:top w:w="100" w:type="dxa"/>
              <w:left w:w="100" w:type="dxa"/>
              <w:bottom w:w="100" w:type="dxa"/>
              <w:right w:w="100" w:type="dxa"/>
            </w:tcMar>
          </w:tcPr>
          <w:p w:rsidR="00F71EA6" w:rsidRDefault="00A83EB8">
            <w:pPr>
              <w:spacing w:after="0"/>
              <w:ind w:left="360"/>
            </w:pPr>
            <w:r>
              <w:t xml:space="preserve">1.        </w:t>
            </w:r>
          </w:p>
          <w:p w:rsidR="00F71EA6" w:rsidRDefault="00A83EB8">
            <w:pPr>
              <w:spacing w:after="0"/>
              <w:ind w:left="360"/>
            </w:pPr>
            <w:r>
              <w:t xml:space="preserve">2.        </w:t>
            </w:r>
          </w:p>
          <w:p w:rsidR="00F71EA6" w:rsidRDefault="00A83EB8">
            <w:pPr>
              <w:spacing w:after="0"/>
              <w:ind w:left="360"/>
            </w:pPr>
            <w:r>
              <w:t xml:space="preserve">3.        </w:t>
            </w:r>
          </w:p>
          <w:p w:rsidR="00F71EA6" w:rsidRDefault="00A83EB8">
            <w:pPr>
              <w:spacing w:after="0"/>
            </w:pPr>
            <w:r>
              <w:t xml:space="preserve"> </w:t>
            </w:r>
          </w:p>
          <w:p w:rsidR="00F71EA6" w:rsidRDefault="00A83EB8">
            <w:pPr>
              <w:spacing w:after="0"/>
            </w:pPr>
            <w:r>
              <w:t xml:space="preserve"> </w:t>
            </w:r>
          </w:p>
        </w:tc>
      </w:tr>
      <w:tr w:rsidR="00F71EA6" w:rsidTr="003D5B8D">
        <w:trPr>
          <w:trHeight w:val="1280"/>
          <w:tblHeader/>
        </w:trPr>
        <w:tc>
          <w:tcPr>
            <w:tcW w:w="28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71EA6" w:rsidRDefault="00A83EB8">
            <w:pPr>
              <w:spacing w:after="0"/>
              <w:rPr>
                <w:b/>
                <w:sz w:val="24"/>
                <w:szCs w:val="24"/>
              </w:rPr>
            </w:pPr>
            <w:r>
              <w:rPr>
                <w:b/>
                <w:sz w:val="24"/>
                <w:szCs w:val="24"/>
              </w:rPr>
              <w:t>Interim Benchmarks for Students</w:t>
            </w:r>
          </w:p>
        </w:tc>
        <w:tc>
          <w:tcPr>
            <w:tcW w:w="6541" w:type="dxa"/>
            <w:tcBorders>
              <w:top w:val="nil"/>
              <w:left w:val="nil"/>
              <w:bottom w:val="single" w:sz="8" w:space="0" w:color="000000"/>
              <w:right w:val="single" w:sz="8" w:space="0" w:color="000000"/>
            </w:tcBorders>
            <w:tcMar>
              <w:top w:w="100" w:type="dxa"/>
              <w:left w:w="100" w:type="dxa"/>
              <w:bottom w:w="100" w:type="dxa"/>
              <w:right w:w="100" w:type="dxa"/>
            </w:tcMar>
          </w:tcPr>
          <w:p w:rsidR="00F71EA6" w:rsidRDefault="00A83EB8">
            <w:pPr>
              <w:spacing w:after="0"/>
              <w:ind w:left="360"/>
            </w:pPr>
            <w:r>
              <w:t xml:space="preserve">1.        </w:t>
            </w:r>
          </w:p>
          <w:p w:rsidR="00F71EA6" w:rsidRDefault="00A83EB8">
            <w:pPr>
              <w:spacing w:after="0"/>
              <w:ind w:left="360"/>
            </w:pPr>
            <w:r>
              <w:t xml:space="preserve">2.        </w:t>
            </w:r>
          </w:p>
          <w:p w:rsidR="00F71EA6" w:rsidRDefault="00A83EB8">
            <w:pPr>
              <w:spacing w:after="0"/>
              <w:ind w:left="360"/>
            </w:pPr>
            <w:r>
              <w:t xml:space="preserve">3.        </w:t>
            </w:r>
          </w:p>
          <w:p w:rsidR="00F71EA6" w:rsidRDefault="00A83EB8">
            <w:pPr>
              <w:spacing w:after="0"/>
            </w:pPr>
            <w:r>
              <w:t xml:space="preserve"> </w:t>
            </w:r>
          </w:p>
        </w:tc>
      </w:tr>
    </w:tbl>
    <w:p w:rsidR="00F71EA6" w:rsidRDefault="00F71EA6">
      <w:pPr>
        <w:rPr>
          <w:sz w:val="24"/>
          <w:szCs w:val="24"/>
        </w:rPr>
      </w:pPr>
    </w:p>
    <w:p w:rsidR="00F71EA6" w:rsidRDefault="00F71EA6">
      <w:pPr>
        <w:spacing w:after="0" w:line="240" w:lineRule="auto"/>
        <w:rPr>
          <w:b/>
          <w:sz w:val="24"/>
          <w:szCs w:val="24"/>
          <w:u w:val="single"/>
        </w:rPr>
      </w:pPr>
    </w:p>
    <w:p w:rsidR="00F71EA6" w:rsidRDefault="00A83EB8">
      <w:pPr>
        <w:spacing w:after="0" w:line="240" w:lineRule="auto"/>
        <w:rPr>
          <w:b/>
          <w:sz w:val="24"/>
          <w:szCs w:val="24"/>
          <w:u w:val="single"/>
        </w:rPr>
      </w:pPr>
      <w:r>
        <w:br w:type="page"/>
      </w:r>
    </w:p>
    <w:p w:rsidR="00F71EA6" w:rsidRDefault="00A83EB8">
      <w:pPr>
        <w:spacing w:after="0" w:line="240" w:lineRule="auto"/>
        <w:rPr>
          <w:b/>
          <w:sz w:val="24"/>
          <w:szCs w:val="24"/>
        </w:rPr>
      </w:pPr>
      <w:r>
        <w:rPr>
          <w:b/>
          <w:sz w:val="24"/>
          <w:szCs w:val="24"/>
          <w:u w:val="single"/>
        </w:rPr>
        <w:lastRenderedPageBreak/>
        <w:t>Turnaround Practice #4</w:t>
      </w:r>
      <w:r>
        <w:rPr>
          <w:b/>
          <w:sz w:val="24"/>
          <w:szCs w:val="24"/>
        </w:rPr>
        <w:t>:  School Culture and Climate</w:t>
      </w:r>
    </w:p>
    <w:p w:rsidR="00F71EA6" w:rsidRDefault="00A83EB8">
      <w:pPr>
        <w:spacing w:line="256" w:lineRule="auto"/>
        <w:rPr>
          <w:sz w:val="24"/>
          <w:szCs w:val="24"/>
        </w:rPr>
      </w:pPr>
      <w:r>
        <w:rPr>
          <w:sz w:val="24"/>
          <w:szCs w:val="24"/>
        </w:rPr>
        <w:t>A safe, orderly, and respectful environment for students and a collegial and collaborative culture among teachers.</w:t>
      </w:r>
    </w:p>
    <w:tbl>
      <w:tblPr>
        <w:tblStyle w:val="ac"/>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Description w:val="This is the table of turnaround practice #4."/>
      </w:tblPr>
      <w:tblGrid>
        <w:gridCol w:w="2891"/>
        <w:gridCol w:w="6469"/>
      </w:tblGrid>
      <w:tr w:rsidR="00F71EA6" w:rsidTr="003D5B8D">
        <w:trPr>
          <w:trHeight w:val="1060"/>
          <w:tblHeader/>
        </w:trPr>
        <w:tc>
          <w:tcPr>
            <w:tcW w:w="28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EA6" w:rsidRDefault="00A83EB8">
            <w:pPr>
              <w:spacing w:after="0"/>
            </w:pPr>
            <w:r>
              <w:rPr>
                <w:b/>
                <w:sz w:val="24"/>
                <w:szCs w:val="24"/>
              </w:rPr>
              <w:t>MAGs for Student Achievement</w:t>
            </w:r>
          </w:p>
        </w:tc>
        <w:tc>
          <w:tcPr>
            <w:tcW w:w="64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71EA6" w:rsidRDefault="00A83EB8">
            <w:pPr>
              <w:spacing w:after="0"/>
            </w:pPr>
            <w:r>
              <w:t xml:space="preserve">We will meet or exceed accountability targets as set by DESE for all students and the lowest performing students group.  </w:t>
            </w:r>
          </w:p>
        </w:tc>
      </w:tr>
      <w:tr w:rsidR="00F71EA6" w:rsidTr="003D5B8D">
        <w:trPr>
          <w:trHeight w:val="6140"/>
          <w:tblHeader/>
        </w:trPr>
        <w:tc>
          <w:tcPr>
            <w:tcW w:w="289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71EA6" w:rsidRDefault="00A83EB8">
            <w:pPr>
              <w:spacing w:after="0"/>
              <w:rPr>
                <w:b/>
                <w:sz w:val="24"/>
                <w:szCs w:val="24"/>
              </w:rPr>
            </w:pPr>
            <w:r>
              <w:rPr>
                <w:b/>
                <w:sz w:val="24"/>
                <w:szCs w:val="24"/>
              </w:rPr>
              <w:t>Other MAGs</w:t>
            </w:r>
          </w:p>
          <w:p w:rsidR="00F71EA6" w:rsidRDefault="00A83EB8">
            <w:pPr>
              <w:spacing w:after="0"/>
            </w:pPr>
            <w:r>
              <w:rPr>
                <w:u w:val="single"/>
              </w:rPr>
              <w:t>7 required by statute</w:t>
            </w:r>
            <w:r>
              <w:t>:</w:t>
            </w:r>
          </w:p>
          <w:p w:rsidR="00F71EA6" w:rsidRDefault="00A83EB8">
            <w:pPr>
              <w:spacing w:after="0"/>
              <w:ind w:left="360"/>
            </w:pPr>
            <w:r>
              <w:t>1. Parent and family engagement</w:t>
            </w:r>
          </w:p>
          <w:p w:rsidR="00F71EA6" w:rsidRDefault="00A83EB8">
            <w:pPr>
              <w:spacing w:after="0"/>
              <w:ind w:left="360"/>
            </w:pPr>
            <w:r>
              <w:t>2. Building a culture of academic success among students</w:t>
            </w:r>
          </w:p>
          <w:p w:rsidR="00F71EA6" w:rsidRDefault="00A83EB8">
            <w:pPr>
              <w:spacing w:after="0"/>
              <w:ind w:left="360"/>
            </w:pPr>
            <w:r>
              <w:t>3. Building a culture of student support and success among school faculty and staff</w:t>
            </w:r>
          </w:p>
          <w:p w:rsidR="00F71EA6" w:rsidRDefault="00A83EB8">
            <w:pPr>
              <w:spacing w:after="0"/>
              <w:ind w:left="360"/>
            </w:pPr>
            <w:r>
              <w:t>4.Student attendance, dismissal rates, and exclusion rates (a measure is needed for each of these three items)</w:t>
            </w:r>
          </w:p>
          <w:p w:rsidR="00F71EA6" w:rsidRDefault="00A83EB8">
            <w:pPr>
              <w:spacing w:after="0"/>
              <w:ind w:left="360"/>
            </w:pPr>
            <w:r>
              <w:t>5. Student safety and discipline</w:t>
            </w:r>
          </w:p>
          <w:p w:rsidR="00F71EA6" w:rsidRDefault="00A83EB8">
            <w:pPr>
              <w:spacing w:after="0"/>
              <w:ind w:left="360"/>
            </w:pPr>
            <w:r>
              <w:t>6. Student promotion and dropout rates</w:t>
            </w:r>
          </w:p>
          <w:p w:rsidR="00F71EA6" w:rsidRDefault="00A83EB8">
            <w:pPr>
              <w:spacing w:after="0"/>
              <w:ind w:left="360"/>
            </w:pPr>
            <w:r>
              <w:t>7. Graduation rates (high schools only)</w:t>
            </w:r>
          </w:p>
        </w:tc>
        <w:tc>
          <w:tcPr>
            <w:tcW w:w="6468" w:type="dxa"/>
            <w:tcBorders>
              <w:top w:val="nil"/>
              <w:left w:val="nil"/>
              <w:bottom w:val="single" w:sz="8" w:space="0" w:color="000000"/>
              <w:right w:val="single" w:sz="8" w:space="0" w:color="000000"/>
            </w:tcBorders>
            <w:tcMar>
              <w:top w:w="100" w:type="dxa"/>
              <w:left w:w="100" w:type="dxa"/>
              <w:bottom w:w="100" w:type="dxa"/>
              <w:right w:w="100" w:type="dxa"/>
            </w:tcMar>
          </w:tcPr>
          <w:p w:rsidR="00F71EA6" w:rsidRDefault="00A83EB8">
            <w:pPr>
              <w:spacing w:after="0"/>
              <w:ind w:left="360"/>
            </w:pPr>
            <w:r>
              <w:t xml:space="preserve">1.        </w:t>
            </w:r>
          </w:p>
          <w:p w:rsidR="00F71EA6" w:rsidRDefault="00A83EB8">
            <w:pPr>
              <w:spacing w:after="0"/>
              <w:ind w:left="360"/>
            </w:pPr>
            <w:r>
              <w:t xml:space="preserve"> </w:t>
            </w:r>
          </w:p>
          <w:p w:rsidR="00F71EA6" w:rsidRDefault="00A83EB8">
            <w:pPr>
              <w:spacing w:after="0"/>
              <w:ind w:left="360"/>
            </w:pPr>
            <w:r>
              <w:t xml:space="preserve"> </w:t>
            </w:r>
          </w:p>
          <w:p w:rsidR="00F71EA6" w:rsidRDefault="00A83EB8">
            <w:pPr>
              <w:spacing w:after="0"/>
              <w:ind w:left="360"/>
            </w:pPr>
            <w:r>
              <w:t xml:space="preserve">2.        </w:t>
            </w:r>
          </w:p>
          <w:p w:rsidR="00F71EA6" w:rsidRDefault="00A83EB8">
            <w:pPr>
              <w:spacing w:after="0"/>
              <w:ind w:left="360"/>
            </w:pPr>
            <w:r>
              <w:t xml:space="preserve"> </w:t>
            </w:r>
          </w:p>
          <w:p w:rsidR="00F71EA6" w:rsidRDefault="00A83EB8">
            <w:pPr>
              <w:spacing w:after="0"/>
              <w:ind w:left="360"/>
            </w:pPr>
            <w:r>
              <w:t xml:space="preserve"> </w:t>
            </w:r>
          </w:p>
          <w:p w:rsidR="00F71EA6" w:rsidRDefault="00A83EB8">
            <w:pPr>
              <w:spacing w:after="0"/>
              <w:ind w:left="360"/>
            </w:pPr>
            <w:r>
              <w:t xml:space="preserve">3.        </w:t>
            </w:r>
          </w:p>
          <w:p w:rsidR="00F71EA6" w:rsidRDefault="00A83EB8">
            <w:pPr>
              <w:spacing w:after="0"/>
              <w:ind w:left="360"/>
            </w:pPr>
            <w:r>
              <w:t xml:space="preserve"> </w:t>
            </w:r>
          </w:p>
          <w:p w:rsidR="00F71EA6" w:rsidRDefault="00A83EB8">
            <w:pPr>
              <w:spacing w:after="0"/>
              <w:ind w:left="360"/>
            </w:pPr>
            <w:r>
              <w:t xml:space="preserve"> </w:t>
            </w:r>
          </w:p>
          <w:p w:rsidR="00F71EA6" w:rsidRDefault="00A83EB8">
            <w:pPr>
              <w:spacing w:after="0"/>
              <w:ind w:left="360"/>
            </w:pPr>
            <w:r>
              <w:t xml:space="preserve">4.        </w:t>
            </w:r>
          </w:p>
          <w:p w:rsidR="00F71EA6" w:rsidRDefault="00A83EB8">
            <w:pPr>
              <w:spacing w:after="0"/>
              <w:ind w:left="360"/>
            </w:pPr>
            <w:r>
              <w:t xml:space="preserve"> </w:t>
            </w:r>
          </w:p>
          <w:p w:rsidR="00F71EA6" w:rsidRDefault="00A83EB8">
            <w:pPr>
              <w:spacing w:after="0"/>
              <w:ind w:left="360"/>
            </w:pPr>
            <w:r>
              <w:t xml:space="preserve"> </w:t>
            </w:r>
          </w:p>
          <w:p w:rsidR="00F71EA6" w:rsidRDefault="00A83EB8">
            <w:pPr>
              <w:spacing w:after="0"/>
              <w:ind w:left="360"/>
            </w:pPr>
            <w:r>
              <w:t xml:space="preserve"> </w:t>
            </w:r>
          </w:p>
          <w:p w:rsidR="00F71EA6" w:rsidRDefault="00A83EB8">
            <w:pPr>
              <w:spacing w:after="0"/>
              <w:ind w:left="360"/>
            </w:pPr>
            <w:r>
              <w:t xml:space="preserve"> </w:t>
            </w:r>
          </w:p>
          <w:p w:rsidR="00F71EA6" w:rsidRDefault="00A83EB8">
            <w:pPr>
              <w:spacing w:after="0"/>
              <w:ind w:left="360"/>
            </w:pPr>
            <w:r>
              <w:t xml:space="preserve">5.        </w:t>
            </w:r>
          </w:p>
          <w:p w:rsidR="00F71EA6" w:rsidRDefault="00A83EB8">
            <w:pPr>
              <w:spacing w:after="0"/>
            </w:pPr>
            <w:r>
              <w:t xml:space="preserve"> </w:t>
            </w:r>
          </w:p>
          <w:p w:rsidR="00F71EA6" w:rsidRDefault="00A83EB8">
            <w:pPr>
              <w:spacing w:after="0"/>
            </w:pPr>
            <w:r>
              <w:t xml:space="preserve"> </w:t>
            </w:r>
          </w:p>
          <w:p w:rsidR="00F71EA6" w:rsidRDefault="00A83EB8">
            <w:pPr>
              <w:spacing w:after="0"/>
              <w:ind w:left="360"/>
            </w:pPr>
            <w:r>
              <w:t xml:space="preserve">6.        </w:t>
            </w:r>
          </w:p>
          <w:p w:rsidR="00F71EA6" w:rsidRDefault="00A83EB8">
            <w:pPr>
              <w:spacing w:after="0"/>
              <w:ind w:left="360"/>
            </w:pPr>
            <w:r>
              <w:t xml:space="preserve"> </w:t>
            </w:r>
          </w:p>
          <w:p w:rsidR="00F71EA6" w:rsidRDefault="00A83EB8">
            <w:pPr>
              <w:spacing w:after="0"/>
              <w:ind w:left="360"/>
            </w:pPr>
            <w:r>
              <w:t xml:space="preserve"> </w:t>
            </w:r>
          </w:p>
          <w:p w:rsidR="00F71EA6" w:rsidRDefault="00A83EB8">
            <w:pPr>
              <w:spacing w:after="0"/>
              <w:ind w:left="360"/>
            </w:pPr>
            <w:r>
              <w:t xml:space="preserve">7.        </w:t>
            </w:r>
          </w:p>
          <w:p w:rsidR="00F71EA6" w:rsidRDefault="00A83EB8">
            <w:pPr>
              <w:spacing w:after="0"/>
            </w:pPr>
            <w:r>
              <w:t xml:space="preserve"> </w:t>
            </w:r>
          </w:p>
        </w:tc>
      </w:tr>
      <w:tr w:rsidR="00F71EA6" w:rsidTr="003D5B8D">
        <w:trPr>
          <w:trHeight w:val="1280"/>
          <w:tblHeader/>
        </w:trPr>
        <w:tc>
          <w:tcPr>
            <w:tcW w:w="289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71EA6" w:rsidRDefault="00A83EB8">
            <w:pPr>
              <w:spacing w:after="0"/>
              <w:rPr>
                <w:b/>
                <w:sz w:val="24"/>
                <w:szCs w:val="24"/>
              </w:rPr>
            </w:pPr>
            <w:r>
              <w:rPr>
                <w:b/>
                <w:sz w:val="24"/>
                <w:szCs w:val="24"/>
              </w:rPr>
              <w:t>Interim Benchmarks for Teachers/Practitioners</w:t>
            </w:r>
          </w:p>
        </w:tc>
        <w:tc>
          <w:tcPr>
            <w:tcW w:w="6468" w:type="dxa"/>
            <w:tcBorders>
              <w:top w:val="nil"/>
              <w:left w:val="nil"/>
              <w:bottom w:val="single" w:sz="8" w:space="0" w:color="000000"/>
              <w:right w:val="single" w:sz="8" w:space="0" w:color="000000"/>
            </w:tcBorders>
            <w:tcMar>
              <w:top w:w="100" w:type="dxa"/>
              <w:left w:w="100" w:type="dxa"/>
              <w:bottom w:w="100" w:type="dxa"/>
              <w:right w:w="100" w:type="dxa"/>
            </w:tcMar>
          </w:tcPr>
          <w:p w:rsidR="00F71EA6" w:rsidRDefault="00A83EB8">
            <w:pPr>
              <w:spacing w:after="0"/>
              <w:ind w:left="360"/>
            </w:pPr>
            <w:r>
              <w:t xml:space="preserve">1.        </w:t>
            </w:r>
          </w:p>
          <w:p w:rsidR="00F71EA6" w:rsidRDefault="00A83EB8">
            <w:pPr>
              <w:spacing w:after="0"/>
              <w:ind w:left="360"/>
            </w:pPr>
            <w:r>
              <w:t xml:space="preserve">2.        </w:t>
            </w:r>
          </w:p>
          <w:p w:rsidR="00F71EA6" w:rsidRDefault="00A83EB8">
            <w:pPr>
              <w:spacing w:after="0"/>
              <w:ind w:left="360"/>
            </w:pPr>
            <w:r>
              <w:t xml:space="preserve">3.         </w:t>
            </w:r>
          </w:p>
          <w:p w:rsidR="00F71EA6" w:rsidRDefault="00A83EB8">
            <w:pPr>
              <w:spacing w:after="0"/>
              <w:ind w:left="360"/>
            </w:pPr>
            <w:r>
              <w:t xml:space="preserve"> </w:t>
            </w:r>
          </w:p>
        </w:tc>
      </w:tr>
      <w:tr w:rsidR="00F71EA6" w:rsidTr="003D5B8D">
        <w:trPr>
          <w:trHeight w:val="1280"/>
          <w:tblHeader/>
        </w:trPr>
        <w:tc>
          <w:tcPr>
            <w:tcW w:w="289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71EA6" w:rsidRDefault="00A83EB8">
            <w:pPr>
              <w:spacing w:after="0"/>
              <w:rPr>
                <w:b/>
                <w:sz w:val="24"/>
                <w:szCs w:val="24"/>
              </w:rPr>
            </w:pPr>
            <w:r>
              <w:rPr>
                <w:b/>
                <w:sz w:val="24"/>
                <w:szCs w:val="24"/>
              </w:rPr>
              <w:t>Interim Benchmarks for  Students</w:t>
            </w:r>
          </w:p>
        </w:tc>
        <w:tc>
          <w:tcPr>
            <w:tcW w:w="6468" w:type="dxa"/>
            <w:tcBorders>
              <w:top w:val="nil"/>
              <w:left w:val="nil"/>
              <w:bottom w:val="single" w:sz="8" w:space="0" w:color="000000"/>
              <w:right w:val="single" w:sz="8" w:space="0" w:color="000000"/>
            </w:tcBorders>
            <w:tcMar>
              <w:top w:w="100" w:type="dxa"/>
              <w:left w:w="100" w:type="dxa"/>
              <w:bottom w:w="100" w:type="dxa"/>
              <w:right w:w="100" w:type="dxa"/>
            </w:tcMar>
          </w:tcPr>
          <w:p w:rsidR="00F71EA6" w:rsidRDefault="00A83EB8">
            <w:pPr>
              <w:spacing w:after="0"/>
              <w:ind w:left="360"/>
            </w:pPr>
            <w:r>
              <w:t xml:space="preserve">1.        </w:t>
            </w:r>
          </w:p>
          <w:p w:rsidR="00F71EA6" w:rsidRDefault="00A83EB8">
            <w:pPr>
              <w:spacing w:after="0"/>
              <w:ind w:left="360"/>
            </w:pPr>
            <w:r>
              <w:t xml:space="preserve">2.        </w:t>
            </w:r>
          </w:p>
          <w:p w:rsidR="00F71EA6" w:rsidRDefault="00A83EB8">
            <w:pPr>
              <w:spacing w:after="0"/>
              <w:ind w:left="360"/>
            </w:pPr>
            <w:r>
              <w:t xml:space="preserve">3.        </w:t>
            </w:r>
          </w:p>
          <w:p w:rsidR="00F71EA6" w:rsidRDefault="00A83EB8">
            <w:pPr>
              <w:spacing w:after="0"/>
              <w:ind w:left="360"/>
            </w:pPr>
            <w:r>
              <w:t xml:space="preserve"> </w:t>
            </w:r>
          </w:p>
        </w:tc>
      </w:tr>
    </w:tbl>
    <w:p w:rsidR="00F71EA6" w:rsidRDefault="00F71EA6">
      <w:pPr>
        <w:rPr>
          <w:sz w:val="24"/>
          <w:szCs w:val="24"/>
        </w:rPr>
      </w:pPr>
    </w:p>
    <w:sectPr w:rsidR="00F71EA6">
      <w:footerReference w:type="default" r:id="rId11"/>
      <w:pgSz w:w="12240" w:h="15840"/>
      <w:pgMar w:top="1440" w:right="1440" w:bottom="9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788" w:rsidRDefault="00C03788" w:rsidP="007E72A0">
      <w:pPr>
        <w:spacing w:after="0" w:line="240" w:lineRule="auto"/>
      </w:pPr>
      <w:r>
        <w:separator/>
      </w:r>
    </w:p>
  </w:endnote>
  <w:endnote w:type="continuationSeparator" w:id="0">
    <w:p w:rsidR="00C03788" w:rsidRDefault="00C03788" w:rsidP="007E7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322984"/>
      <w:docPartObj>
        <w:docPartGallery w:val="Page Numbers (Bottom of Page)"/>
        <w:docPartUnique/>
      </w:docPartObj>
    </w:sdtPr>
    <w:sdtEndPr>
      <w:rPr>
        <w:noProof/>
      </w:rPr>
    </w:sdtEndPr>
    <w:sdtContent>
      <w:p w:rsidR="007E72A0" w:rsidRDefault="007E72A0">
        <w:pPr>
          <w:pStyle w:val="Footer"/>
          <w:jc w:val="right"/>
        </w:pPr>
        <w:r>
          <w:fldChar w:fldCharType="begin"/>
        </w:r>
        <w:r>
          <w:instrText xml:space="preserve"> PAGE   \* MERGEFORMAT </w:instrText>
        </w:r>
        <w:r>
          <w:fldChar w:fldCharType="separate"/>
        </w:r>
        <w:r w:rsidR="00206084">
          <w:rPr>
            <w:noProof/>
          </w:rPr>
          <w:t>16</w:t>
        </w:r>
        <w:r>
          <w:rPr>
            <w:noProof/>
          </w:rPr>
          <w:fldChar w:fldCharType="end"/>
        </w:r>
      </w:p>
    </w:sdtContent>
  </w:sdt>
  <w:p w:rsidR="007E72A0" w:rsidRDefault="007E7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788" w:rsidRDefault="00C03788" w:rsidP="007E72A0">
      <w:pPr>
        <w:spacing w:after="0" w:line="240" w:lineRule="auto"/>
      </w:pPr>
      <w:r>
        <w:separator/>
      </w:r>
    </w:p>
  </w:footnote>
  <w:footnote w:type="continuationSeparator" w:id="0">
    <w:p w:rsidR="00C03788" w:rsidRDefault="00C03788" w:rsidP="007E72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EA6"/>
    <w:rsid w:val="00206084"/>
    <w:rsid w:val="002132AF"/>
    <w:rsid w:val="003D5B8D"/>
    <w:rsid w:val="007E72A0"/>
    <w:rsid w:val="0082125A"/>
    <w:rsid w:val="00A83EB8"/>
    <w:rsid w:val="00C03788"/>
    <w:rsid w:val="00F71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C3E61F-8E35-4DA6-83BC-90782129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200" w:after="0" w:line="240" w:lineRule="auto"/>
      <w:outlineLvl w:val="1"/>
    </w:pPr>
    <w:rPr>
      <w:b/>
      <w:color w:val="5B9BD5"/>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E7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2A0"/>
  </w:style>
  <w:style w:type="paragraph" w:styleId="Footer">
    <w:name w:val="footer"/>
    <w:basedOn w:val="Normal"/>
    <w:link w:val="FooterChar"/>
    <w:uiPriority w:val="99"/>
    <w:unhideWhenUsed/>
    <w:rsid w:val="007E7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DESE-231-47505</_dlc_DocId>
    <_dlc_DocIdUrl xmlns="733efe1c-5bbe-4968-87dc-d400e65c879f">
      <Url>https://sharepoint.doemass.org/ese/webteam/cps/_layouts/DocIdRedir.aspx?ID=DESE-231-47505</Url>
      <Description>DESE-231-47505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27802FF-8244-4860-BD89-E5E01D1C80BA}">
  <ds:schemaRefs>
    <ds:schemaRef ds:uri="http://schemas.microsoft.com/sharepoint/v3/contenttype/forms"/>
  </ds:schemaRefs>
</ds:datastoreItem>
</file>

<file path=customXml/itemProps2.xml><?xml version="1.0" encoding="utf-8"?>
<ds:datastoreItem xmlns:ds="http://schemas.openxmlformats.org/officeDocument/2006/customXml" ds:itemID="{2C09C1CD-195F-4120-9A59-0AA27BBEBA0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1602A713-B4B7-4D72-AB8C-A65DF0F64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AC193E-64CB-47FB-B881-8369E4216D0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16</Pages>
  <Words>1563</Words>
  <Characters>8912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2018-2019 Turnaround Plan Template</vt:lpstr>
    </vt:vector>
  </TitlesOfParts>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2018-2019 Turnaround Plan Template</dc:title>
  <dc:creator>DESE</dc:creator>
  <cp:lastModifiedBy>Zou, Dong (EOE)</cp:lastModifiedBy>
  <cp:revision>5</cp:revision>
  <dcterms:created xsi:type="dcterms:W3CDTF">2018-12-24T17:39:00Z</dcterms:created>
  <dcterms:modified xsi:type="dcterms:W3CDTF">2018-12-31T16:00:00Z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31 2018</vt:lpwstr>
  </property>
</Properties>
</file>