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A5C8" w14:textId="7F8EB910" w:rsidR="00D47002" w:rsidRPr="008E056C" w:rsidRDefault="00B62E85" w:rsidP="00A35269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bookmarkStart w:id="0" w:name="_GoBack"/>
      <w:bookmarkEnd w:id="0"/>
      <w:r>
        <w:rPr>
          <w:rFonts w:ascii="Georgia" w:hAnsi="Georgia"/>
          <w:color w:val="0C7580"/>
          <w:sz w:val="32"/>
          <w:szCs w:val="32"/>
        </w:rPr>
        <w:t xml:space="preserve">Quick Reference Guide: </w:t>
      </w:r>
      <w:r w:rsidR="003E49F2" w:rsidRPr="00503D58">
        <w:rPr>
          <w:rFonts w:ascii="Georgia" w:hAnsi="Georgia"/>
          <w:color w:val="0C7580"/>
          <w:sz w:val="32"/>
          <w:szCs w:val="32"/>
        </w:rPr>
        <w:t>Assessment</w:t>
      </w:r>
      <w:r w:rsidR="00483961" w:rsidRPr="00503D58">
        <w:rPr>
          <w:rFonts w:ascii="Georgia" w:hAnsi="Georgia"/>
          <w:color w:val="0C7580"/>
          <w:sz w:val="32"/>
          <w:szCs w:val="32"/>
        </w:rPr>
        <w:t xml:space="preserve"> in World Language Programs</w:t>
      </w:r>
    </w:p>
    <w:p w14:paraId="27B32CA0" w14:textId="34727D81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4E8A8C82">
                <wp:extent cx="6804660" cy="187452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187452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6EE9D" w14:textId="5A0A4BE0" w:rsidR="009F38A6" w:rsidRPr="00EB3E2B" w:rsidRDefault="009F38A6" w:rsidP="00DF65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3E2B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BC2549" w:rsidRPr="00EB3E2B">
                              <w:rPr>
                                <w:b/>
                                <w:bCs/>
                              </w:rPr>
                              <w:t>erformance</w:t>
                            </w:r>
                            <w:r w:rsidRPr="00EB3E2B">
                              <w:rPr>
                                <w:b/>
                                <w:bCs/>
                              </w:rPr>
                              <w:t xml:space="preserve"> Assessment </w:t>
                            </w:r>
                          </w:p>
                          <w:p w14:paraId="5ECCE722" w14:textId="38094C27" w:rsidR="009F38A6" w:rsidRPr="00EB3E2B" w:rsidRDefault="009F38A6" w:rsidP="009F38A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bookmarkStart w:id="1" w:name="_Hlk56946403"/>
                            <w:r w:rsidRPr="00EB3E2B">
                              <w:rPr>
                                <w:i/>
                                <w:iCs/>
                              </w:rPr>
                              <w:t xml:space="preserve">Proficiency-based performance assessments </w:t>
                            </w:r>
                            <w:bookmarkEnd w:id="1"/>
                            <w:r w:rsidRPr="00EB3E2B">
                              <w:rPr>
                                <w:i/>
                                <w:iCs/>
                              </w:rPr>
                              <w:t xml:space="preserve">are recommended to reflect standards-based instructional practices. It is important to consider </w:t>
                            </w:r>
                            <w:r w:rsidR="00402FE7" w:rsidRPr="00EB3E2B">
                              <w:rPr>
                                <w:i/>
                                <w:iCs/>
                              </w:rPr>
                              <w:t xml:space="preserve">a task’s connection to actual target language use in the given context as well as </w:t>
                            </w:r>
                            <w:r w:rsidR="00BC2549" w:rsidRPr="00EB3E2B">
                              <w:rPr>
                                <w:i/>
                                <w:iCs/>
                              </w:rPr>
                              <w:t xml:space="preserve">students’ age, developmental, and proficiency levels </w:t>
                            </w:r>
                            <w:r w:rsidRPr="00EB3E2B">
                              <w:rPr>
                                <w:i/>
                                <w:iCs/>
                              </w:rPr>
                              <w:t>when incorporating p</w:t>
                            </w:r>
                            <w:r w:rsidR="00BC2549" w:rsidRPr="00EB3E2B">
                              <w:rPr>
                                <w:i/>
                                <w:iCs/>
                              </w:rPr>
                              <w:t>erformance</w:t>
                            </w:r>
                            <w:r w:rsidRPr="00EB3E2B">
                              <w:rPr>
                                <w:i/>
                                <w:iCs/>
                              </w:rPr>
                              <w:t xml:space="preserve"> assessment</w:t>
                            </w:r>
                            <w:r w:rsidR="00292D3D" w:rsidRPr="00EB3E2B">
                              <w:rPr>
                                <w:i/>
                                <w:iCs/>
                              </w:rPr>
                              <w:t xml:space="preserve">s in the </w:t>
                            </w:r>
                            <w:r w:rsidRPr="00EB3E2B">
                              <w:rPr>
                                <w:i/>
                                <w:iCs/>
                              </w:rPr>
                              <w:t>classroom.</w:t>
                            </w:r>
                          </w:p>
                          <w:p w14:paraId="75CBE4FB" w14:textId="0647696D" w:rsidR="009F38A6" w:rsidRPr="00EB3E2B" w:rsidRDefault="009F38A6" w:rsidP="00DF65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3E2B">
                              <w:rPr>
                                <w:b/>
                                <w:bCs/>
                              </w:rPr>
                              <w:t xml:space="preserve">Can-Do </w:t>
                            </w:r>
                            <w:r w:rsidR="001801F9" w:rsidRPr="00EB3E2B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EB3E2B">
                              <w:rPr>
                                <w:b/>
                                <w:bCs/>
                              </w:rPr>
                              <w:t>pproach</w:t>
                            </w:r>
                          </w:p>
                          <w:p w14:paraId="2A1C6506" w14:textId="33BB1E12" w:rsidR="009F38A6" w:rsidRPr="00EB3E2B" w:rsidRDefault="005D25F4" w:rsidP="0098791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B3E2B">
                              <w:rPr>
                                <w:i/>
                                <w:iCs/>
                              </w:rPr>
                              <w:t>Assessments should provide an opportunity for</w:t>
                            </w:r>
                            <w:r w:rsidR="00987916" w:rsidRPr="00EB3E2B">
                              <w:rPr>
                                <w:i/>
                                <w:iCs/>
                              </w:rPr>
                              <w:t xml:space="preserve"> students </w:t>
                            </w:r>
                            <w:r w:rsidRPr="00EB3E2B">
                              <w:rPr>
                                <w:i/>
                                <w:iCs/>
                              </w:rPr>
                              <w:t xml:space="preserve">to demonstrate what they </w:t>
                            </w:r>
                            <w:r w:rsidR="00987916" w:rsidRPr="00EB3E2B">
                              <w:rPr>
                                <w:i/>
                                <w:iCs/>
                              </w:rPr>
                              <w:t>can truly do with the language. An assets-based</w:t>
                            </w:r>
                            <w:r w:rsidRPr="00EB3E2B">
                              <w:rPr>
                                <w:i/>
                                <w:iCs/>
                              </w:rPr>
                              <w:t>, can-do</w:t>
                            </w:r>
                            <w:r w:rsidR="00987916" w:rsidRPr="00EB3E2B">
                              <w:rPr>
                                <w:i/>
                                <w:iCs/>
                              </w:rPr>
                              <w:t xml:space="preserve"> approach to assessment </w:t>
                            </w:r>
                            <w:r w:rsidRPr="00EB3E2B">
                              <w:rPr>
                                <w:i/>
                                <w:iCs/>
                              </w:rPr>
                              <w:t>may help teachers i</w:t>
                            </w:r>
                            <w:r w:rsidR="00C71929" w:rsidRPr="00EB3E2B">
                              <w:rPr>
                                <w:i/>
                                <w:iCs/>
                              </w:rPr>
                              <w:t>dentify and build</w:t>
                            </w:r>
                            <w:r w:rsidRPr="00EB3E2B">
                              <w:rPr>
                                <w:i/>
                                <w:iCs/>
                              </w:rPr>
                              <w:t xml:space="preserve"> upon students’ strengths in the language</w:t>
                            </w:r>
                            <w:r w:rsidR="00C71929" w:rsidRPr="00EB3E2B">
                              <w:rPr>
                                <w:i/>
                                <w:iCs/>
                              </w:rPr>
                              <w:t>, creating a positive learning experience.</w:t>
                            </w:r>
                          </w:p>
                          <w:p w14:paraId="2C3B6029" w14:textId="1A0887AE" w:rsidR="000636CE" w:rsidRDefault="000636CE" w:rsidP="00063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35.8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" fillcolor="#0c7580" stroked="f" strokeweight="2pt">
                <v:textbox>
                  <w:txbxContent>
                    <w:p w14:paraId="6416EE9D" w14:textId="5A0A4BE0" w:rsidR="009F38A6" w:rsidRPr="00EB3E2B" w:rsidRDefault="009F38A6" w:rsidP="00DF65F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B3E2B">
                        <w:rPr>
                          <w:b/>
                          <w:bCs/>
                        </w:rPr>
                        <w:t>P</w:t>
                      </w:r>
                      <w:r w:rsidR="00BC2549" w:rsidRPr="00EB3E2B">
                        <w:rPr>
                          <w:b/>
                          <w:bCs/>
                        </w:rPr>
                        <w:t>erformance</w:t>
                      </w:r>
                      <w:r w:rsidRPr="00EB3E2B">
                        <w:rPr>
                          <w:b/>
                          <w:bCs/>
                        </w:rPr>
                        <w:t xml:space="preserve"> Assessment </w:t>
                      </w:r>
                    </w:p>
                    <w:p w14:paraId="5ECCE722" w14:textId="38094C27" w:rsidR="009F38A6" w:rsidRPr="00EB3E2B" w:rsidRDefault="009F38A6" w:rsidP="009F38A6">
                      <w:pPr>
                        <w:jc w:val="center"/>
                        <w:rPr>
                          <w:i/>
                          <w:iCs/>
                        </w:rPr>
                      </w:pPr>
                      <w:bookmarkStart w:id="2" w:name="_Hlk56946403"/>
                      <w:r w:rsidRPr="00EB3E2B">
                        <w:rPr>
                          <w:i/>
                          <w:iCs/>
                        </w:rPr>
                        <w:t xml:space="preserve">Proficiency-based performance assessments </w:t>
                      </w:r>
                      <w:bookmarkEnd w:id="2"/>
                      <w:r w:rsidRPr="00EB3E2B">
                        <w:rPr>
                          <w:i/>
                          <w:iCs/>
                        </w:rPr>
                        <w:t xml:space="preserve">are recommended to reflect standards-based instructional practices. It is important to consider </w:t>
                      </w:r>
                      <w:r w:rsidR="00402FE7" w:rsidRPr="00EB3E2B">
                        <w:rPr>
                          <w:i/>
                          <w:iCs/>
                        </w:rPr>
                        <w:t xml:space="preserve">a task’s connection to actual target language use in the given context as well as </w:t>
                      </w:r>
                      <w:r w:rsidR="00BC2549" w:rsidRPr="00EB3E2B">
                        <w:rPr>
                          <w:i/>
                          <w:iCs/>
                        </w:rPr>
                        <w:t xml:space="preserve">students’ age, developmental, and proficiency levels </w:t>
                      </w:r>
                      <w:r w:rsidRPr="00EB3E2B">
                        <w:rPr>
                          <w:i/>
                          <w:iCs/>
                        </w:rPr>
                        <w:t>when incorporating p</w:t>
                      </w:r>
                      <w:r w:rsidR="00BC2549" w:rsidRPr="00EB3E2B">
                        <w:rPr>
                          <w:i/>
                          <w:iCs/>
                        </w:rPr>
                        <w:t>erformance</w:t>
                      </w:r>
                      <w:r w:rsidRPr="00EB3E2B">
                        <w:rPr>
                          <w:i/>
                          <w:iCs/>
                        </w:rPr>
                        <w:t xml:space="preserve"> assessment</w:t>
                      </w:r>
                      <w:r w:rsidR="00292D3D" w:rsidRPr="00EB3E2B">
                        <w:rPr>
                          <w:i/>
                          <w:iCs/>
                        </w:rPr>
                        <w:t xml:space="preserve">s in the </w:t>
                      </w:r>
                      <w:r w:rsidRPr="00EB3E2B">
                        <w:rPr>
                          <w:i/>
                          <w:iCs/>
                        </w:rPr>
                        <w:t>classroom.</w:t>
                      </w:r>
                    </w:p>
                    <w:p w14:paraId="75CBE4FB" w14:textId="0647696D" w:rsidR="009F38A6" w:rsidRPr="00EB3E2B" w:rsidRDefault="009F38A6" w:rsidP="00DF65F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B3E2B">
                        <w:rPr>
                          <w:b/>
                          <w:bCs/>
                        </w:rPr>
                        <w:t xml:space="preserve">Can-Do </w:t>
                      </w:r>
                      <w:r w:rsidR="001801F9" w:rsidRPr="00EB3E2B">
                        <w:rPr>
                          <w:b/>
                          <w:bCs/>
                        </w:rPr>
                        <w:t>A</w:t>
                      </w:r>
                      <w:r w:rsidRPr="00EB3E2B">
                        <w:rPr>
                          <w:b/>
                          <w:bCs/>
                        </w:rPr>
                        <w:t>pproach</w:t>
                      </w:r>
                    </w:p>
                    <w:p w14:paraId="2A1C6506" w14:textId="33BB1E12" w:rsidR="009F38A6" w:rsidRPr="00EB3E2B" w:rsidRDefault="005D25F4" w:rsidP="0098791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B3E2B">
                        <w:rPr>
                          <w:i/>
                          <w:iCs/>
                        </w:rPr>
                        <w:t>Assessments should provide an opportunity for</w:t>
                      </w:r>
                      <w:r w:rsidR="00987916" w:rsidRPr="00EB3E2B">
                        <w:rPr>
                          <w:i/>
                          <w:iCs/>
                        </w:rPr>
                        <w:t xml:space="preserve"> students </w:t>
                      </w:r>
                      <w:r w:rsidRPr="00EB3E2B">
                        <w:rPr>
                          <w:i/>
                          <w:iCs/>
                        </w:rPr>
                        <w:t xml:space="preserve">to demonstrate what they </w:t>
                      </w:r>
                      <w:r w:rsidR="00987916" w:rsidRPr="00EB3E2B">
                        <w:rPr>
                          <w:i/>
                          <w:iCs/>
                        </w:rPr>
                        <w:t>can truly do with the language. An assets-based</w:t>
                      </w:r>
                      <w:r w:rsidRPr="00EB3E2B">
                        <w:rPr>
                          <w:i/>
                          <w:iCs/>
                        </w:rPr>
                        <w:t>, can-do</w:t>
                      </w:r>
                      <w:r w:rsidR="00987916" w:rsidRPr="00EB3E2B">
                        <w:rPr>
                          <w:i/>
                          <w:iCs/>
                        </w:rPr>
                        <w:t xml:space="preserve"> approach to assessment </w:t>
                      </w:r>
                      <w:r w:rsidRPr="00EB3E2B">
                        <w:rPr>
                          <w:i/>
                          <w:iCs/>
                        </w:rPr>
                        <w:t>may help teachers i</w:t>
                      </w:r>
                      <w:r w:rsidR="00C71929" w:rsidRPr="00EB3E2B">
                        <w:rPr>
                          <w:i/>
                          <w:iCs/>
                        </w:rPr>
                        <w:t>dentify and build</w:t>
                      </w:r>
                      <w:r w:rsidRPr="00EB3E2B">
                        <w:rPr>
                          <w:i/>
                          <w:iCs/>
                        </w:rPr>
                        <w:t xml:space="preserve"> upon students’ strengths in the language</w:t>
                      </w:r>
                      <w:r w:rsidR="00C71929" w:rsidRPr="00EB3E2B">
                        <w:rPr>
                          <w:i/>
                          <w:iCs/>
                        </w:rPr>
                        <w:t>, creating a positive learning experience.</w:t>
                      </w:r>
                    </w:p>
                    <w:p w14:paraId="2C3B6029" w14:textId="1A0887AE" w:rsidR="000636CE" w:rsidRDefault="000636CE" w:rsidP="000636C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C71929" w:rsidRPr="00B813C0">
        <w:rPr>
          <w:rFonts w:cstheme="minorHAnsi"/>
          <w:b/>
          <w:bCs/>
          <w:sz w:val="20"/>
          <w:szCs w:val="20"/>
        </w:rPr>
        <w:t>Assessment</w:t>
      </w:r>
      <w:r w:rsidR="00C71929" w:rsidRPr="00B813C0">
        <w:rPr>
          <w:rFonts w:cstheme="minorHAnsi"/>
          <w:sz w:val="20"/>
          <w:szCs w:val="20"/>
        </w:rPr>
        <w:t xml:space="preserve"> is an ongoing process of setting clear goals for student learning and measuring progress towards those goals. </w:t>
      </w:r>
      <w:r w:rsidR="0067322F" w:rsidRPr="00B813C0">
        <w:rPr>
          <w:rFonts w:cstheme="minorHAnsi"/>
          <w:sz w:val="20"/>
          <w:szCs w:val="20"/>
        </w:rPr>
        <w:t xml:space="preserve">It helps teachers make informed decisions about curriculum and instruction, and it guides them in understanding and supporting students' individual </w:t>
      </w:r>
      <w:r w:rsidR="00C71929" w:rsidRPr="00B813C0">
        <w:rPr>
          <w:rFonts w:cstheme="minorHAnsi"/>
          <w:sz w:val="20"/>
          <w:szCs w:val="20"/>
        </w:rPr>
        <w:t>needs</w:t>
      </w:r>
      <w:r w:rsidR="0067322F" w:rsidRPr="00B813C0">
        <w:rPr>
          <w:rFonts w:cstheme="minorHAnsi"/>
          <w:sz w:val="20"/>
          <w:szCs w:val="20"/>
        </w:rPr>
        <w:t>.</w:t>
      </w:r>
      <w:r w:rsidR="00B62E85">
        <w:rPr>
          <w:rFonts w:cstheme="minorHAnsi"/>
          <w:sz w:val="20"/>
          <w:szCs w:val="20"/>
        </w:rPr>
        <w:t xml:space="preserve"> World language assessment should be standards</w:t>
      </w:r>
      <w:r w:rsidR="00B006D5">
        <w:rPr>
          <w:rFonts w:cstheme="minorHAnsi"/>
          <w:sz w:val="20"/>
          <w:szCs w:val="20"/>
        </w:rPr>
        <w:t>-</w:t>
      </w:r>
      <w:r w:rsidR="00B62E85">
        <w:rPr>
          <w:rFonts w:cstheme="minorHAnsi"/>
          <w:sz w:val="20"/>
          <w:szCs w:val="20"/>
        </w:rPr>
        <w:t xml:space="preserve"> and proficiency-based, and ed</w:t>
      </w:r>
      <w:r w:rsidR="007C5DBD">
        <w:rPr>
          <w:sz w:val="20"/>
          <w:szCs w:val="20"/>
        </w:rPr>
        <w:t xml:space="preserve">ucators are encouraged to use </w:t>
      </w:r>
      <w:r w:rsidR="007C5DBD">
        <w:rPr>
          <w:b/>
          <w:bCs/>
          <w:sz w:val="20"/>
          <w:szCs w:val="20"/>
        </w:rPr>
        <w:t>p</w:t>
      </w:r>
      <w:r w:rsidR="009744BC" w:rsidRPr="00B813C0">
        <w:rPr>
          <w:b/>
          <w:bCs/>
          <w:sz w:val="20"/>
          <w:szCs w:val="20"/>
        </w:rPr>
        <w:t xml:space="preserve">erformance-based </w:t>
      </w:r>
      <w:r w:rsidR="007C5DBD">
        <w:rPr>
          <w:b/>
          <w:bCs/>
          <w:sz w:val="20"/>
          <w:szCs w:val="20"/>
        </w:rPr>
        <w:t>tasks</w:t>
      </w:r>
      <w:r w:rsidR="00B62E85">
        <w:rPr>
          <w:sz w:val="20"/>
          <w:szCs w:val="20"/>
        </w:rPr>
        <w:t>, as t</w:t>
      </w:r>
      <w:r w:rsidR="007C5DBD">
        <w:rPr>
          <w:sz w:val="20"/>
          <w:szCs w:val="20"/>
        </w:rPr>
        <w:t>hese tasks are designed to measure students’ authentic, real-world language use</w:t>
      </w:r>
      <w:r w:rsidR="006138AD">
        <w:rPr>
          <w:sz w:val="20"/>
          <w:szCs w:val="20"/>
        </w:rPr>
        <w:t xml:space="preserve"> through activities such as</w:t>
      </w:r>
      <w:r w:rsidR="006138AD" w:rsidRPr="00B813C0">
        <w:rPr>
          <w:sz w:val="20"/>
          <w:szCs w:val="20"/>
        </w:rPr>
        <w:t xml:space="preserve"> role plays, presentations, and interviews involving real-life situations</w:t>
      </w:r>
      <w:r w:rsidR="006138AD">
        <w:rPr>
          <w:sz w:val="20"/>
          <w:szCs w:val="20"/>
        </w:rPr>
        <w:t xml:space="preserve">. </w:t>
      </w:r>
      <w:r w:rsidR="00F34BA0" w:rsidRPr="00B813C0">
        <w:rPr>
          <w:sz w:val="20"/>
          <w:szCs w:val="20"/>
        </w:rPr>
        <w:t xml:space="preserve">To make informed decisions about assessments, </w:t>
      </w:r>
      <w:r w:rsidR="00225592" w:rsidRPr="00B813C0">
        <w:rPr>
          <w:sz w:val="20"/>
          <w:szCs w:val="20"/>
        </w:rPr>
        <w:t xml:space="preserve">world language </w:t>
      </w:r>
      <w:r w:rsidR="00F34BA0" w:rsidRPr="00B813C0">
        <w:rPr>
          <w:sz w:val="20"/>
          <w:szCs w:val="20"/>
        </w:rPr>
        <w:t xml:space="preserve">teachers should develop their </w:t>
      </w:r>
      <w:r w:rsidR="00F34BA0" w:rsidRPr="00B813C0">
        <w:rPr>
          <w:b/>
          <w:bCs/>
          <w:sz w:val="20"/>
          <w:szCs w:val="20"/>
        </w:rPr>
        <w:t>language assessment literacy</w:t>
      </w:r>
      <w:r w:rsidR="00F34BA0" w:rsidRPr="00B813C0">
        <w:rPr>
          <w:sz w:val="20"/>
          <w:szCs w:val="20"/>
        </w:rPr>
        <w:t xml:space="preserve">, including their overall knowledge of assessment, the skills needed to effectively </w:t>
      </w:r>
      <w:r w:rsidRPr="00B813C0">
        <w:rPr>
          <w:sz w:val="20"/>
          <w:szCs w:val="20"/>
        </w:rPr>
        <w:t xml:space="preserve">select, develop, and </w:t>
      </w:r>
      <w:r w:rsidR="00F34BA0" w:rsidRPr="00B813C0">
        <w:rPr>
          <w:sz w:val="20"/>
          <w:szCs w:val="20"/>
        </w:rPr>
        <w:t xml:space="preserve">use assessments, and the principles underlying </w:t>
      </w:r>
      <w:r w:rsidRPr="00B813C0">
        <w:rPr>
          <w:sz w:val="20"/>
          <w:szCs w:val="20"/>
        </w:rPr>
        <w:t xml:space="preserve">effective </w:t>
      </w:r>
      <w:r w:rsidR="00F34BA0" w:rsidRPr="00B813C0">
        <w:rPr>
          <w:sz w:val="20"/>
          <w:szCs w:val="20"/>
        </w:rPr>
        <w:t>assessment</w:t>
      </w:r>
      <w:r w:rsidR="00005226" w:rsidRPr="00B813C0">
        <w:rPr>
          <w:rFonts w:cstheme="minorHAnsi"/>
          <w:sz w:val="20"/>
          <w:szCs w:val="20"/>
        </w:rPr>
        <w:t xml:space="preserve"> </w:t>
      </w:r>
      <w:r w:rsidR="00F34BA0" w:rsidRPr="00B813C0">
        <w:rPr>
          <w:rFonts w:cstheme="minorHAnsi"/>
          <w:sz w:val="20"/>
          <w:szCs w:val="20"/>
        </w:rPr>
        <w:t>practices.</w:t>
      </w:r>
    </w:p>
    <w:p w14:paraId="4BA85228" w14:textId="29832870" w:rsidR="000636CE" w:rsidRDefault="00483961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Effective </w:t>
      </w:r>
      <w:r w:rsidR="003E49F2">
        <w:rPr>
          <w:rFonts w:ascii="Georgia" w:hAnsi="Georgia"/>
          <w:color w:val="0C7580"/>
          <w:sz w:val="28"/>
          <w:szCs w:val="28"/>
        </w:rPr>
        <w:t>Approaches</w:t>
      </w:r>
    </w:p>
    <w:p w14:paraId="5163E4AE" w14:textId="77777777" w:rsidR="00C1481E" w:rsidRDefault="006138AD" w:rsidP="00C1481E">
      <w:pPr>
        <w:spacing w:after="0"/>
        <w:rPr>
          <w:rFonts w:ascii="Georgia" w:hAnsi="Georgia" w:cstheme="minorHAnsi"/>
          <w:color w:val="802B0C"/>
          <w:sz w:val="24"/>
          <w:szCs w:val="24"/>
        </w:rPr>
      </w:pPr>
      <w:r>
        <w:rPr>
          <w:sz w:val="20"/>
          <w:szCs w:val="20"/>
        </w:rPr>
        <w:t>When using performance-based tasks, e</w:t>
      </w:r>
      <w:r w:rsidR="00402FE7" w:rsidRPr="00B813C0">
        <w:rPr>
          <w:sz w:val="20"/>
          <w:szCs w:val="20"/>
        </w:rPr>
        <w:t>ducators should choose realistic</w:t>
      </w:r>
      <w:r w:rsidR="002404C9">
        <w:rPr>
          <w:sz w:val="20"/>
          <w:szCs w:val="20"/>
        </w:rPr>
        <w:t xml:space="preserve"> and age-appropriate</w:t>
      </w:r>
      <w:r w:rsidR="00402FE7" w:rsidRPr="00B813C0">
        <w:rPr>
          <w:sz w:val="20"/>
          <w:szCs w:val="20"/>
        </w:rPr>
        <w:t xml:space="preserve"> scenario</w:t>
      </w:r>
      <w:r>
        <w:rPr>
          <w:sz w:val="20"/>
          <w:szCs w:val="20"/>
        </w:rPr>
        <w:t>s</w:t>
      </w:r>
      <w:r w:rsidR="00402FE7" w:rsidRPr="00B813C0">
        <w:rPr>
          <w:sz w:val="20"/>
          <w:szCs w:val="20"/>
        </w:rPr>
        <w:t xml:space="preserve"> </w:t>
      </w:r>
      <w:r w:rsidR="002404C9">
        <w:rPr>
          <w:sz w:val="20"/>
          <w:szCs w:val="20"/>
        </w:rPr>
        <w:t>that</w:t>
      </w:r>
      <w:r w:rsidR="00402FE7" w:rsidRPr="00B813C0">
        <w:rPr>
          <w:sz w:val="20"/>
          <w:szCs w:val="20"/>
        </w:rPr>
        <w:t xml:space="preserve"> require students to produce appropriate responses</w:t>
      </w:r>
      <w:r w:rsidR="00B813C0">
        <w:rPr>
          <w:sz w:val="20"/>
          <w:szCs w:val="20"/>
        </w:rPr>
        <w:t xml:space="preserve"> in the target language</w:t>
      </w:r>
      <w:r w:rsidR="00402FE7" w:rsidRPr="00B813C0">
        <w:rPr>
          <w:sz w:val="20"/>
          <w:szCs w:val="20"/>
        </w:rPr>
        <w:t xml:space="preserve"> to meet the needs of th</w:t>
      </w:r>
      <w:r w:rsidR="0062286C" w:rsidRPr="00B813C0">
        <w:rPr>
          <w:sz w:val="20"/>
          <w:szCs w:val="20"/>
        </w:rPr>
        <w:t>e given</w:t>
      </w:r>
      <w:r w:rsidR="00402FE7" w:rsidRPr="00B813C0">
        <w:rPr>
          <w:sz w:val="20"/>
          <w:szCs w:val="20"/>
        </w:rPr>
        <w:t xml:space="preserve"> </w:t>
      </w:r>
      <w:r w:rsidR="00B813C0">
        <w:rPr>
          <w:sz w:val="20"/>
          <w:szCs w:val="20"/>
        </w:rPr>
        <w:t>context</w:t>
      </w:r>
      <w:r w:rsidR="00402FE7" w:rsidRPr="00B813C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2D4ADA" w:rsidRPr="00B813C0">
        <w:rPr>
          <w:rFonts w:cstheme="minorHAnsi"/>
          <w:sz w:val="20"/>
          <w:szCs w:val="20"/>
        </w:rPr>
        <w:t xml:space="preserve">Alternative assessments </w:t>
      </w:r>
      <w:r w:rsidR="00B17E48" w:rsidRPr="00B813C0">
        <w:rPr>
          <w:rFonts w:cstheme="minorHAnsi"/>
          <w:sz w:val="20"/>
          <w:szCs w:val="20"/>
        </w:rPr>
        <w:t xml:space="preserve">such as </w:t>
      </w:r>
      <w:r w:rsidR="002D4ADA" w:rsidRPr="00B813C0">
        <w:rPr>
          <w:rFonts w:cstheme="minorHAnsi"/>
          <w:sz w:val="20"/>
          <w:szCs w:val="20"/>
        </w:rPr>
        <w:t xml:space="preserve">journals, interviews, portfolios, </w:t>
      </w:r>
      <w:r w:rsidR="00B17E48" w:rsidRPr="00B813C0">
        <w:rPr>
          <w:rFonts w:cstheme="minorHAnsi"/>
          <w:sz w:val="20"/>
          <w:szCs w:val="20"/>
        </w:rPr>
        <w:t>and</w:t>
      </w:r>
      <w:r w:rsidR="002D4ADA" w:rsidRPr="00B813C0">
        <w:rPr>
          <w:rFonts w:cstheme="minorHAnsi"/>
          <w:sz w:val="20"/>
          <w:szCs w:val="20"/>
        </w:rPr>
        <w:t xml:space="preserve"> presentations</w:t>
      </w:r>
      <w:r w:rsidR="00E00CB2" w:rsidRPr="00B813C0">
        <w:rPr>
          <w:rFonts w:cstheme="minorHAnsi"/>
          <w:sz w:val="20"/>
          <w:szCs w:val="20"/>
        </w:rPr>
        <w:t xml:space="preserve"> </w:t>
      </w:r>
      <w:r w:rsidR="002D4ADA" w:rsidRPr="00B813C0">
        <w:rPr>
          <w:rFonts w:cstheme="minorHAnsi"/>
          <w:sz w:val="20"/>
          <w:szCs w:val="20"/>
        </w:rPr>
        <w:t xml:space="preserve">are </w:t>
      </w:r>
      <w:r>
        <w:rPr>
          <w:rFonts w:cstheme="minorHAnsi"/>
          <w:sz w:val="20"/>
          <w:szCs w:val="20"/>
        </w:rPr>
        <w:t xml:space="preserve">also </w:t>
      </w:r>
      <w:r w:rsidR="002D4ADA" w:rsidRPr="00B813C0">
        <w:rPr>
          <w:rFonts w:cstheme="minorHAnsi"/>
          <w:sz w:val="20"/>
          <w:szCs w:val="20"/>
        </w:rPr>
        <w:t xml:space="preserve">recommended, and these </w:t>
      </w:r>
      <w:r w:rsidR="002D4ADA" w:rsidRPr="00B813C0">
        <w:rPr>
          <w:sz w:val="20"/>
          <w:szCs w:val="20"/>
        </w:rPr>
        <w:t>activities can often be individualized for various proficiency levels and student needs. It may also be useful to introduce self</w:t>
      </w:r>
      <w:r w:rsidR="00B17E48" w:rsidRPr="00B813C0">
        <w:rPr>
          <w:sz w:val="20"/>
          <w:szCs w:val="20"/>
        </w:rPr>
        <w:t>-</w:t>
      </w:r>
      <w:r w:rsidR="002D4ADA" w:rsidRPr="00B813C0">
        <w:rPr>
          <w:sz w:val="20"/>
          <w:szCs w:val="20"/>
        </w:rPr>
        <w:t>, peer, and/or collaborative assessment practices in the classroom once students have become familiar with task expectations</w:t>
      </w:r>
      <w:r w:rsidR="00292D3D" w:rsidRPr="00B813C0">
        <w:rPr>
          <w:sz w:val="20"/>
          <w:szCs w:val="20"/>
        </w:rPr>
        <w:t xml:space="preserve">, though these types of assessment should be used in combination with various other </w:t>
      </w:r>
      <w:r w:rsidR="00B62E85">
        <w:rPr>
          <w:sz w:val="20"/>
          <w:szCs w:val="20"/>
        </w:rPr>
        <w:t xml:space="preserve">classroom-based </w:t>
      </w:r>
      <w:r w:rsidR="00292D3D" w:rsidRPr="00B813C0">
        <w:rPr>
          <w:sz w:val="20"/>
          <w:szCs w:val="20"/>
        </w:rPr>
        <w:t xml:space="preserve">assessment practices to ensure an accurate understanding of student progress </w:t>
      </w:r>
      <w:r w:rsidR="00B17E48" w:rsidRPr="00B813C0">
        <w:rPr>
          <w:sz w:val="20"/>
          <w:szCs w:val="20"/>
        </w:rPr>
        <w:t>and</w:t>
      </w:r>
      <w:r w:rsidR="00292D3D" w:rsidRPr="00B813C0">
        <w:rPr>
          <w:sz w:val="20"/>
          <w:szCs w:val="20"/>
        </w:rPr>
        <w:t xml:space="preserve"> proficiency.</w:t>
      </w:r>
      <w:r w:rsidR="00292D3D" w:rsidRPr="00B813C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</w:t>
      </w:r>
      <w:r w:rsidR="00054C2C" w:rsidRPr="00B813C0">
        <w:rPr>
          <w:rFonts w:cstheme="minorHAnsi"/>
          <w:sz w:val="20"/>
          <w:szCs w:val="20"/>
        </w:rPr>
        <w:t>ultimodal approach</w:t>
      </w:r>
      <w:r>
        <w:rPr>
          <w:rFonts w:cstheme="minorHAnsi"/>
          <w:sz w:val="20"/>
          <w:szCs w:val="20"/>
        </w:rPr>
        <w:t>es</w:t>
      </w:r>
      <w:r w:rsidR="00B62E85">
        <w:rPr>
          <w:rFonts w:cstheme="minorHAnsi"/>
          <w:sz w:val="20"/>
          <w:szCs w:val="20"/>
        </w:rPr>
        <w:t xml:space="preserve"> to assessment </w:t>
      </w:r>
      <w:r>
        <w:rPr>
          <w:rFonts w:cstheme="minorHAnsi"/>
          <w:sz w:val="20"/>
          <w:szCs w:val="20"/>
        </w:rPr>
        <w:t>are important in this context, as th</w:t>
      </w:r>
      <w:r w:rsidR="00B006D5">
        <w:rPr>
          <w:rFonts w:cstheme="minorHAnsi"/>
          <w:sz w:val="20"/>
          <w:szCs w:val="20"/>
        </w:rPr>
        <w:t xml:space="preserve">ey </w:t>
      </w:r>
      <w:r>
        <w:rPr>
          <w:rFonts w:cstheme="minorHAnsi"/>
          <w:sz w:val="20"/>
          <w:szCs w:val="20"/>
        </w:rPr>
        <w:t xml:space="preserve">allow </w:t>
      </w:r>
      <w:r w:rsidR="00B62E85">
        <w:rPr>
          <w:rFonts w:cstheme="minorHAnsi"/>
          <w:sz w:val="20"/>
          <w:szCs w:val="20"/>
        </w:rPr>
        <w:t xml:space="preserve">students to demonstrate what they can do with the language in a variety of ways </w:t>
      </w:r>
      <w:r>
        <w:rPr>
          <w:rFonts w:cstheme="minorHAnsi"/>
          <w:sz w:val="20"/>
          <w:szCs w:val="20"/>
        </w:rPr>
        <w:t xml:space="preserve">(e.g., visually, orally, gesturally, etc.) based on their individual needs and preferences, thus increasing the chance for different types of learners to feel successful in the classroom. </w:t>
      </w:r>
      <w:r w:rsidR="00335794" w:rsidRPr="00B813C0">
        <w:rPr>
          <w:rFonts w:cstheme="minorHAnsi"/>
          <w:sz w:val="20"/>
          <w:szCs w:val="20"/>
        </w:rPr>
        <w:t xml:space="preserve">Teachers should </w:t>
      </w:r>
      <w:r w:rsidR="00B813C0">
        <w:rPr>
          <w:rFonts w:cstheme="minorHAnsi"/>
          <w:sz w:val="20"/>
          <w:szCs w:val="20"/>
        </w:rPr>
        <w:t xml:space="preserve">include students in </w:t>
      </w:r>
      <w:proofErr w:type="gramStart"/>
      <w:r w:rsidR="00B813C0">
        <w:rPr>
          <w:rFonts w:cstheme="minorHAnsi"/>
          <w:sz w:val="20"/>
          <w:szCs w:val="20"/>
        </w:rPr>
        <w:t>goal-setting</w:t>
      </w:r>
      <w:proofErr w:type="gramEnd"/>
      <w:r w:rsidR="00B813C0">
        <w:rPr>
          <w:rFonts w:cstheme="minorHAnsi"/>
          <w:sz w:val="20"/>
          <w:szCs w:val="20"/>
        </w:rPr>
        <w:t xml:space="preserve">, and it may be helpful to </w:t>
      </w:r>
      <w:r w:rsidR="00335794" w:rsidRPr="00B813C0">
        <w:rPr>
          <w:rFonts w:cstheme="minorHAnsi"/>
          <w:sz w:val="20"/>
          <w:szCs w:val="20"/>
        </w:rPr>
        <w:t xml:space="preserve">share rubrics </w:t>
      </w:r>
      <w:r>
        <w:rPr>
          <w:rFonts w:cstheme="minorHAnsi"/>
          <w:sz w:val="20"/>
          <w:szCs w:val="20"/>
        </w:rPr>
        <w:t xml:space="preserve">with </w:t>
      </w:r>
      <w:r w:rsidR="009E4AA0" w:rsidRPr="00B813C0">
        <w:rPr>
          <w:rFonts w:cstheme="minorHAnsi"/>
          <w:sz w:val="20"/>
          <w:szCs w:val="20"/>
        </w:rPr>
        <w:t>students</w:t>
      </w:r>
      <w:r>
        <w:rPr>
          <w:rFonts w:cstheme="minorHAnsi"/>
          <w:sz w:val="20"/>
          <w:szCs w:val="20"/>
        </w:rPr>
        <w:t xml:space="preserve"> to help them</w:t>
      </w:r>
      <w:r w:rsidR="009E4AA0" w:rsidRPr="00B813C0">
        <w:rPr>
          <w:rFonts w:cstheme="minorHAnsi"/>
          <w:sz w:val="20"/>
          <w:szCs w:val="20"/>
        </w:rPr>
        <w:t xml:space="preserve"> </w:t>
      </w:r>
      <w:r w:rsidR="00B813C0">
        <w:rPr>
          <w:rFonts w:cstheme="minorHAnsi"/>
          <w:sz w:val="20"/>
          <w:szCs w:val="20"/>
        </w:rPr>
        <w:t>internalize expectations</w:t>
      </w:r>
      <w:r w:rsidR="00335794" w:rsidRPr="00B813C0">
        <w:rPr>
          <w:rFonts w:cstheme="minorHAnsi"/>
          <w:sz w:val="20"/>
          <w:szCs w:val="20"/>
        </w:rPr>
        <w:t xml:space="preserve">. </w:t>
      </w:r>
      <w:r w:rsidR="00054C2C" w:rsidRPr="00B813C0">
        <w:rPr>
          <w:rFonts w:cstheme="minorHAnsi"/>
          <w:sz w:val="20"/>
          <w:szCs w:val="20"/>
        </w:rPr>
        <w:t>Expectations and objectives should also be individualized based on student need</w:t>
      </w:r>
      <w:r w:rsidR="00B813C0">
        <w:rPr>
          <w:rFonts w:cstheme="minorHAnsi"/>
          <w:sz w:val="20"/>
          <w:szCs w:val="20"/>
        </w:rPr>
        <w:t>s and their personal learning goals</w:t>
      </w:r>
      <w:r w:rsidR="00054C2C" w:rsidRPr="00B813C0">
        <w:rPr>
          <w:rFonts w:cstheme="minorHAnsi"/>
          <w:sz w:val="20"/>
          <w:szCs w:val="20"/>
        </w:rPr>
        <w:t xml:space="preserve">. </w:t>
      </w:r>
      <w:r w:rsidR="00B17E48" w:rsidRPr="00B813C0">
        <w:rPr>
          <w:rFonts w:cstheme="minorHAnsi"/>
          <w:sz w:val="20"/>
          <w:szCs w:val="20"/>
        </w:rPr>
        <w:t xml:space="preserve">Educators </w:t>
      </w:r>
      <w:r w:rsidR="007B761A" w:rsidRPr="00B813C0">
        <w:rPr>
          <w:rFonts w:cstheme="minorHAnsi"/>
          <w:sz w:val="20"/>
          <w:szCs w:val="20"/>
        </w:rPr>
        <w:t>are encouraged to incorporate backward design into their teaching practice</w:t>
      </w:r>
      <w:r w:rsidR="002D4ADA" w:rsidRPr="00B813C0">
        <w:rPr>
          <w:rFonts w:cstheme="minorHAnsi"/>
          <w:sz w:val="20"/>
          <w:szCs w:val="20"/>
        </w:rPr>
        <w:t xml:space="preserve"> by </w:t>
      </w:r>
      <w:r w:rsidR="00342DE7" w:rsidRPr="00B813C0">
        <w:rPr>
          <w:rFonts w:cstheme="minorHAnsi"/>
          <w:sz w:val="20"/>
          <w:szCs w:val="20"/>
        </w:rPr>
        <w:t>considering</w:t>
      </w:r>
      <w:r w:rsidR="00B813C0">
        <w:rPr>
          <w:rFonts w:cstheme="minorHAnsi"/>
          <w:sz w:val="20"/>
          <w:szCs w:val="20"/>
        </w:rPr>
        <w:t xml:space="preserve"> these</w:t>
      </w:r>
      <w:r w:rsidR="00342DE7" w:rsidRPr="00B813C0">
        <w:rPr>
          <w:rFonts w:cstheme="minorHAnsi"/>
          <w:sz w:val="20"/>
          <w:szCs w:val="20"/>
        </w:rPr>
        <w:t xml:space="preserve"> learning outcomes and planning</w:t>
      </w:r>
      <w:r w:rsidR="00342DE7">
        <w:rPr>
          <w:rFonts w:cstheme="minorHAnsi"/>
        </w:rPr>
        <w:t xml:space="preserve"> </w:t>
      </w:r>
      <w:r w:rsidR="00342DE7" w:rsidRPr="00B813C0">
        <w:rPr>
          <w:rFonts w:cstheme="minorHAnsi"/>
          <w:sz w:val="20"/>
          <w:szCs w:val="20"/>
        </w:rPr>
        <w:t xml:space="preserve">for assessment before designing lessons, units, and activities. </w:t>
      </w:r>
      <w:r w:rsidR="00C1481E">
        <w:rPr>
          <w:rFonts w:cstheme="minorHAnsi"/>
          <w:sz w:val="20"/>
          <w:szCs w:val="20"/>
        </w:rPr>
        <w:br/>
      </w:r>
    </w:p>
    <w:p w14:paraId="56A520DC" w14:textId="70FDBDB6" w:rsidR="0074536F" w:rsidRPr="00C1481E" w:rsidRDefault="00C1481E" w:rsidP="00C1481E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ascii="Georgia" w:hAnsi="Georgia" w:cstheme="minorHAnsi"/>
          <w:color w:val="802B0C"/>
          <w:sz w:val="24"/>
          <w:szCs w:val="24"/>
        </w:rPr>
        <w:t>Assessment Planning Cycle</w:t>
      </w:r>
      <w:r w:rsidRPr="00B813C0">
        <w:rPr>
          <w:rFonts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5C54491D" wp14:editId="146C8BB8">
                <wp:extent cx="5715000" cy="2141220"/>
                <wp:effectExtent l="0" t="0" r="0" b="0"/>
                <wp:docPr id="3" name="Group 7" descr="A graphic of the assessment planning cycle; step 1 develop learning outcomes; step 2 assess student performance; step 3 analyze results; step 4 use results for improv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141220"/>
                          <a:chOff x="-216258" y="929433"/>
                          <a:chExt cx="4894168" cy="4365041"/>
                        </a:xfrm>
                      </wpg:grpSpPr>
                      <wps:wsp>
                        <wps:cNvPr id="11" name="Arrow: Circular 11"/>
                        <wps:cNvSpPr/>
                        <wps:spPr>
                          <a:xfrm rot="378708">
                            <a:off x="896159" y="953417"/>
                            <a:ext cx="2575094" cy="4341057"/>
                          </a:xfrm>
                          <a:prstGeom prst="circularArrow">
                            <a:avLst>
                              <a:gd name="adj1" fmla="val 4668"/>
                              <a:gd name="adj2" fmla="val 507288"/>
                              <a:gd name="adj3" fmla="val 12998932"/>
                              <a:gd name="adj4" fmla="val 17917670"/>
                              <a:gd name="adj5" fmla="val 6674"/>
                            </a:avLst>
                          </a:prstGeom>
                          <a:solidFill>
                            <a:srgbClr val="0C7580"/>
                          </a:solidFill>
                        </wps:spPr>
                        <wps:style>
                          <a:lnRef idx="0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2"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2"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wrap="square"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948818" y="929433"/>
                            <a:ext cx="2421473" cy="1131223"/>
                          </a:xfrm>
                          <a:custGeom>
                            <a:avLst/>
                            <a:gdLst>
                              <a:gd name="connsiteX0" fmla="*/ 0 w 2100359"/>
                              <a:gd name="connsiteY0" fmla="*/ 175033 h 1050179"/>
                              <a:gd name="connsiteX1" fmla="*/ 175033 w 2100359"/>
                              <a:gd name="connsiteY1" fmla="*/ 0 h 1050179"/>
                              <a:gd name="connsiteX2" fmla="*/ 1925326 w 2100359"/>
                              <a:gd name="connsiteY2" fmla="*/ 0 h 1050179"/>
                              <a:gd name="connsiteX3" fmla="*/ 2100359 w 2100359"/>
                              <a:gd name="connsiteY3" fmla="*/ 175033 h 1050179"/>
                              <a:gd name="connsiteX4" fmla="*/ 2100359 w 2100359"/>
                              <a:gd name="connsiteY4" fmla="*/ 875146 h 1050179"/>
                              <a:gd name="connsiteX5" fmla="*/ 1925326 w 2100359"/>
                              <a:gd name="connsiteY5" fmla="*/ 1050179 h 1050179"/>
                              <a:gd name="connsiteX6" fmla="*/ 175033 w 2100359"/>
                              <a:gd name="connsiteY6" fmla="*/ 1050179 h 1050179"/>
                              <a:gd name="connsiteX7" fmla="*/ 0 w 2100359"/>
                              <a:gd name="connsiteY7" fmla="*/ 875146 h 1050179"/>
                              <a:gd name="connsiteX8" fmla="*/ 0 w 2100359"/>
                              <a:gd name="connsiteY8" fmla="*/ 175033 h 10501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00359" h="1050179">
                                <a:moveTo>
                                  <a:pt x="0" y="175033"/>
                                </a:moveTo>
                                <a:cubicBezTo>
                                  <a:pt x="0" y="78365"/>
                                  <a:pt x="78365" y="0"/>
                                  <a:pt x="175033" y="0"/>
                                </a:cubicBezTo>
                                <a:lnTo>
                                  <a:pt x="1925326" y="0"/>
                                </a:lnTo>
                                <a:cubicBezTo>
                                  <a:pt x="2021994" y="0"/>
                                  <a:pt x="2100359" y="78365"/>
                                  <a:pt x="2100359" y="175033"/>
                                </a:cubicBezTo>
                                <a:lnTo>
                                  <a:pt x="2100359" y="875146"/>
                                </a:lnTo>
                                <a:cubicBezTo>
                                  <a:pt x="2100359" y="971814"/>
                                  <a:pt x="2021994" y="1050179"/>
                                  <a:pt x="1925326" y="1050179"/>
                                </a:cubicBezTo>
                                <a:lnTo>
                                  <a:pt x="175033" y="1050179"/>
                                </a:lnTo>
                                <a:cubicBezTo>
                                  <a:pt x="78365" y="1050179"/>
                                  <a:pt x="0" y="971814"/>
                                  <a:pt x="0" y="875146"/>
                                </a:cubicBezTo>
                                <a:lnTo>
                                  <a:pt x="0" y="175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58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13C648" w14:textId="42C6705A" w:rsidR="003E49F2" w:rsidRPr="005B0392" w:rsidRDefault="009F38A6" w:rsidP="009F38A6">
                              <w:pPr>
                                <w:spacing w:after="0" w:line="21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="003E49F2"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Develop learning outcomes</w:t>
                              </w:r>
                            </w:p>
                          </w:txbxContent>
                        </wps:txbx>
                        <wps:bodyPr spcFirstLastPara="0" vert="horz" wrap="square" lIns="123656" tIns="123656" rIns="123656" bIns="123656" numCol="1" spcCol="1270" anchor="ctr" anchorCtr="0"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2415564" y="2466610"/>
                            <a:ext cx="2262346" cy="1131224"/>
                          </a:xfrm>
                          <a:custGeom>
                            <a:avLst/>
                            <a:gdLst>
                              <a:gd name="connsiteX0" fmla="*/ 0 w 2100359"/>
                              <a:gd name="connsiteY0" fmla="*/ 175033 h 1050179"/>
                              <a:gd name="connsiteX1" fmla="*/ 175033 w 2100359"/>
                              <a:gd name="connsiteY1" fmla="*/ 0 h 1050179"/>
                              <a:gd name="connsiteX2" fmla="*/ 1925326 w 2100359"/>
                              <a:gd name="connsiteY2" fmla="*/ 0 h 1050179"/>
                              <a:gd name="connsiteX3" fmla="*/ 2100359 w 2100359"/>
                              <a:gd name="connsiteY3" fmla="*/ 175033 h 1050179"/>
                              <a:gd name="connsiteX4" fmla="*/ 2100359 w 2100359"/>
                              <a:gd name="connsiteY4" fmla="*/ 875146 h 1050179"/>
                              <a:gd name="connsiteX5" fmla="*/ 1925326 w 2100359"/>
                              <a:gd name="connsiteY5" fmla="*/ 1050179 h 1050179"/>
                              <a:gd name="connsiteX6" fmla="*/ 175033 w 2100359"/>
                              <a:gd name="connsiteY6" fmla="*/ 1050179 h 1050179"/>
                              <a:gd name="connsiteX7" fmla="*/ 0 w 2100359"/>
                              <a:gd name="connsiteY7" fmla="*/ 875146 h 1050179"/>
                              <a:gd name="connsiteX8" fmla="*/ 0 w 2100359"/>
                              <a:gd name="connsiteY8" fmla="*/ 175033 h 10501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00359" h="1050179">
                                <a:moveTo>
                                  <a:pt x="0" y="175033"/>
                                </a:moveTo>
                                <a:cubicBezTo>
                                  <a:pt x="0" y="78365"/>
                                  <a:pt x="78365" y="0"/>
                                  <a:pt x="175033" y="0"/>
                                </a:cubicBezTo>
                                <a:lnTo>
                                  <a:pt x="1925326" y="0"/>
                                </a:lnTo>
                                <a:cubicBezTo>
                                  <a:pt x="2021994" y="0"/>
                                  <a:pt x="2100359" y="78365"/>
                                  <a:pt x="2100359" y="175033"/>
                                </a:cubicBezTo>
                                <a:lnTo>
                                  <a:pt x="2100359" y="875146"/>
                                </a:lnTo>
                                <a:cubicBezTo>
                                  <a:pt x="2100359" y="971814"/>
                                  <a:pt x="2021994" y="1050179"/>
                                  <a:pt x="1925326" y="1050179"/>
                                </a:cubicBezTo>
                                <a:lnTo>
                                  <a:pt x="175033" y="1050179"/>
                                </a:lnTo>
                                <a:cubicBezTo>
                                  <a:pt x="78365" y="1050179"/>
                                  <a:pt x="0" y="971814"/>
                                  <a:pt x="0" y="875146"/>
                                </a:cubicBezTo>
                                <a:lnTo>
                                  <a:pt x="0" y="175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58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3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3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D6E7CE" w14:textId="2ADCD8B9" w:rsidR="003E49F2" w:rsidRPr="005B0392" w:rsidRDefault="003E49F2" w:rsidP="005B0392">
                              <w:pPr>
                                <w:spacing w:after="0" w:line="216" w:lineRule="auto"/>
                                <w:jc w:val="center"/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F38A6"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Assess student</w:t>
                              </w:r>
                              <w:r w:rsidR="009F3826"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performance</w:t>
                              </w:r>
                            </w:p>
                          </w:txbxContent>
                        </wps:txbx>
                        <wps:bodyPr spcFirstLastPara="0" vert="horz" wrap="square" lIns="123656" tIns="123656" rIns="123656" bIns="123656" numCol="1" spcCol="1270" anchor="ctr" anchorCtr="0"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1047292" y="4133842"/>
                            <a:ext cx="2295983" cy="1131224"/>
                          </a:xfrm>
                          <a:custGeom>
                            <a:avLst/>
                            <a:gdLst>
                              <a:gd name="connsiteX0" fmla="*/ 0 w 2100359"/>
                              <a:gd name="connsiteY0" fmla="*/ 175033 h 1050179"/>
                              <a:gd name="connsiteX1" fmla="*/ 175033 w 2100359"/>
                              <a:gd name="connsiteY1" fmla="*/ 0 h 1050179"/>
                              <a:gd name="connsiteX2" fmla="*/ 1925326 w 2100359"/>
                              <a:gd name="connsiteY2" fmla="*/ 0 h 1050179"/>
                              <a:gd name="connsiteX3" fmla="*/ 2100359 w 2100359"/>
                              <a:gd name="connsiteY3" fmla="*/ 175033 h 1050179"/>
                              <a:gd name="connsiteX4" fmla="*/ 2100359 w 2100359"/>
                              <a:gd name="connsiteY4" fmla="*/ 875146 h 1050179"/>
                              <a:gd name="connsiteX5" fmla="*/ 1925326 w 2100359"/>
                              <a:gd name="connsiteY5" fmla="*/ 1050179 h 1050179"/>
                              <a:gd name="connsiteX6" fmla="*/ 175033 w 2100359"/>
                              <a:gd name="connsiteY6" fmla="*/ 1050179 h 1050179"/>
                              <a:gd name="connsiteX7" fmla="*/ 0 w 2100359"/>
                              <a:gd name="connsiteY7" fmla="*/ 875146 h 1050179"/>
                              <a:gd name="connsiteX8" fmla="*/ 0 w 2100359"/>
                              <a:gd name="connsiteY8" fmla="*/ 175033 h 10501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00359" h="1050179">
                                <a:moveTo>
                                  <a:pt x="0" y="175033"/>
                                </a:moveTo>
                                <a:cubicBezTo>
                                  <a:pt x="0" y="78365"/>
                                  <a:pt x="78365" y="0"/>
                                  <a:pt x="175033" y="0"/>
                                </a:cubicBezTo>
                                <a:lnTo>
                                  <a:pt x="1925326" y="0"/>
                                </a:lnTo>
                                <a:cubicBezTo>
                                  <a:pt x="2021994" y="0"/>
                                  <a:pt x="2100359" y="78365"/>
                                  <a:pt x="2100359" y="175033"/>
                                </a:cubicBezTo>
                                <a:lnTo>
                                  <a:pt x="2100359" y="875146"/>
                                </a:lnTo>
                                <a:cubicBezTo>
                                  <a:pt x="2100359" y="971814"/>
                                  <a:pt x="2021994" y="1050179"/>
                                  <a:pt x="1925326" y="1050179"/>
                                </a:cubicBezTo>
                                <a:lnTo>
                                  <a:pt x="175033" y="1050179"/>
                                </a:lnTo>
                                <a:cubicBezTo>
                                  <a:pt x="78365" y="1050179"/>
                                  <a:pt x="0" y="971814"/>
                                  <a:pt x="0" y="875146"/>
                                </a:cubicBezTo>
                                <a:lnTo>
                                  <a:pt x="0" y="175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58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4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4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8C53F" w14:textId="2211AF1B" w:rsidR="003E49F2" w:rsidRPr="005B0392" w:rsidRDefault="003E49F2" w:rsidP="009F38A6">
                              <w:pPr>
                                <w:spacing w:after="0" w:line="216" w:lineRule="auto"/>
                                <w:jc w:val="center"/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9F38A6"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Analyze results</w:t>
                              </w:r>
                            </w:p>
                          </w:txbxContent>
                        </wps:txbx>
                        <wps:bodyPr spcFirstLastPara="0" vert="horz" wrap="square" lIns="123656" tIns="123656" rIns="123656" bIns="123656" numCol="1" spcCol="1270" anchor="ctr" anchorCtr="0"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-216258" y="2466695"/>
                            <a:ext cx="2277837" cy="1131224"/>
                          </a:xfrm>
                          <a:custGeom>
                            <a:avLst/>
                            <a:gdLst>
                              <a:gd name="connsiteX0" fmla="*/ 0 w 2100359"/>
                              <a:gd name="connsiteY0" fmla="*/ 175033 h 1050179"/>
                              <a:gd name="connsiteX1" fmla="*/ 175033 w 2100359"/>
                              <a:gd name="connsiteY1" fmla="*/ 0 h 1050179"/>
                              <a:gd name="connsiteX2" fmla="*/ 1925326 w 2100359"/>
                              <a:gd name="connsiteY2" fmla="*/ 0 h 1050179"/>
                              <a:gd name="connsiteX3" fmla="*/ 2100359 w 2100359"/>
                              <a:gd name="connsiteY3" fmla="*/ 175033 h 1050179"/>
                              <a:gd name="connsiteX4" fmla="*/ 2100359 w 2100359"/>
                              <a:gd name="connsiteY4" fmla="*/ 875146 h 1050179"/>
                              <a:gd name="connsiteX5" fmla="*/ 1925326 w 2100359"/>
                              <a:gd name="connsiteY5" fmla="*/ 1050179 h 1050179"/>
                              <a:gd name="connsiteX6" fmla="*/ 175033 w 2100359"/>
                              <a:gd name="connsiteY6" fmla="*/ 1050179 h 1050179"/>
                              <a:gd name="connsiteX7" fmla="*/ 0 w 2100359"/>
                              <a:gd name="connsiteY7" fmla="*/ 875146 h 1050179"/>
                              <a:gd name="connsiteX8" fmla="*/ 0 w 2100359"/>
                              <a:gd name="connsiteY8" fmla="*/ 175033 h 10501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00359" h="1050179">
                                <a:moveTo>
                                  <a:pt x="0" y="175033"/>
                                </a:moveTo>
                                <a:cubicBezTo>
                                  <a:pt x="0" y="78365"/>
                                  <a:pt x="78365" y="0"/>
                                  <a:pt x="175033" y="0"/>
                                </a:cubicBezTo>
                                <a:lnTo>
                                  <a:pt x="1925326" y="0"/>
                                </a:lnTo>
                                <a:cubicBezTo>
                                  <a:pt x="2021994" y="0"/>
                                  <a:pt x="2100359" y="78365"/>
                                  <a:pt x="2100359" y="175033"/>
                                </a:cubicBezTo>
                                <a:lnTo>
                                  <a:pt x="2100359" y="875146"/>
                                </a:lnTo>
                                <a:cubicBezTo>
                                  <a:pt x="2100359" y="971814"/>
                                  <a:pt x="2021994" y="1050179"/>
                                  <a:pt x="1925326" y="1050179"/>
                                </a:cubicBezTo>
                                <a:lnTo>
                                  <a:pt x="175033" y="1050179"/>
                                </a:lnTo>
                                <a:cubicBezTo>
                                  <a:pt x="78365" y="1050179"/>
                                  <a:pt x="0" y="971814"/>
                                  <a:pt x="0" y="875146"/>
                                </a:cubicBezTo>
                                <a:lnTo>
                                  <a:pt x="0" y="175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7580"/>
                          </a:solid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5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5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96C59C" w14:textId="2762FD4C" w:rsidR="003E49F2" w:rsidRPr="005B0392" w:rsidRDefault="003E49F2" w:rsidP="009F38A6">
                              <w:pPr>
                                <w:spacing w:after="0" w:line="216" w:lineRule="auto"/>
                                <w:jc w:val="center"/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9F38A6"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Use results </w:t>
                              </w:r>
                              <w:r w:rsidR="009F38A6"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for </w:t>
                              </w:r>
                              <w:r w:rsidRPr="005B0392">
                                <w:rPr>
                                  <w:rFonts w:hAnsi="Calibr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spcFirstLastPara="0" vert="horz" wrap="square" lIns="123656" tIns="123656" rIns="123656" bIns="123656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4491D" id="Group 7" o:spid="_x0000_s1027" alt="A graphic of the assessment planning cycle; step 1 develop learning outcomes; step 2 assess student performance; step 3 analyze results; step 4 use results for improvement" style="width:450pt;height:168.6pt;mso-position-horizontal-relative:char;mso-position-vertical-relative:line" coordorigin="-2162,9294" coordsize="48941,4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">
                <v:shape id="Arrow: Circular 11" o:spid="_x0000_s1028" style="position:absolute;left:8961;top:9534;width:25751;height:43410;rotation:413650fd;visibility:visible;mso-wrap-style:square;v-text-anchor:top" coordsize="2575094,434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" path="m2099942,682212v256573,429378,388650,1038710,359391,1658039c2421892,3132766,2127130,3816663,1702139,4097065,1089737,4501118,406773,3951877,182776,2875192,80020,2381276,89058,1837245,208035,1354621r-72153,-72414l314204,1193657r64287,332038l306777,1453721v-94877,437825,-99669,924125,-13482,1367968c495675,3863889,1131221,4384106,1688554,3963759v368965,-278277,621011,-914728,651489,-1645101c2363547,1755413,2252104,1201358,2034866,801429r65076,-119217xe" fillcolor="#0c7580" stroked="f">
                  <v:path arrowok="t" o:connecttype="custom" o:connectlocs="2099942,682212;2459333,2340251;1702139,4097065;182776,2875192;208035,1354621;135882,1282207;314204,1193657;378491,1525695;306777,1453721;293295,2821689;1688554,3963759;2340043,2318658;2034866,801429;2099942,682212" o:connectangles="0,0,0,0,0,0,0,0,0,0,0,0,0,0"/>
                </v:shape>
                <v:shape id="Freeform: Shape 12" o:spid="_x0000_s1029" style="position:absolute;left:9488;top:9294;width:24214;height:11312;visibility:visible;mso-wrap-style:square;v-text-anchor:middle" coordsize="2100359,1050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" adj="-11796480,,5400" path="m,175033c,78365,78365,,175033,l1925326,v96668,,175033,78365,175033,175033l2100359,875146v,96668,-78365,175033,-175033,175033l175033,1050179c78365,1050179,,971814,,875146l,175033xe" fillcolor="#0c7580" stroked="f" strokeweight="2.25pt">
                  <v:stroke joinstyle="miter"/>
                  <v:formulas/>
                  <v:path arrowok="t" o:connecttype="custom" o:connectlocs="0,188541;201793,0;2219680,0;2421473,188541;2421473,942682;2219680,1131223;201793,1131223;0,942682;0,188541" o:connectangles="0,0,0,0,0,0,0,0,0" textboxrect="0,0,2100359,1050179"/>
                  <v:textbox inset="3.43489mm,3.43489mm,3.43489mm,3.43489mm">
                    <w:txbxContent>
                      <w:p w14:paraId="2F13C648" w14:textId="42C6705A" w:rsidR="003E49F2" w:rsidRPr="005B0392" w:rsidRDefault="009F38A6" w:rsidP="009F38A6">
                        <w:pPr>
                          <w:spacing w:after="0" w:line="21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1. </w:t>
                        </w:r>
                        <w:r w:rsidR="003E49F2"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Develop learning outcomes</w:t>
                        </w:r>
                      </w:p>
                    </w:txbxContent>
                  </v:textbox>
                </v:shape>
                <v:shape id="Freeform: Shape 13" o:spid="_x0000_s1030" style="position:absolute;left:24155;top:24666;width:22624;height:11312;visibility:visible;mso-wrap-style:square;v-text-anchor:middle" coordsize="2100359,1050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" adj="-11796480,,5400" path="m,175033c,78365,78365,,175033,l1925326,v96668,,175033,78365,175033,175033l2100359,875146v,96668,-78365,175033,-175033,175033l175033,1050179c78365,1050179,,971814,,875146l,175033xe" fillcolor="#0c7580" stroked="f" strokeweight="2.25pt">
                  <v:stroke joinstyle="miter"/>
                  <v:formulas/>
                  <v:path arrowok="t" o:connecttype="custom" o:connectlocs="0,188541;188532,0;2073814,0;2262346,188541;2262346,942683;2073814,1131224;188532,1131224;0,942683;0,188541" o:connectangles="0,0,0,0,0,0,0,0,0" textboxrect="0,0,2100359,1050179"/>
                  <v:textbox inset="3.43489mm,3.43489mm,3.43489mm,3.43489mm">
                    <w:txbxContent>
                      <w:p w14:paraId="3ED6E7CE" w14:textId="2ADCD8B9" w:rsidR="003E49F2" w:rsidRPr="005B0392" w:rsidRDefault="003E49F2" w:rsidP="005B0392">
                        <w:pPr>
                          <w:spacing w:after="0" w:line="216" w:lineRule="auto"/>
                          <w:jc w:val="center"/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</w:pP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2</w:t>
                        </w:r>
                        <w:r w:rsidR="009F38A6"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Assess student</w:t>
                        </w:r>
                        <w:r w:rsidR="009F3826"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performance</w:t>
                        </w:r>
                      </w:p>
                    </w:txbxContent>
                  </v:textbox>
                </v:shape>
                <v:shape id="Freeform: Shape 14" o:spid="_x0000_s1031" style="position:absolute;left:10472;top:41338;width:22960;height:11312;visibility:visible;mso-wrap-style:square;v-text-anchor:middle" coordsize="2100359,1050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" adj="-11796480,,5400" path="m,175033c,78365,78365,,175033,l1925326,v96668,,175033,78365,175033,175033l2100359,875146v,96668,-78365,175033,-175033,175033l175033,1050179c78365,1050179,,971814,,875146l,175033xe" fillcolor="#0c7580" stroked="f" strokeweight="2.25pt">
                  <v:stroke joinstyle="miter"/>
                  <v:formulas/>
                  <v:path arrowok="t" o:connecttype="custom" o:connectlocs="0,188541;191335,0;2104648,0;2295983,188541;2295983,942683;2104648,1131224;191335,1131224;0,942683;0,188541" o:connectangles="0,0,0,0,0,0,0,0,0" textboxrect="0,0,2100359,1050179"/>
                  <v:textbox inset="3.43489mm,3.43489mm,3.43489mm,3.43489mm">
                    <w:txbxContent>
                      <w:p w14:paraId="55A8C53F" w14:textId="2211AF1B" w:rsidR="003E49F2" w:rsidRPr="005B0392" w:rsidRDefault="003E49F2" w:rsidP="009F38A6">
                        <w:pPr>
                          <w:spacing w:after="0" w:line="216" w:lineRule="auto"/>
                          <w:jc w:val="center"/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</w:pP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3</w:t>
                        </w:r>
                        <w:r w:rsidR="009F38A6"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Analyze results</w:t>
                        </w:r>
                      </w:p>
                    </w:txbxContent>
                  </v:textbox>
                </v:shape>
                <v:shape id="Freeform: Shape 15" o:spid="_x0000_s1032" style="position:absolute;left:-2162;top:24666;width:22777;height:11313;visibility:visible;mso-wrap-style:square;v-text-anchor:middle" coordsize="2100359,1050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" adj="-11796480,,5400" path="m,175033c,78365,78365,,175033,l1925326,v96668,,175033,78365,175033,175033l2100359,875146v,96668,-78365,175033,-175033,175033l175033,1050179c78365,1050179,,971814,,875146l,175033xe" fillcolor="#0c7580" stroked="f" strokeweight="2.25pt">
                  <v:stroke joinstyle="miter"/>
                  <v:formulas/>
                  <v:path arrowok="t" o:connecttype="custom" o:connectlocs="0,188541;189823,0;2088014,0;2277837,188541;2277837,942683;2088014,1131224;189823,1131224;0,942683;0,188541" o:connectangles="0,0,0,0,0,0,0,0,0" textboxrect="0,0,2100359,1050179"/>
                  <v:textbox inset="3.43489mm,3.43489mm,3.43489mm,3.43489mm">
                    <w:txbxContent>
                      <w:p w14:paraId="3796C59C" w14:textId="2762FD4C" w:rsidR="003E49F2" w:rsidRPr="005B0392" w:rsidRDefault="003E49F2" w:rsidP="009F38A6">
                        <w:pPr>
                          <w:spacing w:after="0" w:line="216" w:lineRule="auto"/>
                          <w:jc w:val="center"/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</w:pP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4</w:t>
                        </w:r>
                        <w:r w:rsidR="009F38A6"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Use results </w:t>
                        </w:r>
                        <w:r w:rsidR="009F38A6"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for </w:t>
                        </w:r>
                        <w:r w:rsidRPr="005B0392">
                          <w:rPr>
                            <w:rFonts w:hAnsi="Calibr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improvement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B61AB7" w14:textId="6A7D5D03" w:rsidR="00C804CD" w:rsidRPr="002D4ADA" w:rsidRDefault="00C804CD" w:rsidP="00EB3E2B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lastRenderedPageBreak/>
        <w:t xml:space="preserve">Assessing </w:t>
      </w:r>
      <w:r w:rsidR="00503D58">
        <w:rPr>
          <w:rFonts w:ascii="Georgia" w:hAnsi="Georgia"/>
          <w:color w:val="0C7580"/>
          <w:sz w:val="28"/>
          <w:szCs w:val="28"/>
        </w:rPr>
        <w:t xml:space="preserve">Various </w:t>
      </w:r>
      <w:r w:rsidR="00166208">
        <w:rPr>
          <w:rFonts w:ascii="Georgia" w:hAnsi="Georgia"/>
          <w:color w:val="0C7580"/>
          <w:sz w:val="28"/>
          <w:szCs w:val="28"/>
        </w:rPr>
        <w:t>Standards</w:t>
      </w:r>
    </w:p>
    <w:p w14:paraId="07B15928" w14:textId="661E4EE4" w:rsidR="00C804CD" w:rsidRDefault="00CD4134" w:rsidP="00EB3E2B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Communicati</w:t>
      </w:r>
      <w:r w:rsidR="006138AD">
        <w:rPr>
          <w:sz w:val="20"/>
          <w:szCs w:val="20"/>
        </w:rPr>
        <w:t>on</w:t>
      </w:r>
      <w:r w:rsidR="00864B1E">
        <w:rPr>
          <w:sz w:val="20"/>
          <w:szCs w:val="20"/>
        </w:rPr>
        <w:t xml:space="preserve"> standards s</w:t>
      </w:r>
      <w:r w:rsidR="00C804CD" w:rsidRPr="00B813C0">
        <w:rPr>
          <w:sz w:val="20"/>
          <w:szCs w:val="20"/>
        </w:rPr>
        <w:t>hould be assessed in an integrated, connected, and sequenced</w:t>
      </w:r>
      <w:r w:rsidR="00C804CD" w:rsidRPr="00B813C0">
        <w:rPr>
          <w:rFonts w:cstheme="minorHAnsi"/>
          <w:sz w:val="20"/>
          <w:szCs w:val="20"/>
        </w:rPr>
        <w:t xml:space="preserve"> way. One approach to assessing interpretive, interpersonal, and presentational communication is the Integrated Performance Assessment (IPA)</w:t>
      </w:r>
      <w:r w:rsidR="00C42DE7">
        <w:rPr>
          <w:rFonts w:cstheme="minorHAnsi"/>
          <w:sz w:val="20"/>
          <w:szCs w:val="20"/>
        </w:rPr>
        <w:t>,</w:t>
      </w:r>
      <w:r w:rsidR="00DF65F0">
        <w:rPr>
          <w:rStyle w:val="FootnoteReference"/>
          <w:rFonts w:cstheme="minorHAnsi"/>
          <w:sz w:val="20"/>
          <w:szCs w:val="20"/>
        </w:rPr>
        <w:footnoteReference w:id="1"/>
      </w:r>
      <w:r w:rsidR="00342DE7" w:rsidRPr="00B813C0">
        <w:rPr>
          <w:rFonts w:cstheme="minorHAnsi"/>
          <w:sz w:val="20"/>
          <w:szCs w:val="20"/>
        </w:rPr>
        <w:t xml:space="preserve"> which can be </w:t>
      </w:r>
      <w:r w:rsidR="00C804CD" w:rsidRPr="00B813C0">
        <w:rPr>
          <w:sz w:val="20"/>
          <w:szCs w:val="20"/>
        </w:rPr>
        <w:t xml:space="preserve">modified </w:t>
      </w:r>
      <w:r w:rsidR="000C3AA4">
        <w:rPr>
          <w:sz w:val="20"/>
          <w:szCs w:val="20"/>
        </w:rPr>
        <w:t xml:space="preserve">to </w:t>
      </w:r>
      <w:r w:rsidR="00864B1E">
        <w:rPr>
          <w:sz w:val="20"/>
          <w:szCs w:val="20"/>
        </w:rPr>
        <w:t>simultaneously</w:t>
      </w:r>
      <w:r w:rsidR="00C804CD" w:rsidRPr="00B813C0">
        <w:rPr>
          <w:sz w:val="20"/>
          <w:szCs w:val="20"/>
        </w:rPr>
        <w:t xml:space="preserve"> address multiple communicative modes and </w:t>
      </w:r>
      <w:r w:rsidR="00864B1E">
        <w:rPr>
          <w:sz w:val="20"/>
          <w:szCs w:val="20"/>
        </w:rPr>
        <w:t xml:space="preserve">standards. </w:t>
      </w:r>
      <w:r w:rsidR="00B813C0">
        <w:rPr>
          <w:sz w:val="20"/>
          <w:szCs w:val="20"/>
        </w:rPr>
        <w:t>This type of assessment includes</w:t>
      </w:r>
      <w:r w:rsidR="00461002" w:rsidRPr="00B813C0">
        <w:rPr>
          <w:sz w:val="20"/>
          <w:szCs w:val="20"/>
        </w:rPr>
        <w:t xml:space="preserve"> three </w:t>
      </w:r>
      <w:r>
        <w:rPr>
          <w:sz w:val="20"/>
          <w:szCs w:val="20"/>
        </w:rPr>
        <w:t>thematically connected</w:t>
      </w:r>
      <w:r w:rsidR="00B813C0">
        <w:rPr>
          <w:sz w:val="20"/>
          <w:szCs w:val="20"/>
        </w:rPr>
        <w:t xml:space="preserve"> </w:t>
      </w:r>
      <w:r w:rsidR="00461002" w:rsidRPr="00B813C0">
        <w:rPr>
          <w:sz w:val="20"/>
          <w:szCs w:val="20"/>
        </w:rPr>
        <w:t>tasks</w:t>
      </w:r>
      <w:r w:rsidR="00B813C0">
        <w:rPr>
          <w:sz w:val="20"/>
          <w:szCs w:val="20"/>
        </w:rPr>
        <w:t xml:space="preserve"> (e.g., comprehension activity, paired discussion, and presentation), each of which </w:t>
      </w:r>
      <w:r w:rsidR="00461002" w:rsidRPr="00B813C0">
        <w:rPr>
          <w:sz w:val="20"/>
          <w:szCs w:val="20"/>
        </w:rPr>
        <w:t>a</w:t>
      </w:r>
      <w:r w:rsidR="00054C2C" w:rsidRPr="00B813C0">
        <w:rPr>
          <w:sz w:val="20"/>
          <w:szCs w:val="20"/>
        </w:rPr>
        <w:t>ssess</w:t>
      </w:r>
      <w:r w:rsidR="00B813C0">
        <w:rPr>
          <w:sz w:val="20"/>
          <w:szCs w:val="20"/>
        </w:rPr>
        <w:t xml:space="preserve">es </w:t>
      </w:r>
      <w:r w:rsidR="00054C2C" w:rsidRPr="00B813C0">
        <w:rPr>
          <w:sz w:val="20"/>
          <w:szCs w:val="20"/>
        </w:rPr>
        <w:t>a different communicative mode</w:t>
      </w:r>
      <w:r w:rsidR="00B813C0">
        <w:rPr>
          <w:sz w:val="20"/>
          <w:szCs w:val="20"/>
        </w:rPr>
        <w:t xml:space="preserve">. </w:t>
      </w:r>
      <w:r w:rsidR="00342DE7" w:rsidRPr="00B813C0">
        <w:rPr>
          <w:sz w:val="20"/>
          <w:szCs w:val="20"/>
        </w:rPr>
        <w:t>I</w:t>
      </w:r>
      <w:r w:rsidR="00C804CD" w:rsidRPr="00B813C0">
        <w:rPr>
          <w:sz w:val="20"/>
          <w:szCs w:val="20"/>
        </w:rPr>
        <w:t xml:space="preserve">t </w:t>
      </w:r>
      <w:r w:rsidR="00342DE7" w:rsidRPr="00B813C0">
        <w:rPr>
          <w:sz w:val="20"/>
          <w:szCs w:val="20"/>
        </w:rPr>
        <w:t xml:space="preserve">may be </w:t>
      </w:r>
      <w:r w:rsidR="00C804CD" w:rsidRPr="00B813C0">
        <w:rPr>
          <w:sz w:val="20"/>
          <w:szCs w:val="20"/>
        </w:rPr>
        <w:t>helpful to use</w:t>
      </w:r>
      <w:r w:rsidR="00B07E33" w:rsidRPr="00B813C0">
        <w:rPr>
          <w:sz w:val="20"/>
          <w:szCs w:val="20"/>
        </w:rPr>
        <w:t xml:space="preserve"> alternative assessments</w:t>
      </w:r>
      <w:r w:rsidR="00342DE7" w:rsidRPr="00B813C0">
        <w:rPr>
          <w:sz w:val="20"/>
          <w:szCs w:val="20"/>
        </w:rPr>
        <w:t xml:space="preserve"> </w:t>
      </w:r>
      <w:r>
        <w:rPr>
          <w:sz w:val="20"/>
          <w:szCs w:val="20"/>
        </w:rPr>
        <w:t>for the</w:t>
      </w:r>
      <w:r w:rsidR="00342DE7" w:rsidRPr="00B813C0">
        <w:rPr>
          <w:sz w:val="20"/>
          <w:szCs w:val="20"/>
        </w:rPr>
        <w:t xml:space="preserve"> </w:t>
      </w:r>
      <w:r w:rsidR="00503D58" w:rsidRPr="00B813C0">
        <w:rPr>
          <w:sz w:val="20"/>
          <w:szCs w:val="20"/>
        </w:rPr>
        <w:t>C</w:t>
      </w:r>
      <w:r w:rsidR="00342DE7" w:rsidRPr="00B813C0">
        <w:rPr>
          <w:sz w:val="20"/>
          <w:szCs w:val="20"/>
        </w:rPr>
        <w:t xml:space="preserve">ultures, </w:t>
      </w:r>
      <w:r w:rsidR="00503D58" w:rsidRPr="00B813C0">
        <w:rPr>
          <w:sz w:val="20"/>
          <w:szCs w:val="20"/>
        </w:rPr>
        <w:t>C</w:t>
      </w:r>
      <w:r w:rsidR="00342DE7" w:rsidRPr="00B813C0">
        <w:rPr>
          <w:sz w:val="20"/>
          <w:szCs w:val="20"/>
        </w:rPr>
        <w:t xml:space="preserve">omparisons, </w:t>
      </w:r>
      <w:r w:rsidR="00503D58" w:rsidRPr="00B813C0">
        <w:rPr>
          <w:sz w:val="20"/>
          <w:szCs w:val="20"/>
        </w:rPr>
        <w:t>C</w:t>
      </w:r>
      <w:r w:rsidR="00342DE7" w:rsidRPr="00B813C0">
        <w:rPr>
          <w:sz w:val="20"/>
          <w:szCs w:val="20"/>
        </w:rPr>
        <w:t xml:space="preserve">onnections, and </w:t>
      </w:r>
      <w:r w:rsidR="00503D58" w:rsidRPr="00B813C0">
        <w:rPr>
          <w:sz w:val="20"/>
          <w:szCs w:val="20"/>
        </w:rPr>
        <w:t>C</w:t>
      </w:r>
      <w:r w:rsidR="00342DE7" w:rsidRPr="00B813C0">
        <w:rPr>
          <w:sz w:val="20"/>
          <w:szCs w:val="20"/>
        </w:rPr>
        <w:t xml:space="preserve">ommunities </w:t>
      </w:r>
      <w:r w:rsidR="006C2130">
        <w:rPr>
          <w:sz w:val="20"/>
          <w:szCs w:val="20"/>
        </w:rPr>
        <w:t>standards</w:t>
      </w:r>
      <w:r w:rsidR="00342DE7" w:rsidRPr="00B813C0">
        <w:rPr>
          <w:sz w:val="20"/>
          <w:szCs w:val="20"/>
        </w:rPr>
        <w:t>, and</w:t>
      </w:r>
      <w:r w:rsidR="00C804CD" w:rsidRPr="00B813C0">
        <w:rPr>
          <w:sz w:val="20"/>
          <w:szCs w:val="20"/>
        </w:rPr>
        <w:t xml:space="preserve"> learning portfolios </w:t>
      </w:r>
      <w:r w:rsidR="00342DE7" w:rsidRPr="00B813C0">
        <w:rPr>
          <w:sz w:val="20"/>
          <w:szCs w:val="20"/>
        </w:rPr>
        <w:t xml:space="preserve">comprised of various student work samples are </w:t>
      </w:r>
      <w:r w:rsidR="00864B1E">
        <w:rPr>
          <w:sz w:val="20"/>
          <w:szCs w:val="20"/>
        </w:rPr>
        <w:t>recommended</w:t>
      </w:r>
      <w:r w:rsidR="00342DE7" w:rsidRPr="00B813C0">
        <w:rPr>
          <w:sz w:val="20"/>
          <w:szCs w:val="20"/>
        </w:rPr>
        <w:t xml:space="preserve"> for this type of assessment</w:t>
      </w:r>
      <w:r w:rsidR="00C804CD" w:rsidRPr="00B813C0">
        <w:rPr>
          <w:sz w:val="20"/>
          <w:szCs w:val="20"/>
        </w:rPr>
        <w:t xml:space="preserve">. </w:t>
      </w:r>
      <w:r w:rsidR="00342DE7" w:rsidRPr="00B813C0">
        <w:rPr>
          <w:sz w:val="20"/>
          <w:szCs w:val="20"/>
        </w:rPr>
        <w:t>Educators can also use</w:t>
      </w:r>
      <w:r w:rsidR="00C804CD" w:rsidRPr="00B813C0">
        <w:rPr>
          <w:sz w:val="20"/>
          <w:szCs w:val="20"/>
        </w:rPr>
        <w:t xml:space="preserve"> reflections and evaluations to find out how effectively students prepare for, participate in, and critically engage with learning experiences involving communities where the target language is spoken.</w:t>
      </w:r>
      <w:r w:rsidR="00C804CD" w:rsidRPr="00B813C0">
        <w:rPr>
          <w:rFonts w:cstheme="minorHAnsi"/>
          <w:sz w:val="20"/>
          <w:szCs w:val="20"/>
        </w:rPr>
        <w:t xml:space="preserve"> </w:t>
      </w:r>
      <w:r w:rsidR="00C804CD" w:rsidRPr="00B813C0">
        <w:rPr>
          <w:sz w:val="20"/>
          <w:szCs w:val="20"/>
        </w:rPr>
        <w:t xml:space="preserve">In addition, students can be encouraged to compare their attitudes before, during, and after working on social justice projects, as this process can provide evidence of students’ progress </w:t>
      </w:r>
      <w:r>
        <w:rPr>
          <w:sz w:val="20"/>
          <w:szCs w:val="20"/>
        </w:rPr>
        <w:t xml:space="preserve">in </w:t>
      </w:r>
      <w:r w:rsidR="00864B1E">
        <w:rPr>
          <w:sz w:val="20"/>
          <w:szCs w:val="20"/>
        </w:rPr>
        <w:t>developing var</w:t>
      </w:r>
      <w:r w:rsidR="009B6CAB">
        <w:rPr>
          <w:sz w:val="20"/>
          <w:szCs w:val="20"/>
        </w:rPr>
        <w:t>ious</w:t>
      </w:r>
      <w:r w:rsidR="00C804CD" w:rsidRPr="00B813C0">
        <w:rPr>
          <w:sz w:val="20"/>
          <w:szCs w:val="20"/>
        </w:rPr>
        <w:t xml:space="preserve"> </w:t>
      </w:r>
      <w:r w:rsidR="00D727EC" w:rsidRPr="00B813C0">
        <w:rPr>
          <w:sz w:val="20"/>
          <w:szCs w:val="20"/>
        </w:rPr>
        <w:t xml:space="preserve">lifelong learning practices. </w:t>
      </w:r>
    </w:p>
    <w:p w14:paraId="44E45F80" w14:textId="77777777" w:rsidR="00EB3E2B" w:rsidRPr="00B813C0" w:rsidRDefault="00EB3E2B" w:rsidP="00EB3E2B">
      <w:pPr>
        <w:spacing w:after="0"/>
        <w:rPr>
          <w:rFonts w:cstheme="minorHAnsi"/>
          <w:sz w:val="20"/>
          <w:szCs w:val="20"/>
        </w:rPr>
      </w:pPr>
    </w:p>
    <w:p w14:paraId="6DFA276D" w14:textId="4280AC1E" w:rsidR="00413610" w:rsidRDefault="00483961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Technology and </w:t>
      </w:r>
      <w:r w:rsidR="001A1750">
        <w:rPr>
          <w:rFonts w:ascii="Georgia" w:hAnsi="Georgia"/>
          <w:color w:val="0C7580"/>
          <w:sz w:val="28"/>
          <w:szCs w:val="28"/>
        </w:rPr>
        <w:t>Assessment Practices</w:t>
      </w:r>
    </w:p>
    <w:p w14:paraId="304503BD" w14:textId="39A704E6" w:rsidR="00EB3E2B" w:rsidRDefault="0048030D" w:rsidP="00EB3E2B">
      <w:p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B813C0">
        <w:rPr>
          <w:sz w:val="20"/>
          <w:szCs w:val="20"/>
        </w:rPr>
        <w:t>hen conducting technology-enabled assessments</w:t>
      </w:r>
      <w:r>
        <w:rPr>
          <w:sz w:val="20"/>
          <w:szCs w:val="20"/>
        </w:rPr>
        <w:t>,</w:t>
      </w:r>
      <w:r w:rsidRPr="00B813C0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C804CD" w:rsidRPr="00B813C0">
        <w:rPr>
          <w:sz w:val="20"/>
          <w:szCs w:val="20"/>
        </w:rPr>
        <w:t>ducators should continue to follow best practices for traditional world language assessment</w:t>
      </w:r>
      <w:r w:rsidR="00864B1E">
        <w:rPr>
          <w:sz w:val="20"/>
          <w:szCs w:val="20"/>
        </w:rPr>
        <w:t>,</w:t>
      </w:r>
      <w:r w:rsidR="00C804CD" w:rsidRPr="00B813C0">
        <w:rPr>
          <w:sz w:val="20"/>
          <w:szCs w:val="20"/>
        </w:rPr>
        <w:t xml:space="preserve"> </w:t>
      </w:r>
      <w:r w:rsidR="00D727EC" w:rsidRPr="00B813C0">
        <w:rPr>
          <w:sz w:val="20"/>
          <w:szCs w:val="20"/>
        </w:rPr>
        <w:t>including</w:t>
      </w:r>
      <w:r w:rsidR="00C804CD" w:rsidRPr="00B813C0">
        <w:rPr>
          <w:sz w:val="20"/>
          <w:szCs w:val="20"/>
        </w:rPr>
        <w:t xml:space="preserve"> backward design, goal-setting, </w:t>
      </w:r>
      <w:r w:rsidR="00D727EC" w:rsidRPr="00B813C0">
        <w:rPr>
          <w:sz w:val="20"/>
          <w:szCs w:val="20"/>
        </w:rPr>
        <w:t xml:space="preserve">and </w:t>
      </w:r>
      <w:r w:rsidR="00C804CD" w:rsidRPr="00B813C0">
        <w:rPr>
          <w:sz w:val="20"/>
          <w:szCs w:val="20"/>
        </w:rPr>
        <w:t xml:space="preserve">individualizing expectations. </w:t>
      </w:r>
      <w:r w:rsidR="00D727EC" w:rsidRPr="00B813C0">
        <w:rPr>
          <w:sz w:val="20"/>
          <w:szCs w:val="20"/>
        </w:rPr>
        <w:t>Educators</w:t>
      </w:r>
      <w:r w:rsidR="00C804CD" w:rsidRPr="00B813C0">
        <w:rPr>
          <w:sz w:val="20"/>
          <w:szCs w:val="20"/>
        </w:rPr>
        <w:t xml:space="preserve"> should make sure </w:t>
      </w:r>
      <w:r w:rsidR="007C5DBD">
        <w:rPr>
          <w:sz w:val="20"/>
          <w:szCs w:val="20"/>
        </w:rPr>
        <w:t xml:space="preserve">online </w:t>
      </w:r>
      <w:r w:rsidR="00C804CD" w:rsidRPr="00B813C0">
        <w:rPr>
          <w:sz w:val="20"/>
          <w:szCs w:val="20"/>
        </w:rPr>
        <w:t xml:space="preserve">assessment platforms, applications, </w:t>
      </w:r>
      <w:r>
        <w:rPr>
          <w:sz w:val="20"/>
          <w:szCs w:val="20"/>
        </w:rPr>
        <w:t>and</w:t>
      </w:r>
      <w:r w:rsidR="00C804CD" w:rsidRPr="00B813C0">
        <w:rPr>
          <w:sz w:val="20"/>
          <w:szCs w:val="20"/>
        </w:rPr>
        <w:t xml:space="preserve"> resources are not frustrating for students to use, thus limiting their ability to show what they can truly do with the language.</w:t>
      </w:r>
      <w:r w:rsidR="00E008F2" w:rsidRPr="00B813C0">
        <w:rPr>
          <w:sz w:val="20"/>
          <w:szCs w:val="20"/>
        </w:rPr>
        <w:t xml:space="preserve"> Numerous </w:t>
      </w:r>
      <w:r w:rsidR="007C5DBD">
        <w:rPr>
          <w:sz w:val="20"/>
          <w:szCs w:val="20"/>
        </w:rPr>
        <w:t>technology-based</w:t>
      </w:r>
      <w:r w:rsidR="00E008F2" w:rsidRPr="00B813C0">
        <w:rPr>
          <w:sz w:val="20"/>
          <w:szCs w:val="20"/>
        </w:rPr>
        <w:t xml:space="preserve"> learning tools are particularly well suited for world language</w:t>
      </w:r>
      <w:r>
        <w:rPr>
          <w:sz w:val="20"/>
          <w:szCs w:val="20"/>
        </w:rPr>
        <w:t xml:space="preserve"> instruction and</w:t>
      </w:r>
      <w:r w:rsidR="00E008F2" w:rsidRPr="00B813C0">
        <w:rPr>
          <w:sz w:val="20"/>
          <w:szCs w:val="20"/>
        </w:rPr>
        <w:t xml:space="preserve"> assessment</w:t>
      </w:r>
      <w:r w:rsidR="00864B1E">
        <w:rPr>
          <w:sz w:val="20"/>
          <w:szCs w:val="20"/>
        </w:rPr>
        <w:t xml:space="preserve"> due to their ability to connect students to authentic materials and target language-speaking communities around the world.</w:t>
      </w:r>
      <w:r w:rsidR="007C5DBD">
        <w:rPr>
          <w:sz w:val="20"/>
          <w:szCs w:val="20"/>
        </w:rPr>
        <w:t xml:space="preserve"> It </w:t>
      </w:r>
      <w:r w:rsidR="00E008F2" w:rsidRPr="00B813C0">
        <w:rPr>
          <w:sz w:val="20"/>
          <w:szCs w:val="20"/>
        </w:rPr>
        <w:t xml:space="preserve">may be helpful to explore online discussion boards, videos, articles, voice-recording software, conversation exchange websites, and media archives with audio samples in the target language </w:t>
      </w:r>
      <w:r w:rsidR="007C5DBD">
        <w:rPr>
          <w:sz w:val="20"/>
          <w:szCs w:val="20"/>
        </w:rPr>
        <w:t>for assessment purposes, especially when</w:t>
      </w:r>
      <w:r w:rsidR="00E008F2" w:rsidRPr="00B813C0">
        <w:rPr>
          <w:sz w:val="20"/>
          <w:szCs w:val="20"/>
        </w:rPr>
        <w:t xml:space="preserve"> </w:t>
      </w:r>
      <w:r w:rsidR="007C5DBD">
        <w:rPr>
          <w:sz w:val="20"/>
          <w:szCs w:val="20"/>
        </w:rPr>
        <w:t>administering virtual assessments to students who are learning the language remotely.</w:t>
      </w:r>
    </w:p>
    <w:p w14:paraId="5773AB78" w14:textId="77777777" w:rsidR="004064D1" w:rsidRDefault="004064D1" w:rsidP="00EB3E2B">
      <w:pPr>
        <w:spacing w:after="0"/>
        <w:rPr>
          <w:sz w:val="20"/>
          <w:szCs w:val="20"/>
        </w:rPr>
      </w:pPr>
    </w:p>
    <w:p w14:paraId="310DC4BC" w14:textId="3F657B28" w:rsidR="00E4426A" w:rsidRPr="00864B1E" w:rsidRDefault="004064D1" w:rsidP="00EB3E2B">
      <w:pPr>
        <w:spacing w:after="0"/>
        <w:rPr>
          <w:sz w:val="20"/>
          <w:szCs w:val="20"/>
        </w:rPr>
      </w:pPr>
      <w:r>
        <w:rPr>
          <w:rFonts w:ascii="Georgia" w:hAnsi="Georgia"/>
          <w:color w:val="0C7580"/>
          <w:sz w:val="28"/>
          <w:szCs w:val="28"/>
        </w:rPr>
        <w:t>Recommendations for Assessment</w:t>
      </w:r>
    </w:p>
    <w:p w14:paraId="634A2D73" w14:textId="04DEEA46" w:rsidR="00EB3E2B" w:rsidRPr="00EB3E2B" w:rsidRDefault="00EB3E2B" w:rsidP="00EB3E2B">
      <w:pPr>
        <w:spacing w:after="0" w:line="240" w:lineRule="auto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noProof/>
          <w:color w:val="0C7580"/>
          <w:sz w:val="28"/>
          <w:szCs w:val="28"/>
        </w:rPr>
        <mc:AlternateContent>
          <mc:Choice Requires="wps">
            <w:drawing>
              <wp:inline distT="0" distB="0" distL="0" distR="0" wp14:anchorId="2F7F32B3" wp14:editId="7B33D6DE">
                <wp:extent cx="5924550" cy="30099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0990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0FE33" w14:textId="56AE26B5" w:rsidR="00D374D5" w:rsidRPr="007C5DBD" w:rsidRDefault="00D374D5" w:rsidP="00B07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 xml:space="preserve">Use proficiency-based performance assessments </w:t>
                            </w:r>
                            <w:r w:rsidR="0048030D">
                              <w:rPr>
                                <w:sz w:val="20"/>
                                <w:szCs w:val="20"/>
                              </w:rPr>
                              <w:t>tied to world language content standards</w:t>
                            </w:r>
                          </w:p>
                          <w:p w14:paraId="4AFD7F8A" w14:textId="500646B1" w:rsidR="00D374D5" w:rsidRPr="007C5DBD" w:rsidRDefault="00292D3D" w:rsidP="00B07E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Consider students’ age, developmental, and proficiency levels when developing</w:t>
                            </w:r>
                            <w:r w:rsidR="0048030D">
                              <w:rPr>
                                <w:sz w:val="20"/>
                                <w:szCs w:val="20"/>
                              </w:rPr>
                              <w:t xml:space="preserve"> assessment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 xml:space="preserve"> tasks</w:t>
                            </w:r>
                          </w:p>
                          <w:p w14:paraId="175CE586" w14:textId="5944EA99" w:rsidR="00D374D5" w:rsidRPr="007C5DBD" w:rsidRDefault="00D374D5" w:rsidP="00D374D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Use multimodal approaches that allow multiple ways for students to show what they know</w:t>
                            </w:r>
                          </w:p>
                          <w:p w14:paraId="7ECB18A4" w14:textId="79FE3D50" w:rsidR="003823D9" w:rsidRPr="007C5DBD" w:rsidRDefault="00D374D5" w:rsidP="009B4A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Give students</w:t>
                            </w:r>
                            <w:r w:rsidR="0074536F" w:rsidRPr="007C5DBD">
                              <w:rPr>
                                <w:sz w:val="20"/>
                                <w:szCs w:val="20"/>
                              </w:rPr>
                              <w:t xml:space="preserve"> opportunities to feel successful 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="0074536F" w:rsidRPr="007C5DBD">
                              <w:rPr>
                                <w:sz w:val="20"/>
                                <w:szCs w:val="20"/>
                              </w:rPr>
                              <w:t xml:space="preserve"> a variety of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 xml:space="preserve"> assessment methods</w:t>
                            </w:r>
                          </w:p>
                          <w:p w14:paraId="54F1043C" w14:textId="451FD4B8" w:rsidR="00292D3D" w:rsidRPr="007C5DBD" w:rsidRDefault="00292D3D" w:rsidP="009B4A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Support students in internalizing expectations and developing appropriate learning goals</w:t>
                            </w:r>
                          </w:p>
                          <w:p w14:paraId="40E7E860" w14:textId="77777777" w:rsidR="00C729CC" w:rsidRPr="007C5DBD" w:rsidRDefault="00D374D5" w:rsidP="00C729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Connect the assessment of different modes of communication through a central theme</w:t>
                            </w:r>
                          </w:p>
                          <w:p w14:paraId="1DC09AC3" w14:textId="77777777" w:rsidR="00C729CC" w:rsidRPr="007C5DBD" w:rsidRDefault="00D374D5" w:rsidP="00C729C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For interpretive communication, ask students comprehension questions based on something they have read or listened to in class</w:t>
                            </w:r>
                          </w:p>
                          <w:p w14:paraId="08590C64" w14:textId="38CF97CA" w:rsidR="00C729CC" w:rsidRPr="007C5DBD" w:rsidRDefault="00D374D5" w:rsidP="00C729C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For interpersonal communication, engage students in paired discussions of the same content from the previous ta</w:t>
                            </w:r>
                            <w:r w:rsidR="00C729CC" w:rsidRPr="007C5DBD">
                              <w:rPr>
                                <w:sz w:val="20"/>
                                <w:szCs w:val="20"/>
                              </w:rPr>
                              <w:t>sk</w:t>
                            </w:r>
                          </w:p>
                          <w:p w14:paraId="16F0B4DB" w14:textId="30BA6695" w:rsidR="00932A8C" w:rsidRPr="007C5DBD" w:rsidRDefault="00D374D5" w:rsidP="00C729C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For presentational communication, encourage students to give presentations based on a synthesis of information gathered when completing the previous tasks</w:t>
                            </w:r>
                          </w:p>
                          <w:p w14:paraId="52F18D5D" w14:textId="6902B7BF" w:rsidR="00C729CC" w:rsidRPr="007C5DBD" w:rsidRDefault="00503D58" w:rsidP="00C729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Assess</w:t>
                            </w:r>
                            <w:r w:rsidR="00C729CC" w:rsidRPr="007C5DBD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C729CC" w:rsidRPr="007C5DBD">
                              <w:rPr>
                                <w:sz w:val="20"/>
                                <w:szCs w:val="20"/>
                              </w:rPr>
                              <w:t xml:space="preserve">ultures, 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C729CC" w:rsidRPr="007C5DBD">
                              <w:rPr>
                                <w:sz w:val="20"/>
                                <w:szCs w:val="20"/>
                              </w:rPr>
                              <w:t xml:space="preserve">omparisons, 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C729CC" w:rsidRPr="007C5DBD">
                              <w:rPr>
                                <w:sz w:val="20"/>
                                <w:szCs w:val="20"/>
                              </w:rPr>
                              <w:t xml:space="preserve">onnections, and 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C729CC" w:rsidRPr="007C5DBD">
                              <w:rPr>
                                <w:sz w:val="20"/>
                                <w:szCs w:val="20"/>
                              </w:rPr>
                              <w:t xml:space="preserve">ommunities </w:t>
                            </w:r>
                            <w:r w:rsidR="00166208">
                              <w:rPr>
                                <w:sz w:val="20"/>
                                <w:szCs w:val="20"/>
                              </w:rPr>
                              <w:t>standards</w:t>
                            </w:r>
                            <w:r w:rsidR="00461002" w:rsidRPr="007C5D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 xml:space="preserve">via </w:t>
                            </w:r>
                            <w:r w:rsidR="00A42B31">
                              <w:rPr>
                                <w:sz w:val="20"/>
                                <w:szCs w:val="20"/>
                              </w:rPr>
                              <w:t>student portfolios</w:t>
                            </w:r>
                          </w:p>
                          <w:p w14:paraId="4008E904" w14:textId="424E26F0" w:rsidR="00932A8C" w:rsidRPr="007C5DBD" w:rsidRDefault="00503D58" w:rsidP="00932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Take opportunities to</w:t>
                            </w:r>
                            <w:r w:rsidR="00932A8C" w:rsidRPr="007C5DBD">
                              <w:rPr>
                                <w:sz w:val="20"/>
                                <w:szCs w:val="20"/>
                              </w:rPr>
                              <w:t xml:space="preserve"> grow your </w:t>
                            </w:r>
                            <w:r w:rsidR="00D374D5" w:rsidRPr="007C5DBD">
                              <w:rPr>
                                <w:sz w:val="20"/>
                                <w:szCs w:val="20"/>
                              </w:rPr>
                              <w:t xml:space="preserve">language </w:t>
                            </w:r>
                            <w:r w:rsidR="00932A8C" w:rsidRPr="007C5DBD">
                              <w:rPr>
                                <w:sz w:val="20"/>
                                <w:szCs w:val="20"/>
                              </w:rPr>
                              <w:t>assessment literacy</w:t>
                            </w:r>
                            <w:r w:rsidR="00C729CC" w:rsidRPr="007C5D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5DBD">
                              <w:rPr>
                                <w:sz w:val="20"/>
                                <w:szCs w:val="20"/>
                              </w:rPr>
                              <w:t xml:space="preserve">and knowledge of trends </w:t>
                            </w:r>
                            <w:r w:rsidR="00A42B31">
                              <w:rPr>
                                <w:sz w:val="20"/>
                                <w:szCs w:val="20"/>
                              </w:rPr>
                              <w:t>through</w:t>
                            </w:r>
                          </w:p>
                          <w:p w14:paraId="0986D18F" w14:textId="77777777" w:rsidR="00503D58" w:rsidRPr="007C5DBD" w:rsidRDefault="00503D58" w:rsidP="00503D58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5DBD">
                              <w:rPr>
                                <w:sz w:val="20"/>
                                <w:szCs w:val="20"/>
                              </w:rPr>
                              <w:t>Professional development offerings, conferences, and workshops</w:t>
                            </w:r>
                          </w:p>
                          <w:p w14:paraId="44301E62" w14:textId="124B8886" w:rsidR="00EF64F0" w:rsidRPr="006138AD" w:rsidRDefault="00503D58" w:rsidP="003823D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38A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Online courses, publications, and other resources from test publishers and institutions such as </w:t>
                            </w:r>
                            <w:hyperlink r:id="rId12" w:history="1">
                              <w:r w:rsidRPr="006138AD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</w:rPr>
                                <w:t>Title VI Language Resource Centers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F32B3" id="Rectangle 5" o:spid="_x0000_s1033" style="width:466.5pt;height:2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" fillcolor="#0c7580" stroked="f" strokeweight="2pt">
                <v:textbox>
                  <w:txbxContent>
                    <w:p w14:paraId="10E0FE33" w14:textId="56AE26B5" w:rsidR="00D374D5" w:rsidRPr="007C5DBD" w:rsidRDefault="00D374D5" w:rsidP="00B07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 xml:space="preserve">Use proficiency-based performance assessments </w:t>
                      </w:r>
                      <w:r w:rsidR="0048030D">
                        <w:rPr>
                          <w:sz w:val="20"/>
                          <w:szCs w:val="20"/>
                        </w:rPr>
                        <w:t>tied to world language content standards</w:t>
                      </w:r>
                    </w:p>
                    <w:p w14:paraId="4AFD7F8A" w14:textId="500646B1" w:rsidR="00D374D5" w:rsidRPr="007C5DBD" w:rsidRDefault="00292D3D" w:rsidP="00B07E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Consider students’ age, developmental, and proficiency levels when developing</w:t>
                      </w:r>
                      <w:r w:rsidR="0048030D">
                        <w:rPr>
                          <w:sz w:val="20"/>
                          <w:szCs w:val="20"/>
                        </w:rPr>
                        <w:t xml:space="preserve"> assessment</w:t>
                      </w:r>
                      <w:r w:rsidRPr="007C5DBD">
                        <w:rPr>
                          <w:sz w:val="20"/>
                          <w:szCs w:val="20"/>
                        </w:rPr>
                        <w:t xml:space="preserve"> tasks</w:t>
                      </w:r>
                    </w:p>
                    <w:p w14:paraId="175CE586" w14:textId="5944EA99" w:rsidR="00D374D5" w:rsidRPr="007C5DBD" w:rsidRDefault="00D374D5" w:rsidP="00D374D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Use multimodal approaches that allow multiple ways for students to show what they know</w:t>
                      </w:r>
                    </w:p>
                    <w:p w14:paraId="7ECB18A4" w14:textId="79FE3D50" w:rsidR="003823D9" w:rsidRPr="007C5DBD" w:rsidRDefault="00D374D5" w:rsidP="009B4A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Give students</w:t>
                      </w:r>
                      <w:r w:rsidR="0074536F" w:rsidRPr="007C5DBD">
                        <w:rPr>
                          <w:sz w:val="20"/>
                          <w:szCs w:val="20"/>
                        </w:rPr>
                        <w:t xml:space="preserve"> opportunities to feel successful </w:t>
                      </w:r>
                      <w:r w:rsidRPr="007C5DBD">
                        <w:rPr>
                          <w:sz w:val="20"/>
                          <w:szCs w:val="20"/>
                        </w:rPr>
                        <w:t>with</w:t>
                      </w:r>
                      <w:r w:rsidR="0074536F" w:rsidRPr="007C5DBD">
                        <w:rPr>
                          <w:sz w:val="20"/>
                          <w:szCs w:val="20"/>
                        </w:rPr>
                        <w:t xml:space="preserve"> a variety of</w:t>
                      </w:r>
                      <w:r w:rsidRPr="007C5DBD">
                        <w:rPr>
                          <w:sz w:val="20"/>
                          <w:szCs w:val="20"/>
                        </w:rPr>
                        <w:t xml:space="preserve"> assessment methods</w:t>
                      </w:r>
                    </w:p>
                    <w:p w14:paraId="54F1043C" w14:textId="451FD4B8" w:rsidR="00292D3D" w:rsidRPr="007C5DBD" w:rsidRDefault="00292D3D" w:rsidP="009B4A3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Support students in internalizing expectations and developing appropriate learning goals</w:t>
                      </w:r>
                    </w:p>
                    <w:p w14:paraId="40E7E860" w14:textId="77777777" w:rsidR="00C729CC" w:rsidRPr="007C5DBD" w:rsidRDefault="00D374D5" w:rsidP="00C729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Connect the assessment of different modes of communication through a central theme</w:t>
                      </w:r>
                    </w:p>
                    <w:p w14:paraId="1DC09AC3" w14:textId="77777777" w:rsidR="00C729CC" w:rsidRPr="007C5DBD" w:rsidRDefault="00D374D5" w:rsidP="00C729C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For interpretive communication, ask students comprehension questions based on something they have read or listened to in class</w:t>
                      </w:r>
                    </w:p>
                    <w:p w14:paraId="08590C64" w14:textId="38CF97CA" w:rsidR="00C729CC" w:rsidRPr="007C5DBD" w:rsidRDefault="00D374D5" w:rsidP="00C729C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For interpersonal communication, engage students in paired discussions of the same content from the previous ta</w:t>
                      </w:r>
                      <w:r w:rsidR="00C729CC" w:rsidRPr="007C5DBD">
                        <w:rPr>
                          <w:sz w:val="20"/>
                          <w:szCs w:val="20"/>
                        </w:rPr>
                        <w:t>sk</w:t>
                      </w:r>
                    </w:p>
                    <w:p w14:paraId="16F0B4DB" w14:textId="30BA6695" w:rsidR="00932A8C" w:rsidRPr="007C5DBD" w:rsidRDefault="00D374D5" w:rsidP="00C729C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For presentational communication, encourage students to give presentations based on a synthesis of information gathered when completing the previous tasks</w:t>
                      </w:r>
                    </w:p>
                    <w:p w14:paraId="52F18D5D" w14:textId="6902B7BF" w:rsidR="00C729CC" w:rsidRPr="007C5DBD" w:rsidRDefault="00503D58" w:rsidP="00C729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Assess</w:t>
                      </w:r>
                      <w:r w:rsidR="00C729CC" w:rsidRPr="007C5DBD">
                        <w:rPr>
                          <w:sz w:val="20"/>
                          <w:szCs w:val="20"/>
                        </w:rPr>
                        <w:t xml:space="preserve"> the </w:t>
                      </w:r>
                      <w:r w:rsidRPr="007C5DBD">
                        <w:rPr>
                          <w:sz w:val="20"/>
                          <w:szCs w:val="20"/>
                        </w:rPr>
                        <w:t>C</w:t>
                      </w:r>
                      <w:r w:rsidR="00C729CC" w:rsidRPr="007C5DBD">
                        <w:rPr>
                          <w:sz w:val="20"/>
                          <w:szCs w:val="20"/>
                        </w:rPr>
                        <w:t xml:space="preserve">ultures, </w:t>
                      </w:r>
                      <w:r w:rsidRPr="007C5DBD">
                        <w:rPr>
                          <w:sz w:val="20"/>
                          <w:szCs w:val="20"/>
                        </w:rPr>
                        <w:t>C</w:t>
                      </w:r>
                      <w:r w:rsidR="00C729CC" w:rsidRPr="007C5DBD">
                        <w:rPr>
                          <w:sz w:val="20"/>
                          <w:szCs w:val="20"/>
                        </w:rPr>
                        <w:t xml:space="preserve">omparisons, </w:t>
                      </w:r>
                      <w:r w:rsidRPr="007C5DBD">
                        <w:rPr>
                          <w:sz w:val="20"/>
                          <w:szCs w:val="20"/>
                        </w:rPr>
                        <w:t>C</w:t>
                      </w:r>
                      <w:r w:rsidR="00C729CC" w:rsidRPr="007C5DBD">
                        <w:rPr>
                          <w:sz w:val="20"/>
                          <w:szCs w:val="20"/>
                        </w:rPr>
                        <w:t xml:space="preserve">onnections, and </w:t>
                      </w:r>
                      <w:r w:rsidRPr="007C5DBD">
                        <w:rPr>
                          <w:sz w:val="20"/>
                          <w:szCs w:val="20"/>
                        </w:rPr>
                        <w:t>C</w:t>
                      </w:r>
                      <w:r w:rsidR="00C729CC" w:rsidRPr="007C5DBD">
                        <w:rPr>
                          <w:sz w:val="20"/>
                          <w:szCs w:val="20"/>
                        </w:rPr>
                        <w:t xml:space="preserve">ommunities </w:t>
                      </w:r>
                      <w:r w:rsidR="00166208">
                        <w:rPr>
                          <w:sz w:val="20"/>
                          <w:szCs w:val="20"/>
                        </w:rPr>
                        <w:t>standards</w:t>
                      </w:r>
                      <w:r w:rsidR="00461002" w:rsidRPr="007C5D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5DBD">
                        <w:rPr>
                          <w:sz w:val="20"/>
                          <w:szCs w:val="20"/>
                        </w:rPr>
                        <w:t xml:space="preserve">via </w:t>
                      </w:r>
                      <w:r w:rsidR="00A42B31">
                        <w:rPr>
                          <w:sz w:val="20"/>
                          <w:szCs w:val="20"/>
                        </w:rPr>
                        <w:t>student portfolios</w:t>
                      </w:r>
                    </w:p>
                    <w:p w14:paraId="4008E904" w14:textId="424E26F0" w:rsidR="00932A8C" w:rsidRPr="007C5DBD" w:rsidRDefault="00503D58" w:rsidP="00932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Take opportunities to</w:t>
                      </w:r>
                      <w:r w:rsidR="00932A8C" w:rsidRPr="007C5DBD">
                        <w:rPr>
                          <w:sz w:val="20"/>
                          <w:szCs w:val="20"/>
                        </w:rPr>
                        <w:t xml:space="preserve"> grow your </w:t>
                      </w:r>
                      <w:r w:rsidR="00D374D5" w:rsidRPr="007C5DBD">
                        <w:rPr>
                          <w:sz w:val="20"/>
                          <w:szCs w:val="20"/>
                        </w:rPr>
                        <w:t xml:space="preserve">language </w:t>
                      </w:r>
                      <w:r w:rsidR="00932A8C" w:rsidRPr="007C5DBD">
                        <w:rPr>
                          <w:sz w:val="20"/>
                          <w:szCs w:val="20"/>
                        </w:rPr>
                        <w:t>assessment literacy</w:t>
                      </w:r>
                      <w:r w:rsidR="00C729CC" w:rsidRPr="007C5DB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5DBD">
                        <w:rPr>
                          <w:sz w:val="20"/>
                          <w:szCs w:val="20"/>
                        </w:rPr>
                        <w:t xml:space="preserve">and knowledge of trends </w:t>
                      </w:r>
                      <w:r w:rsidR="00A42B31">
                        <w:rPr>
                          <w:sz w:val="20"/>
                          <w:szCs w:val="20"/>
                        </w:rPr>
                        <w:t>through</w:t>
                      </w:r>
                    </w:p>
                    <w:p w14:paraId="0986D18F" w14:textId="77777777" w:rsidR="00503D58" w:rsidRPr="007C5DBD" w:rsidRDefault="00503D58" w:rsidP="00503D58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7C5DBD">
                        <w:rPr>
                          <w:sz w:val="20"/>
                          <w:szCs w:val="20"/>
                        </w:rPr>
                        <w:t>Professional development offerings, conferences, and workshops</w:t>
                      </w:r>
                    </w:p>
                    <w:p w14:paraId="44301E62" w14:textId="124B8886" w:rsidR="00EF64F0" w:rsidRPr="006138AD" w:rsidRDefault="00503D58" w:rsidP="003823D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138A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Online courses, publications, and other resources from test publishers and institutions such as </w:t>
                      </w:r>
                      <w:hyperlink r:id="rId13" w:history="1">
                        <w:r w:rsidRPr="006138AD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</w:rPr>
                          <w:t>Title VI Language Resource Centers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14:paraId="0E99FC4A" w14:textId="77777777" w:rsidR="00A35269" w:rsidRDefault="00A35269" w:rsidP="00770FB7">
      <w:pPr>
        <w:spacing w:after="0"/>
        <w:jc w:val="center"/>
        <w:rPr>
          <w:rFonts w:eastAsia="Times New Roman"/>
          <w:sz w:val="24"/>
          <w:szCs w:val="24"/>
        </w:rPr>
      </w:pPr>
    </w:p>
    <w:p w14:paraId="1C4428F8" w14:textId="41F27C5E" w:rsidR="00770FB7" w:rsidRPr="00770FB7" w:rsidRDefault="00770FB7" w:rsidP="00770FB7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  <w:r w:rsidRPr="00D73202">
        <w:rPr>
          <w:rFonts w:eastAsia="Times New Roman"/>
          <w:sz w:val="24"/>
          <w:szCs w:val="24"/>
        </w:rPr>
        <w:t>For more research and a full bibliography for this and other QRG topics, see</w:t>
      </w:r>
    </w:p>
    <w:p w14:paraId="396E05FD" w14:textId="06999B6D" w:rsidR="007C5DBD" w:rsidRPr="00770FB7" w:rsidRDefault="00375A57" w:rsidP="00770FB7">
      <w:pPr>
        <w:spacing w:after="0"/>
        <w:jc w:val="center"/>
        <w:rPr>
          <w:rFonts w:ascii="Georgia" w:hAnsi="Georgia"/>
          <w:sz w:val="24"/>
          <w:szCs w:val="24"/>
        </w:rPr>
      </w:pPr>
      <w:hyperlink r:id="rId14" w:history="1">
        <w:r w:rsidR="00770FB7" w:rsidRPr="00D73202">
          <w:rPr>
            <w:rStyle w:val="Hyperlink"/>
            <w:rFonts w:eastAsia="Times New Roman"/>
            <w:sz w:val="24"/>
            <w:szCs w:val="24"/>
          </w:rPr>
          <w:t>World Language Standards Literature Review Report</w:t>
        </w:r>
      </w:hyperlink>
      <w:r w:rsidR="00770FB7">
        <w:rPr>
          <w:rFonts w:ascii="Georgia" w:hAnsi="Georgia"/>
          <w:sz w:val="24"/>
          <w:szCs w:val="24"/>
        </w:rPr>
        <w:t>.</w:t>
      </w:r>
    </w:p>
    <w:sectPr w:rsidR="007C5DBD" w:rsidRPr="00770FB7" w:rsidSect="00C1481E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98CF1" w14:textId="77777777" w:rsidR="00375A57" w:rsidRDefault="00375A57" w:rsidP="000636CE">
      <w:pPr>
        <w:spacing w:after="0" w:line="240" w:lineRule="auto"/>
      </w:pPr>
      <w:r>
        <w:separator/>
      </w:r>
    </w:p>
  </w:endnote>
  <w:endnote w:type="continuationSeparator" w:id="0">
    <w:p w14:paraId="7B9F9D67" w14:textId="77777777" w:rsidR="00375A57" w:rsidRDefault="00375A57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4EE6" w14:textId="77777777" w:rsidR="00375A57" w:rsidRDefault="00375A57" w:rsidP="000636CE">
      <w:pPr>
        <w:spacing w:after="0" w:line="240" w:lineRule="auto"/>
      </w:pPr>
      <w:r>
        <w:separator/>
      </w:r>
    </w:p>
  </w:footnote>
  <w:footnote w:type="continuationSeparator" w:id="0">
    <w:p w14:paraId="7BC66F99" w14:textId="77777777" w:rsidR="00375A57" w:rsidRDefault="00375A57" w:rsidP="000636CE">
      <w:pPr>
        <w:spacing w:after="0" w:line="240" w:lineRule="auto"/>
      </w:pPr>
      <w:r>
        <w:continuationSeparator/>
      </w:r>
    </w:p>
  </w:footnote>
  <w:footnote w:id="1">
    <w:p w14:paraId="0E4FED4D" w14:textId="5681E36A" w:rsidR="00DF65F0" w:rsidRDefault="00DF65F0">
      <w:pPr>
        <w:pStyle w:val="FootnoteText"/>
      </w:pPr>
      <w:r>
        <w:rPr>
          <w:rStyle w:val="FootnoteReference"/>
        </w:rPr>
        <w:footnoteRef/>
      </w:r>
      <w:r>
        <w:t xml:space="preserve"> May also be referred to as Integrated Proficiency Assessment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6" name="Picture 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064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986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1E8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F2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1AE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C7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60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84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4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35E8"/>
    <w:rsid w:val="00023CD8"/>
    <w:rsid w:val="00054C2C"/>
    <w:rsid w:val="000568C3"/>
    <w:rsid w:val="000636CE"/>
    <w:rsid w:val="000C3AA4"/>
    <w:rsid w:val="000D4F28"/>
    <w:rsid w:val="000E1043"/>
    <w:rsid w:val="000F324E"/>
    <w:rsid w:val="0010008B"/>
    <w:rsid w:val="00103612"/>
    <w:rsid w:val="0015304C"/>
    <w:rsid w:val="00166208"/>
    <w:rsid w:val="001801F9"/>
    <w:rsid w:val="00196B9B"/>
    <w:rsid w:val="001A1750"/>
    <w:rsid w:val="001B0EFD"/>
    <w:rsid w:val="001F5C94"/>
    <w:rsid w:val="0022302E"/>
    <w:rsid w:val="00225592"/>
    <w:rsid w:val="002404C9"/>
    <w:rsid w:val="002526E4"/>
    <w:rsid w:val="00254B14"/>
    <w:rsid w:val="00285E84"/>
    <w:rsid w:val="00292D3D"/>
    <w:rsid w:val="002D4ADA"/>
    <w:rsid w:val="002E06F4"/>
    <w:rsid w:val="002E5CD0"/>
    <w:rsid w:val="00332278"/>
    <w:rsid w:val="00335794"/>
    <w:rsid w:val="003400CE"/>
    <w:rsid w:val="00342DE7"/>
    <w:rsid w:val="00375A57"/>
    <w:rsid w:val="003823D9"/>
    <w:rsid w:val="00382477"/>
    <w:rsid w:val="003E49F2"/>
    <w:rsid w:val="00402FE7"/>
    <w:rsid w:val="004064D1"/>
    <w:rsid w:val="00413018"/>
    <w:rsid w:val="00413610"/>
    <w:rsid w:val="00456678"/>
    <w:rsid w:val="00461002"/>
    <w:rsid w:val="0048030D"/>
    <w:rsid w:val="00483961"/>
    <w:rsid w:val="004945CB"/>
    <w:rsid w:val="004E2BCD"/>
    <w:rsid w:val="004E6263"/>
    <w:rsid w:val="00503D58"/>
    <w:rsid w:val="00515812"/>
    <w:rsid w:val="005442EA"/>
    <w:rsid w:val="005A6E52"/>
    <w:rsid w:val="005B0392"/>
    <w:rsid w:val="005D25F4"/>
    <w:rsid w:val="006138AD"/>
    <w:rsid w:val="0062286C"/>
    <w:rsid w:val="0067322F"/>
    <w:rsid w:val="00690BD3"/>
    <w:rsid w:val="006B1E41"/>
    <w:rsid w:val="006C2130"/>
    <w:rsid w:val="0074536F"/>
    <w:rsid w:val="00770FB7"/>
    <w:rsid w:val="007B761A"/>
    <w:rsid w:val="007C5DBD"/>
    <w:rsid w:val="007E4C0C"/>
    <w:rsid w:val="00815B5A"/>
    <w:rsid w:val="008348B4"/>
    <w:rsid w:val="00864B1E"/>
    <w:rsid w:val="008E056C"/>
    <w:rsid w:val="00932A8C"/>
    <w:rsid w:val="009665E1"/>
    <w:rsid w:val="009744BC"/>
    <w:rsid w:val="00987916"/>
    <w:rsid w:val="009B6CAB"/>
    <w:rsid w:val="009C4FB7"/>
    <w:rsid w:val="009D6D88"/>
    <w:rsid w:val="009E4AA0"/>
    <w:rsid w:val="009F3826"/>
    <w:rsid w:val="009F38A6"/>
    <w:rsid w:val="00A155F0"/>
    <w:rsid w:val="00A318C9"/>
    <w:rsid w:val="00A35269"/>
    <w:rsid w:val="00A42B31"/>
    <w:rsid w:val="00A65C91"/>
    <w:rsid w:val="00AC297C"/>
    <w:rsid w:val="00AD3A80"/>
    <w:rsid w:val="00AF222E"/>
    <w:rsid w:val="00AF66BA"/>
    <w:rsid w:val="00B006D5"/>
    <w:rsid w:val="00B07E33"/>
    <w:rsid w:val="00B17E48"/>
    <w:rsid w:val="00B62E85"/>
    <w:rsid w:val="00B813C0"/>
    <w:rsid w:val="00B97163"/>
    <w:rsid w:val="00BC2549"/>
    <w:rsid w:val="00BE4EE9"/>
    <w:rsid w:val="00C03F1B"/>
    <w:rsid w:val="00C1481E"/>
    <w:rsid w:val="00C32B0F"/>
    <w:rsid w:val="00C42DE7"/>
    <w:rsid w:val="00C65CA4"/>
    <w:rsid w:val="00C71929"/>
    <w:rsid w:val="00C729CC"/>
    <w:rsid w:val="00C804CD"/>
    <w:rsid w:val="00CA2C27"/>
    <w:rsid w:val="00CD346E"/>
    <w:rsid w:val="00CD4134"/>
    <w:rsid w:val="00D13FA6"/>
    <w:rsid w:val="00D374D5"/>
    <w:rsid w:val="00D47002"/>
    <w:rsid w:val="00D552BE"/>
    <w:rsid w:val="00D727EC"/>
    <w:rsid w:val="00D8688C"/>
    <w:rsid w:val="00D96F30"/>
    <w:rsid w:val="00DE3523"/>
    <w:rsid w:val="00DF65F0"/>
    <w:rsid w:val="00E008F2"/>
    <w:rsid w:val="00E00CB2"/>
    <w:rsid w:val="00E4426A"/>
    <w:rsid w:val="00E5550C"/>
    <w:rsid w:val="00E57E8C"/>
    <w:rsid w:val="00E72085"/>
    <w:rsid w:val="00E955F7"/>
    <w:rsid w:val="00EB3E2B"/>
    <w:rsid w:val="00EF64F0"/>
    <w:rsid w:val="00F34BA0"/>
    <w:rsid w:val="00F4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F0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flrc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flrc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worldlanguages/leader-network/literature-review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Props1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4419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 Quick Reference Guide: Assessment</dc:title>
  <dc:subject/>
  <dc:creator>DESE</dc:creator>
  <cp:keywords/>
  <dc:description/>
  <cp:lastModifiedBy>Zou, Dong (EOE)</cp:lastModifiedBy>
  <cp:revision>4</cp:revision>
  <cp:lastPrinted>2020-12-16T16:02:00Z</cp:lastPrinted>
  <dcterms:created xsi:type="dcterms:W3CDTF">2021-03-15T17:20:00Z</dcterms:created>
  <dcterms:modified xsi:type="dcterms:W3CDTF">2021-03-15T19:19:00Z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15 2021</vt:lpwstr>
  </property>
</Properties>
</file>