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6020" w14:textId="77777777" w:rsidR="00C03858" w:rsidRDefault="00F67F08" w:rsidP="00C03858">
      <w:pPr>
        <w:spacing w:after="0"/>
        <w:jc w:val="center"/>
        <w:rPr>
          <w:rFonts w:ascii="Georgia" w:hAnsi="Georgia"/>
          <w:color w:val="0C7580"/>
          <w:sz w:val="36"/>
          <w:szCs w:val="36"/>
        </w:rPr>
      </w:pPr>
      <w:bookmarkStart w:id="0" w:name="_GoBack"/>
      <w:bookmarkEnd w:id="0"/>
      <w:r w:rsidRPr="00C03858">
        <w:rPr>
          <w:rFonts w:ascii="Georgia" w:hAnsi="Georgia"/>
          <w:color w:val="0C7580"/>
          <w:sz w:val="36"/>
          <w:szCs w:val="36"/>
        </w:rPr>
        <w:t xml:space="preserve">Quick Reference Guide: </w:t>
      </w:r>
    </w:p>
    <w:p w14:paraId="4C08A5C8" w14:textId="583C7C03" w:rsidR="00D47002" w:rsidRPr="00C03858" w:rsidRDefault="00F67F08" w:rsidP="00C03858">
      <w:pPr>
        <w:spacing w:after="0"/>
        <w:jc w:val="center"/>
        <w:rPr>
          <w:rFonts w:ascii="Georgia" w:hAnsi="Georgia"/>
          <w:sz w:val="36"/>
          <w:szCs w:val="36"/>
        </w:rPr>
      </w:pPr>
      <w:r w:rsidRPr="00C03858">
        <w:rPr>
          <w:rFonts w:ascii="Georgia" w:hAnsi="Georgia"/>
          <w:color w:val="0C7580"/>
          <w:sz w:val="36"/>
          <w:szCs w:val="36"/>
        </w:rPr>
        <w:t>Languages with Diverse Written Representations</w:t>
      </w:r>
    </w:p>
    <w:p w14:paraId="4E69B742" w14:textId="364B0E00" w:rsidR="00F548C1" w:rsidRPr="00A652C6" w:rsidRDefault="0028648B" w:rsidP="00562EA7">
      <w:pPr>
        <w:spacing w:after="0"/>
        <w:rPr>
          <w:rFonts w:cstheme="minorHAnsi"/>
          <w:sz w:val="20"/>
          <w:szCs w:val="20"/>
        </w:rPr>
      </w:pPr>
      <w:r w:rsidRPr="0028648B">
        <w:rPr>
          <w:rFonts w:cstheme="minorHAnsi"/>
          <w:sz w:val="20"/>
          <w:szCs w:val="20"/>
        </w:rPr>
        <w:t xml:space="preserve">This group of languages may be referred to as “non-alphabetic” languages or “languages that do not use the Latin alphabet” and is often included in the larger category of “less commonly taught languages” (LCTLs). </w:t>
      </w:r>
      <w:r>
        <w:rPr>
          <w:rFonts w:cstheme="minorHAnsi"/>
          <w:sz w:val="20"/>
          <w:szCs w:val="20"/>
        </w:rPr>
        <w:t xml:space="preserve">Although a wide variety of languages fall within this group, </w:t>
      </w:r>
      <w:r w:rsidRPr="0028648B">
        <w:rPr>
          <w:rFonts w:cstheme="minorHAnsi"/>
          <w:sz w:val="20"/>
          <w:szCs w:val="20"/>
        </w:rPr>
        <w:t>Chinese, Arabic, Russian, Japanese, and Korean are among the most taught in U.S K-12 settings</w:t>
      </w:r>
      <w:r>
        <w:rPr>
          <w:rFonts w:cstheme="minorHAnsi"/>
          <w:sz w:val="20"/>
          <w:szCs w:val="20"/>
        </w:rPr>
        <w:t>.</w:t>
      </w:r>
      <w:r w:rsidR="00E3549C">
        <w:rPr>
          <w:rStyle w:val="EndnoteReference"/>
          <w:rFonts w:cstheme="minorHAnsi"/>
          <w:sz w:val="20"/>
          <w:szCs w:val="20"/>
        </w:rPr>
        <w:endnoteReference w:id="1"/>
      </w:r>
      <w:r>
        <w:rPr>
          <w:rFonts w:cstheme="minorHAnsi"/>
          <w:sz w:val="20"/>
          <w:szCs w:val="20"/>
        </w:rPr>
        <w:t xml:space="preserve"> </w:t>
      </w:r>
      <w:r w:rsidRPr="0028648B">
        <w:rPr>
          <w:rFonts w:cstheme="minorHAnsi"/>
          <w:sz w:val="20"/>
          <w:szCs w:val="20"/>
        </w:rPr>
        <w:t xml:space="preserve">Given the diversity of writing systems represented within </w:t>
      </w:r>
      <w:r>
        <w:rPr>
          <w:rFonts w:cstheme="minorHAnsi"/>
          <w:sz w:val="20"/>
          <w:szCs w:val="20"/>
        </w:rPr>
        <w:t xml:space="preserve">this group (alphabets, syllabaries, characters, </w:t>
      </w:r>
      <w:r w:rsidR="00B538D5">
        <w:rPr>
          <w:rFonts w:cstheme="minorHAnsi"/>
          <w:sz w:val="20"/>
          <w:szCs w:val="20"/>
        </w:rPr>
        <w:t xml:space="preserve">and </w:t>
      </w:r>
      <w:r>
        <w:rPr>
          <w:rFonts w:cstheme="minorHAnsi"/>
          <w:sz w:val="20"/>
          <w:szCs w:val="20"/>
        </w:rPr>
        <w:t>combinations of two or more systems</w:t>
      </w:r>
      <w:r w:rsidR="00B538D5">
        <w:rPr>
          <w:rFonts w:cstheme="minorHAnsi"/>
          <w:sz w:val="20"/>
          <w:szCs w:val="20"/>
        </w:rPr>
        <w:t xml:space="preserve">) </w:t>
      </w:r>
      <w:r w:rsidRPr="0028648B">
        <w:rPr>
          <w:rFonts w:cstheme="minorHAnsi"/>
          <w:sz w:val="20"/>
          <w:szCs w:val="20"/>
        </w:rPr>
        <w:t xml:space="preserve">and </w:t>
      </w:r>
      <w:r>
        <w:rPr>
          <w:rFonts w:cstheme="minorHAnsi"/>
          <w:sz w:val="20"/>
          <w:szCs w:val="20"/>
        </w:rPr>
        <w:t xml:space="preserve">the </w:t>
      </w:r>
      <w:r w:rsidRPr="0028648B">
        <w:rPr>
          <w:rFonts w:cstheme="minorHAnsi"/>
          <w:sz w:val="20"/>
          <w:szCs w:val="20"/>
        </w:rPr>
        <w:t xml:space="preserve">challenges they may present for </w:t>
      </w:r>
      <w:r w:rsidR="00B538D5">
        <w:rPr>
          <w:rFonts w:cstheme="minorHAnsi"/>
          <w:sz w:val="20"/>
          <w:szCs w:val="20"/>
        </w:rPr>
        <w:t xml:space="preserve">U.S. </w:t>
      </w:r>
      <w:r w:rsidRPr="0028648B">
        <w:rPr>
          <w:rFonts w:cstheme="minorHAnsi"/>
          <w:sz w:val="20"/>
          <w:szCs w:val="20"/>
        </w:rPr>
        <w:t>language learners, we refer to this group as</w:t>
      </w:r>
      <w:r>
        <w:rPr>
          <w:rFonts w:cstheme="minorHAnsi"/>
          <w:sz w:val="20"/>
          <w:szCs w:val="20"/>
        </w:rPr>
        <w:t xml:space="preserve"> </w:t>
      </w:r>
      <w:r w:rsidRPr="00D56B17">
        <w:rPr>
          <w:rFonts w:cstheme="minorHAnsi"/>
          <w:b/>
          <w:bCs/>
          <w:sz w:val="20"/>
          <w:szCs w:val="20"/>
        </w:rPr>
        <w:t>languages with diverse written representations (LDWRs).</w:t>
      </w:r>
    </w:p>
    <w:p w14:paraId="3C9D8A33" w14:textId="77777777" w:rsidR="00562EA7" w:rsidRDefault="00ED237D" w:rsidP="007829F5">
      <w:pPr>
        <w:spacing w:after="0"/>
        <w:rPr>
          <w:rFonts w:ascii="Georgia" w:hAnsi="Georgia"/>
          <w:color w:val="0C7580"/>
          <w:sz w:val="28"/>
          <w:szCs w:val="28"/>
        </w:rPr>
      </w:pPr>
      <w:r w:rsidRPr="00C03858">
        <w:rPr>
          <w:rFonts w:cstheme="minorHAnsi"/>
          <w:noProof/>
          <w:sz w:val="28"/>
          <w:szCs w:val="28"/>
        </w:rPr>
        <mc:AlternateContent>
          <mc:Choice Requires="wps">
            <w:drawing>
              <wp:inline distT="0" distB="0" distL="0" distR="0" wp14:anchorId="74847B70" wp14:editId="30CB6119">
                <wp:extent cx="6004560" cy="662940"/>
                <wp:effectExtent l="0" t="0" r="0" b="3810"/>
                <wp:docPr id="2" name="Rectangle 2"/>
                <wp:cNvGraphicFramePr/>
                <a:graphic xmlns:a="http://schemas.openxmlformats.org/drawingml/2006/main">
                  <a:graphicData uri="http://schemas.microsoft.com/office/word/2010/wordprocessingShape">
                    <wps:wsp>
                      <wps:cNvSpPr/>
                      <wps:spPr>
                        <a:xfrm>
                          <a:off x="0" y="0"/>
                          <a:ext cx="6004560" cy="66294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493D3" w14:textId="77777777" w:rsidR="003711E4" w:rsidRDefault="003711E4" w:rsidP="00D92FB2">
                            <w:pPr>
                              <w:spacing w:after="0"/>
                              <w:jc w:val="center"/>
                              <w:rPr>
                                <w:i/>
                                <w:iCs/>
                              </w:rPr>
                            </w:pPr>
                            <w:r w:rsidRPr="003711E4">
                              <w:rPr>
                                <w:i/>
                                <w:iCs/>
                              </w:rPr>
                              <w:t>As teaching new alphabets, characters, or symbols in isolation may cause students to feel frustrated or discouraged, educators are encouraged to simultaneously teach other topics and skills related to the language to keep students motivated and excited about learning</w:t>
                            </w:r>
                            <w:r>
                              <w:rPr>
                                <w:i/>
                                <w:iCs/>
                              </w:rPr>
                              <w:t>.</w:t>
                            </w:r>
                          </w:p>
                          <w:p w14:paraId="1350EF77" w14:textId="77777777" w:rsidR="003711E4" w:rsidRDefault="003711E4" w:rsidP="00D92FB2">
                            <w:pPr>
                              <w:spacing w:after="0"/>
                              <w:jc w:val="center"/>
                              <w:rPr>
                                <w:i/>
                                <w:iCs/>
                              </w:rPr>
                            </w:pPr>
                          </w:p>
                          <w:p w14:paraId="256F5709" w14:textId="133749A8" w:rsidR="00D92FB2" w:rsidRPr="007829F5" w:rsidRDefault="00D92FB2" w:rsidP="00D92FB2">
                            <w:pPr>
                              <w:spacing w:after="0"/>
                              <w:jc w:val="cente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72.8pt;height:5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" fillcolor="#0c7580" stroked="f" strokeweight="2pt">
                <v:textbox>
                  <w:txbxContent>
                    <w:p w14:paraId="418493D3" w14:textId="77777777" w:rsidR="003711E4" w:rsidRDefault="003711E4" w:rsidP="00D92FB2">
                      <w:pPr>
                        <w:spacing w:after="0"/>
                        <w:jc w:val="center"/>
                        <w:rPr>
                          <w:i/>
                          <w:iCs/>
                        </w:rPr>
                      </w:pPr>
                      <w:r w:rsidRPr="003711E4">
                        <w:rPr>
                          <w:i/>
                          <w:iCs/>
                        </w:rPr>
                        <w:t>As teaching new alphabets, characters, or symbols in isolation may cause students to feel frustrated or discouraged, educators are encouraged to simultaneously teach other topics and skills related to the language to keep students motivated and excited about learning</w:t>
                      </w:r>
                      <w:r>
                        <w:rPr>
                          <w:i/>
                          <w:iCs/>
                        </w:rPr>
                        <w:t>.</w:t>
                      </w:r>
                    </w:p>
                    <w:p w14:paraId="1350EF77" w14:textId="77777777" w:rsidR="003711E4" w:rsidRDefault="003711E4" w:rsidP="00D92FB2">
                      <w:pPr>
                        <w:spacing w:after="0"/>
                        <w:jc w:val="center"/>
                        <w:rPr>
                          <w:i/>
                          <w:iCs/>
                        </w:rPr>
                      </w:pPr>
                    </w:p>
                    <w:p w14:paraId="256F5709" w14:textId="133749A8" w:rsidR="00D92FB2" w:rsidRPr="007829F5" w:rsidRDefault="00D92FB2" w:rsidP="00D92FB2">
                      <w:pPr>
                        <w:spacing w:after="0"/>
                        <w:jc w:val="center"/>
                        <w:rPr>
                          <w:i/>
                          <w:iCs/>
                        </w:rPr>
                      </w:pPr>
                    </w:p>
                  </w:txbxContent>
                </v:textbox>
                <w10:anchorlock/>
              </v:rect>
            </w:pict>
          </mc:Fallback>
        </mc:AlternateContent>
      </w:r>
    </w:p>
    <w:p w14:paraId="46B05A38" w14:textId="02CB99ED" w:rsidR="000636CE" w:rsidRPr="00C03858" w:rsidRDefault="00F67F08" w:rsidP="007829F5">
      <w:pPr>
        <w:spacing w:after="0"/>
        <w:rPr>
          <w:rFonts w:ascii="Georgia" w:hAnsi="Georgia"/>
          <w:color w:val="0C7580"/>
          <w:sz w:val="28"/>
          <w:szCs w:val="28"/>
        </w:rPr>
      </w:pPr>
      <w:r w:rsidRPr="00C03858">
        <w:rPr>
          <w:rFonts w:ascii="Georgia" w:hAnsi="Georgia"/>
          <w:color w:val="0C7580"/>
          <w:sz w:val="28"/>
          <w:szCs w:val="28"/>
        </w:rPr>
        <w:t>Relevant Factors</w:t>
      </w:r>
      <w:r w:rsidR="00580827" w:rsidRPr="00C03858">
        <w:rPr>
          <w:rFonts w:ascii="Georgia" w:hAnsi="Georgia"/>
          <w:color w:val="0C7580"/>
          <w:sz w:val="28"/>
          <w:szCs w:val="28"/>
        </w:rPr>
        <w:t xml:space="preserve"> in Learning LDWRs</w:t>
      </w:r>
    </w:p>
    <w:p w14:paraId="11CA9A9E" w14:textId="77777777" w:rsidR="002A6319" w:rsidRDefault="001A759D" w:rsidP="00591E46">
      <w:pPr>
        <w:pStyle w:val="CommentText"/>
      </w:pPr>
      <w:r w:rsidRPr="00C874F9">
        <w:t xml:space="preserve">The amount of time required to learn different LDWRs and expected proficiency outcomes may vary, but most of these languages are categorized as </w:t>
      </w:r>
      <w:r w:rsidRPr="001A759D">
        <w:t>“Category III - languages with significant linguistic and/or cultural differences from English” (e.g., Greek, Hebrew, and Russian) or “Category IV - languages which are exceptionally difficult for native English speakers” (Arabic, Chinese, Japanese, and Korean)</w:t>
      </w:r>
      <w:r>
        <w:t xml:space="preserve"> </w:t>
      </w:r>
      <w:r w:rsidRPr="00C874F9">
        <w:t xml:space="preserve">by the </w:t>
      </w:r>
      <w:hyperlink r:id="rId12" w:history="1">
        <w:r w:rsidRPr="00C874F9">
          <w:rPr>
            <w:rStyle w:val="Hyperlink"/>
          </w:rPr>
          <w:t>U.S. Department of State</w:t>
        </w:r>
        <w:r w:rsidR="00E823EB">
          <w:rPr>
            <w:rStyle w:val="Hyperlink"/>
          </w:rPr>
          <w:t>’</w:t>
        </w:r>
        <w:r w:rsidRPr="00C874F9">
          <w:rPr>
            <w:rStyle w:val="Hyperlink"/>
          </w:rPr>
          <w:t>s Foreign Service Institute</w:t>
        </w:r>
      </w:hyperlink>
      <w:r w:rsidRPr="00C874F9">
        <w:t xml:space="preserve"> (FSI). </w:t>
      </w:r>
      <w:r>
        <w:t>Most LDWRs require more time to learn than world</w:t>
      </w:r>
      <w:r w:rsidRPr="001A759D">
        <w:t xml:space="preserve"> languages </w:t>
      </w:r>
      <w:r>
        <w:t xml:space="preserve">that are </w:t>
      </w:r>
      <w:r w:rsidRPr="001A759D">
        <w:t xml:space="preserve">more similar to English, </w:t>
      </w:r>
      <w:r>
        <w:t xml:space="preserve">and </w:t>
      </w:r>
      <w:r w:rsidRPr="001A759D">
        <w:t xml:space="preserve">educators working with these languages are encouraged to modify and adapt expected student outcomes </w:t>
      </w:r>
      <w:r>
        <w:t>accordingly. The difficulties involved in learning a new writing system may also</w:t>
      </w:r>
      <w:r w:rsidRPr="00BD4045">
        <w:t xml:space="preserve"> lead to faster development of speaking and listening skills relative to reading and writing skills</w:t>
      </w:r>
      <w:r w:rsidR="00591E46">
        <w:t>, so i</w:t>
      </w:r>
      <w:r>
        <w:t xml:space="preserve">t is important for teachers to consider the pace at which students typically acquire proficiency in different skills based on the </w:t>
      </w:r>
      <w:r w:rsidR="00591E46">
        <w:t>language of instruction, program type, and students’ needs and abilities</w:t>
      </w:r>
      <w:r>
        <w:t xml:space="preserve">. </w:t>
      </w:r>
      <w:r w:rsidR="002858FD" w:rsidRPr="002858FD">
        <w:t>There are a number of challenges for English speakers when learning a new language with a different writing system, including (1) recognizing and memorizing new alphabets, characters, and/or symbols; (2) understanding how sounds and meanings are represented in the language; (3) learning new vocabulary; (4) understanding linguistic norms and rules; and (5) applying new knowledge to reading and writing in the language</w:t>
      </w:r>
      <w:r w:rsidR="002858FD">
        <w:t>.</w:t>
      </w:r>
      <w:r w:rsidR="002858FD">
        <w:rPr>
          <w:rStyle w:val="EndnoteReference"/>
        </w:rPr>
        <w:endnoteReference w:id="2"/>
      </w:r>
      <w:r w:rsidR="00B12681">
        <w:t xml:space="preserve"> </w:t>
      </w:r>
    </w:p>
    <w:p w14:paraId="530E18D8" w14:textId="7A1A6B63" w:rsidR="00591E46" w:rsidRDefault="002858FD" w:rsidP="00591E46">
      <w:pPr>
        <w:pStyle w:val="CommentText"/>
      </w:pPr>
      <w:r w:rsidRPr="002858FD">
        <w:t>In addition to the general difficulties associated with learning a new writing system</w:t>
      </w:r>
      <w:r w:rsidR="00DB6D23">
        <w:t>, t</w:t>
      </w:r>
      <w:r w:rsidR="007829F5">
        <w:t xml:space="preserve">he cultures associated with LDWRs </w:t>
      </w:r>
      <w:r w:rsidR="007829F5" w:rsidRPr="007829F5">
        <w:t xml:space="preserve">may </w:t>
      </w:r>
      <w:r w:rsidR="007829F5">
        <w:t xml:space="preserve">also be unfamiliar </w:t>
      </w:r>
      <w:r w:rsidR="007829F5" w:rsidRPr="007829F5">
        <w:t>to native English speakers</w:t>
      </w:r>
      <w:r w:rsidR="00DB6D23">
        <w:t>.</w:t>
      </w:r>
      <w:r w:rsidR="00E2132B">
        <w:t xml:space="preserve"> </w:t>
      </w:r>
      <w:r w:rsidR="00E2132B" w:rsidRPr="003711E4">
        <w:t>There are also cultural differences within and among communities in which LDWRs are spoken, and educators are encouraged to include perspectives from majority and minority cultures in the classroom.</w:t>
      </w:r>
      <w:r w:rsidR="00E2132B">
        <w:t xml:space="preserve"> </w:t>
      </w:r>
      <w:r w:rsidR="00E2132B" w:rsidRPr="003711E4">
        <w:t>It is important to discuss stereotypes with students who are new to learning the language, as many cultures associated with LDWRs are seen as “more foreign” than those associated with more commonly taught languages.</w:t>
      </w:r>
      <w:r w:rsidR="00E2132B" w:rsidRPr="00C874F9">
        <w:t xml:space="preserve"> </w:t>
      </w:r>
      <w:r w:rsidR="00DB6D23">
        <w:t>I</w:t>
      </w:r>
      <w:r w:rsidR="007829F5" w:rsidRPr="007829F5">
        <w:t xml:space="preserve">f there are limited connections </w:t>
      </w:r>
      <w:r w:rsidR="00DB6D23">
        <w:t xml:space="preserve">between target cultures and </w:t>
      </w:r>
      <w:r w:rsidR="007829F5" w:rsidRPr="007829F5">
        <w:t>students’ prior knowledge, it can be difficult to provide comprehensible</w:t>
      </w:r>
      <w:r w:rsidR="00DB6D23">
        <w:t xml:space="preserve"> cultural</w:t>
      </w:r>
      <w:r w:rsidR="007829F5" w:rsidRPr="007829F5">
        <w:t xml:space="preserve"> input in the target language</w:t>
      </w:r>
      <w:r w:rsidR="007829F5">
        <w:t>.</w:t>
      </w:r>
      <w:r w:rsidR="00C874F9">
        <w:t xml:space="preserve"> Digital resources, props</w:t>
      </w:r>
      <w:r w:rsidR="00E67F68">
        <w:t>/manipulatives</w:t>
      </w:r>
      <w:r w:rsidR="00C874F9">
        <w:t>, and visual supports may be helpful when teaching about culture, and educators are encouraged to teach students simple phrases that can be used to ask for clarification or further information during cultural activities</w:t>
      </w:r>
      <w:r w:rsidR="00E2132B">
        <w:t xml:space="preserve">. </w:t>
      </w:r>
      <w:r w:rsidR="00DB6D23">
        <w:t>Linguistic and cultural diversity are particularly</w:t>
      </w:r>
      <w:r w:rsidR="001A759D">
        <w:t xml:space="preserve"> relevant</w:t>
      </w:r>
      <w:r w:rsidR="00DB6D23">
        <w:t xml:space="preserve"> in this context, as stud</w:t>
      </w:r>
      <w:r w:rsidR="00DB6D23" w:rsidRPr="002858FD">
        <w:t xml:space="preserve">ents are further challenged by the need to learn different varieties, </w:t>
      </w:r>
      <w:r w:rsidR="003711E4" w:rsidRPr="003711E4">
        <w:t xml:space="preserve">or distinctive forms of a language, dialects (varieties characteristic of a particular area or group) and/or registers (varieties determined by context) </w:t>
      </w:r>
      <w:r w:rsidR="00DB6D23" w:rsidRPr="002858FD">
        <w:t>associated with LDWRs</w:t>
      </w:r>
      <w:r w:rsidR="00DB6D23" w:rsidRPr="00C03858">
        <w:t>.</w:t>
      </w:r>
      <w:r w:rsidR="00591E46">
        <w:t xml:space="preserve"> The following graphic describes strategies and activities to support students’ appreciation and acquisition of different v</w:t>
      </w:r>
      <w:r w:rsidR="00CE4D0E">
        <w:t>arieties</w:t>
      </w:r>
      <w:r w:rsidR="00591E46">
        <w:t xml:space="preserve"> of LDWRs throughout instruction and assessment.</w:t>
      </w:r>
    </w:p>
    <w:p w14:paraId="484DCD39" w14:textId="4D954A15" w:rsidR="00591E46" w:rsidRPr="002540CE" w:rsidRDefault="00591E46" w:rsidP="00562EA7">
      <w:pPr>
        <w:spacing w:after="0"/>
        <w:jc w:val="center"/>
        <w:rPr>
          <w:sz w:val="20"/>
          <w:szCs w:val="20"/>
        </w:rPr>
      </w:pPr>
      <w:r>
        <w:rPr>
          <w:rFonts w:ascii="Georgia" w:hAnsi="Georgia" w:cstheme="minorHAnsi"/>
          <w:i/>
          <w:iCs/>
          <w:color w:val="802B0C"/>
          <w:sz w:val="24"/>
          <w:szCs w:val="24"/>
        </w:rPr>
        <w:t>Teaching Language Varieties, Dialects, and Registers</w:t>
      </w:r>
      <w:r w:rsidR="00D56B17">
        <w:rPr>
          <w:rFonts w:cstheme="minorHAnsi"/>
          <w:noProof/>
        </w:rPr>
        <w:drawing>
          <wp:inline distT="0" distB="0" distL="0" distR="0" wp14:anchorId="5F914434" wp14:editId="3D2195D9">
            <wp:extent cx="5941695" cy="876300"/>
            <wp:effectExtent l="0" t="19050" r="1905" b="38100"/>
            <wp:docPr id="3" name="Diagram 3" descr="Strategies and activities for teaching students about language varieties, dialects, and regist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BA85228" w14:textId="092AC17F" w:rsidR="000636CE" w:rsidRPr="00284C55" w:rsidRDefault="00DA47A9" w:rsidP="00E67F68">
      <w:pPr>
        <w:spacing w:after="0"/>
        <w:rPr>
          <w:rFonts w:cstheme="minorHAnsi"/>
          <w:sz w:val="24"/>
          <w:szCs w:val="24"/>
        </w:rPr>
      </w:pPr>
      <w:r>
        <w:rPr>
          <w:rFonts w:ascii="Georgia" w:hAnsi="Georgia"/>
          <w:color w:val="0C7580"/>
          <w:sz w:val="28"/>
          <w:szCs w:val="28"/>
        </w:rPr>
        <w:lastRenderedPageBreak/>
        <w:t>Teaching Reading and Writing</w:t>
      </w:r>
    </w:p>
    <w:p w14:paraId="56594A31" w14:textId="6D358DF1" w:rsidR="00591E46" w:rsidRDefault="00E67F68" w:rsidP="005E2A42">
      <w:pPr>
        <w:spacing w:after="0"/>
        <w:rPr>
          <w:sz w:val="20"/>
          <w:szCs w:val="20"/>
        </w:rPr>
      </w:pPr>
      <w:r w:rsidRPr="00E67F68">
        <w:rPr>
          <w:sz w:val="20"/>
          <w:szCs w:val="20"/>
        </w:rPr>
        <w:t xml:space="preserve">Prior to teaching reading and writing strategies, </w:t>
      </w:r>
      <w:r>
        <w:rPr>
          <w:sz w:val="20"/>
          <w:szCs w:val="20"/>
        </w:rPr>
        <w:t>students need to learn the</w:t>
      </w:r>
      <w:r w:rsidRPr="00E67F68">
        <w:rPr>
          <w:sz w:val="20"/>
          <w:szCs w:val="20"/>
        </w:rPr>
        <w:t xml:space="preserve"> new alphabet</w:t>
      </w:r>
      <w:r>
        <w:rPr>
          <w:sz w:val="20"/>
          <w:szCs w:val="20"/>
        </w:rPr>
        <w:t xml:space="preserve">, </w:t>
      </w:r>
      <w:r w:rsidRPr="00E67F68">
        <w:rPr>
          <w:sz w:val="20"/>
          <w:szCs w:val="20"/>
        </w:rPr>
        <w:t>characters</w:t>
      </w:r>
      <w:r>
        <w:rPr>
          <w:sz w:val="20"/>
          <w:szCs w:val="20"/>
        </w:rPr>
        <w:t xml:space="preserve">, or </w:t>
      </w:r>
      <w:r w:rsidRPr="00E67F68">
        <w:rPr>
          <w:sz w:val="20"/>
          <w:szCs w:val="20"/>
        </w:rPr>
        <w:t>symbols used to represent the language</w:t>
      </w:r>
      <w:r w:rsidR="00D914CE">
        <w:rPr>
          <w:sz w:val="20"/>
          <w:szCs w:val="20"/>
        </w:rPr>
        <w:t>, which may involve</w:t>
      </w:r>
      <w:r w:rsidRPr="00E67F68">
        <w:rPr>
          <w:sz w:val="20"/>
          <w:szCs w:val="20"/>
        </w:rPr>
        <w:t xml:space="preserve"> </w:t>
      </w:r>
      <w:r>
        <w:rPr>
          <w:sz w:val="20"/>
          <w:szCs w:val="20"/>
        </w:rPr>
        <w:t xml:space="preserve">(1) </w:t>
      </w:r>
      <w:r w:rsidRPr="00E67F68">
        <w:rPr>
          <w:sz w:val="20"/>
          <w:szCs w:val="20"/>
        </w:rPr>
        <w:t>identify</w:t>
      </w:r>
      <w:r w:rsidR="00D914CE">
        <w:rPr>
          <w:sz w:val="20"/>
          <w:szCs w:val="20"/>
        </w:rPr>
        <w:t>ing</w:t>
      </w:r>
      <w:r w:rsidRPr="00E67F68">
        <w:rPr>
          <w:sz w:val="20"/>
          <w:szCs w:val="20"/>
        </w:rPr>
        <w:t xml:space="preserve"> the shapes of and connections between various characters</w:t>
      </w:r>
      <w:r>
        <w:rPr>
          <w:sz w:val="20"/>
          <w:szCs w:val="20"/>
        </w:rPr>
        <w:t xml:space="preserve">; (2) </w:t>
      </w:r>
      <w:r w:rsidRPr="00E67F68">
        <w:rPr>
          <w:sz w:val="20"/>
          <w:szCs w:val="20"/>
        </w:rPr>
        <w:t>understand</w:t>
      </w:r>
      <w:r w:rsidR="00D914CE">
        <w:rPr>
          <w:sz w:val="20"/>
          <w:szCs w:val="20"/>
        </w:rPr>
        <w:t>ing</w:t>
      </w:r>
      <w:r w:rsidRPr="00E67F68">
        <w:rPr>
          <w:sz w:val="20"/>
          <w:szCs w:val="20"/>
        </w:rPr>
        <w:t xml:space="preserve"> new directional, spatial, or print-related patterns of the language</w:t>
      </w:r>
      <w:r>
        <w:rPr>
          <w:sz w:val="20"/>
          <w:szCs w:val="20"/>
        </w:rPr>
        <w:t xml:space="preserve">; and (3) </w:t>
      </w:r>
      <w:r w:rsidRPr="00E67F68">
        <w:rPr>
          <w:sz w:val="20"/>
          <w:szCs w:val="20"/>
        </w:rPr>
        <w:t>develop</w:t>
      </w:r>
      <w:r w:rsidR="00D914CE">
        <w:rPr>
          <w:sz w:val="20"/>
          <w:szCs w:val="20"/>
        </w:rPr>
        <w:t>ing</w:t>
      </w:r>
      <w:r w:rsidRPr="00E67F68">
        <w:rPr>
          <w:sz w:val="20"/>
          <w:szCs w:val="20"/>
        </w:rPr>
        <w:t xml:space="preserve"> language-specific strategies to support </w:t>
      </w:r>
      <w:r>
        <w:rPr>
          <w:sz w:val="20"/>
          <w:szCs w:val="20"/>
        </w:rPr>
        <w:t xml:space="preserve">recognition and </w:t>
      </w:r>
      <w:r w:rsidRPr="00E67F68">
        <w:rPr>
          <w:sz w:val="20"/>
          <w:szCs w:val="20"/>
        </w:rPr>
        <w:t>memorization</w:t>
      </w:r>
      <w:r>
        <w:rPr>
          <w:sz w:val="20"/>
          <w:szCs w:val="20"/>
        </w:rPr>
        <w:t xml:space="preserve"> of the writing system.</w:t>
      </w:r>
      <w:r w:rsidRPr="00E67F68">
        <w:rPr>
          <w:sz w:val="20"/>
          <w:szCs w:val="20"/>
        </w:rPr>
        <w:t xml:space="preserve"> </w:t>
      </w:r>
      <w:r w:rsidR="00D914CE">
        <w:rPr>
          <w:sz w:val="20"/>
          <w:szCs w:val="20"/>
        </w:rPr>
        <w:t xml:space="preserve">It is important to consider these various complexities and challenges when teaching alphabets, characters, or symbols, and it may be helpful to collaboratively brainstorm, practice, and evaluate different learning strategies to determine which approaches will best meet the needs of your students and classroom. </w:t>
      </w:r>
      <w:r w:rsidR="00AB1FF7">
        <w:rPr>
          <w:sz w:val="20"/>
          <w:szCs w:val="20"/>
        </w:rPr>
        <w:t>A</w:t>
      </w:r>
      <w:r w:rsidR="005E2A42" w:rsidRPr="005E2A42">
        <w:rPr>
          <w:sz w:val="20"/>
          <w:szCs w:val="20"/>
        </w:rPr>
        <w:t xml:space="preserve"> number of strategies can help students read new words in LDWRs, including those related to recognizing </w:t>
      </w:r>
      <w:r w:rsidR="00B12681">
        <w:rPr>
          <w:sz w:val="20"/>
          <w:szCs w:val="20"/>
        </w:rPr>
        <w:t>sounds</w:t>
      </w:r>
      <w:r w:rsidR="005E2A42" w:rsidRPr="005E2A42">
        <w:rPr>
          <w:sz w:val="20"/>
          <w:szCs w:val="20"/>
        </w:rPr>
        <w:t>, analyzing pronunciation, recognizing different forms of letters/characters/symbols, and using newly learned forms in writing</w:t>
      </w:r>
      <w:r w:rsidR="005E2A42">
        <w:rPr>
          <w:sz w:val="20"/>
          <w:szCs w:val="20"/>
        </w:rPr>
        <w:t xml:space="preserve">. </w:t>
      </w:r>
      <w:r w:rsidR="00BD4045">
        <w:rPr>
          <w:sz w:val="20"/>
          <w:szCs w:val="20"/>
        </w:rPr>
        <w:t>A</w:t>
      </w:r>
      <w:r w:rsidR="00BD4045" w:rsidRPr="00BD4045">
        <w:rPr>
          <w:sz w:val="20"/>
          <w:szCs w:val="20"/>
        </w:rPr>
        <w:t xml:space="preserve">uthentic texts </w:t>
      </w:r>
      <w:r w:rsidR="00BD4045">
        <w:rPr>
          <w:sz w:val="20"/>
          <w:szCs w:val="20"/>
        </w:rPr>
        <w:t>may be difficult to find</w:t>
      </w:r>
      <w:r w:rsidR="00041CF0">
        <w:rPr>
          <w:sz w:val="20"/>
          <w:szCs w:val="20"/>
        </w:rPr>
        <w:t>,</w:t>
      </w:r>
      <w:r w:rsidR="00BD4045">
        <w:rPr>
          <w:sz w:val="20"/>
          <w:szCs w:val="20"/>
        </w:rPr>
        <w:t xml:space="preserve"> </w:t>
      </w:r>
      <w:r w:rsidR="00BD4045" w:rsidRPr="00BD4045">
        <w:rPr>
          <w:sz w:val="20"/>
          <w:szCs w:val="20"/>
        </w:rPr>
        <w:t xml:space="preserve">especially </w:t>
      </w:r>
      <w:r w:rsidR="00BD4045">
        <w:rPr>
          <w:sz w:val="20"/>
          <w:szCs w:val="20"/>
        </w:rPr>
        <w:t>for l</w:t>
      </w:r>
      <w:r w:rsidR="00BD4045" w:rsidRPr="00BD4045">
        <w:rPr>
          <w:sz w:val="20"/>
          <w:szCs w:val="20"/>
        </w:rPr>
        <w:t xml:space="preserve">ower-proficiency students </w:t>
      </w:r>
      <w:r w:rsidR="00AB1FF7">
        <w:rPr>
          <w:sz w:val="20"/>
          <w:szCs w:val="20"/>
        </w:rPr>
        <w:t>in upper grades</w:t>
      </w:r>
      <w:r w:rsidR="00BD4045" w:rsidRPr="00BD4045">
        <w:rPr>
          <w:sz w:val="20"/>
          <w:szCs w:val="20"/>
        </w:rPr>
        <w:t xml:space="preserve"> where there is often a mismatch between students’ interests and the proficiency levels required to interact with texts related to those interests</w:t>
      </w:r>
      <w:r w:rsidR="00BD4045">
        <w:rPr>
          <w:sz w:val="20"/>
          <w:szCs w:val="20"/>
        </w:rPr>
        <w:t xml:space="preserve">. </w:t>
      </w:r>
      <w:r w:rsidR="00D645D7">
        <w:rPr>
          <w:sz w:val="20"/>
          <w:szCs w:val="20"/>
        </w:rPr>
        <w:t xml:space="preserve">It </w:t>
      </w:r>
      <w:r w:rsidR="00BD4045">
        <w:rPr>
          <w:sz w:val="20"/>
          <w:szCs w:val="20"/>
        </w:rPr>
        <w:t xml:space="preserve">may be helpful to use </w:t>
      </w:r>
      <w:r w:rsidR="00BD4045" w:rsidRPr="00BD4045">
        <w:rPr>
          <w:sz w:val="20"/>
          <w:szCs w:val="20"/>
        </w:rPr>
        <w:t>video-based resources</w:t>
      </w:r>
      <w:r w:rsidR="00BD4045">
        <w:rPr>
          <w:sz w:val="20"/>
          <w:szCs w:val="20"/>
        </w:rPr>
        <w:t xml:space="preserve">, </w:t>
      </w:r>
      <w:r w:rsidR="00BD4045" w:rsidRPr="00BD4045">
        <w:rPr>
          <w:sz w:val="20"/>
          <w:szCs w:val="20"/>
        </w:rPr>
        <w:t>graphic novels</w:t>
      </w:r>
      <w:r w:rsidR="00BD4045">
        <w:rPr>
          <w:sz w:val="20"/>
          <w:szCs w:val="20"/>
        </w:rPr>
        <w:t>, or books containing infographics, visuals, and graphic organizers</w:t>
      </w:r>
      <w:r w:rsidR="00D645D7">
        <w:rPr>
          <w:sz w:val="20"/>
          <w:szCs w:val="20"/>
        </w:rPr>
        <w:t xml:space="preserve"> to support students during independent reading. Educators are also encouraged to explore </w:t>
      </w:r>
      <w:r w:rsidR="00BD4045" w:rsidRPr="00BD4045">
        <w:rPr>
          <w:sz w:val="20"/>
          <w:szCs w:val="20"/>
        </w:rPr>
        <w:t>guided reading, collaborative reading, and choral</w:t>
      </w:r>
      <w:r w:rsidR="00D645D7">
        <w:rPr>
          <w:sz w:val="20"/>
          <w:szCs w:val="20"/>
        </w:rPr>
        <w:t xml:space="preserve"> reading to support students’ comprehension and understanding of various texts used in the classroom.</w:t>
      </w:r>
      <w:r w:rsidR="00BD4045" w:rsidRPr="00BD4045">
        <w:rPr>
          <w:sz w:val="20"/>
          <w:szCs w:val="20"/>
        </w:rPr>
        <w:t xml:space="preserve"> </w:t>
      </w:r>
      <w:r w:rsidR="00EB5CA8" w:rsidRPr="00C03858">
        <w:rPr>
          <w:sz w:val="20"/>
          <w:szCs w:val="20"/>
        </w:rPr>
        <w:t>Instructional considerations for writing are closely tied with those for reading</w:t>
      </w:r>
      <w:r w:rsidR="005E2A42">
        <w:rPr>
          <w:sz w:val="20"/>
          <w:szCs w:val="20"/>
        </w:rPr>
        <w:t xml:space="preserve">, and it may be helpful to (1) introduce </w:t>
      </w:r>
      <w:r w:rsidR="00EB5CA8" w:rsidRPr="00C03858">
        <w:rPr>
          <w:sz w:val="20"/>
          <w:szCs w:val="20"/>
        </w:rPr>
        <w:t xml:space="preserve">tasks </w:t>
      </w:r>
      <w:r w:rsidR="005E2A42">
        <w:rPr>
          <w:sz w:val="20"/>
          <w:szCs w:val="20"/>
        </w:rPr>
        <w:t>that combine</w:t>
      </w:r>
      <w:r w:rsidR="00EB5CA8" w:rsidRPr="00C03858">
        <w:rPr>
          <w:sz w:val="20"/>
          <w:szCs w:val="20"/>
        </w:rPr>
        <w:t xml:space="preserve"> reading and writing</w:t>
      </w:r>
      <w:r w:rsidR="005E2A42">
        <w:rPr>
          <w:sz w:val="20"/>
          <w:szCs w:val="20"/>
        </w:rPr>
        <w:t xml:space="preserve">; (2) compare </w:t>
      </w:r>
      <w:r w:rsidR="00741BED">
        <w:rPr>
          <w:sz w:val="20"/>
          <w:szCs w:val="20"/>
        </w:rPr>
        <w:t>different texts in</w:t>
      </w:r>
      <w:r w:rsidR="00EB5CA8" w:rsidRPr="00C03858">
        <w:rPr>
          <w:sz w:val="20"/>
          <w:szCs w:val="20"/>
        </w:rPr>
        <w:t xml:space="preserve"> the target language</w:t>
      </w:r>
      <w:r w:rsidR="005E2A42">
        <w:rPr>
          <w:sz w:val="20"/>
          <w:szCs w:val="20"/>
        </w:rPr>
        <w:t>; (3) develop writing tasks about</w:t>
      </w:r>
      <w:r w:rsidR="00EB5CA8" w:rsidRPr="00C03858">
        <w:rPr>
          <w:sz w:val="20"/>
          <w:szCs w:val="20"/>
        </w:rPr>
        <w:t xml:space="preserve"> familiar topics and topics of interest</w:t>
      </w:r>
      <w:r w:rsidR="005E2A42">
        <w:rPr>
          <w:sz w:val="20"/>
          <w:szCs w:val="20"/>
        </w:rPr>
        <w:t>; (4) provide opportunities to</w:t>
      </w:r>
      <w:r w:rsidR="00D645D7">
        <w:rPr>
          <w:sz w:val="20"/>
          <w:szCs w:val="20"/>
        </w:rPr>
        <w:t xml:space="preserve"> exchange written communication</w:t>
      </w:r>
      <w:r w:rsidR="00EB5CA8" w:rsidRPr="00C03858">
        <w:rPr>
          <w:sz w:val="20"/>
          <w:szCs w:val="20"/>
        </w:rPr>
        <w:t xml:space="preserve"> with nativ</w:t>
      </w:r>
      <w:r w:rsidR="005E2A42">
        <w:rPr>
          <w:sz w:val="20"/>
          <w:szCs w:val="20"/>
        </w:rPr>
        <w:t xml:space="preserve">e-speaking communities; and (5) give specific, actionable feedback on a continual basis during instructional time. </w:t>
      </w:r>
    </w:p>
    <w:p w14:paraId="01197599" w14:textId="77777777" w:rsidR="00050BDB" w:rsidRPr="005E2A42" w:rsidRDefault="00050BDB" w:rsidP="005E2A42">
      <w:pPr>
        <w:spacing w:after="0"/>
        <w:rPr>
          <w:sz w:val="20"/>
          <w:szCs w:val="20"/>
        </w:rPr>
      </w:pPr>
    </w:p>
    <w:p w14:paraId="5205823C" w14:textId="16D1BC9D" w:rsidR="005E708E" w:rsidRPr="005E2A42" w:rsidRDefault="00E4426A" w:rsidP="00050BDB">
      <w:pPr>
        <w:spacing w:after="0"/>
        <w:rPr>
          <w:rFonts w:ascii="Georgia" w:hAnsi="Georgia"/>
          <w:color w:val="0C7580"/>
          <w:sz w:val="28"/>
          <w:szCs w:val="28"/>
        </w:rPr>
      </w:pPr>
      <w:r w:rsidRPr="005E2A42">
        <w:rPr>
          <w:rFonts w:ascii="Georgia" w:hAnsi="Georgia"/>
          <w:color w:val="0C7580"/>
          <w:sz w:val="28"/>
          <w:szCs w:val="28"/>
        </w:rPr>
        <w:t>Recommendation</w:t>
      </w:r>
      <w:r w:rsidR="004E2BCD" w:rsidRPr="005E2A42">
        <w:rPr>
          <w:rFonts w:ascii="Georgia" w:hAnsi="Georgia"/>
          <w:color w:val="0C7580"/>
          <w:sz w:val="28"/>
          <w:szCs w:val="28"/>
        </w:rPr>
        <w:t xml:space="preserve">s </w:t>
      </w:r>
      <w:r w:rsidR="005E2A42">
        <w:rPr>
          <w:rFonts w:ascii="Georgia" w:hAnsi="Georgia"/>
          <w:color w:val="0C7580"/>
          <w:sz w:val="28"/>
          <w:szCs w:val="28"/>
        </w:rPr>
        <w:t xml:space="preserve">for </w:t>
      </w:r>
      <w:r w:rsidR="00050BDB">
        <w:rPr>
          <w:rFonts w:ascii="Georgia" w:hAnsi="Georgia"/>
          <w:color w:val="0C7580"/>
          <w:sz w:val="28"/>
          <w:szCs w:val="28"/>
        </w:rPr>
        <w:t>Languages with Diverse Written Representations</w:t>
      </w:r>
      <w:r w:rsidR="005E708E">
        <w:rPr>
          <w:rFonts w:ascii="Georgia" w:hAnsi="Georgia"/>
          <w:color w:val="0C7580"/>
          <w:sz w:val="28"/>
          <w:szCs w:val="28"/>
        </w:rPr>
        <w:tab/>
      </w:r>
      <w:r w:rsidR="00D316CA">
        <w:rPr>
          <w:rFonts w:ascii="Georgia" w:hAnsi="Georgia"/>
          <w:color w:val="0C7580"/>
          <w:sz w:val="28"/>
          <w:szCs w:val="28"/>
        </w:rPr>
        <w:t xml:space="preserve">          </w:t>
      </w:r>
    </w:p>
    <w:p w14:paraId="035B38DD" w14:textId="77777777" w:rsidR="00741BED" w:rsidRDefault="00050BDB" w:rsidP="00050BDB">
      <w:pPr>
        <w:spacing w:after="0"/>
        <w:jc w:val="center"/>
        <w:rPr>
          <w:rFonts w:eastAsia="Times New Roman" w:cstheme="minorHAnsi"/>
          <w:sz w:val="24"/>
          <w:szCs w:val="24"/>
        </w:rPr>
      </w:pPr>
      <w:r>
        <w:rPr>
          <w:rFonts w:ascii="Georgia" w:hAnsi="Georgia"/>
          <w:noProof/>
          <w:color w:val="0C7580"/>
          <w:sz w:val="28"/>
          <w:szCs w:val="28"/>
        </w:rPr>
        <mc:AlternateContent>
          <mc:Choice Requires="wps">
            <w:drawing>
              <wp:inline distT="0" distB="0" distL="0" distR="0" wp14:anchorId="55C8937B" wp14:editId="57496481">
                <wp:extent cx="5924550" cy="3371850"/>
                <wp:effectExtent l="0" t="0" r="0" b="0"/>
                <wp:docPr id="5" name="Rectangle 5"/>
                <wp:cNvGraphicFramePr/>
                <a:graphic xmlns:a="http://schemas.openxmlformats.org/drawingml/2006/main">
                  <a:graphicData uri="http://schemas.microsoft.com/office/word/2010/wordprocessingShape">
                    <wps:wsp>
                      <wps:cNvSpPr/>
                      <wps:spPr>
                        <a:xfrm>
                          <a:off x="0" y="0"/>
                          <a:ext cx="5924550" cy="337185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E1906" w14:textId="77777777" w:rsidR="002540CE" w:rsidRPr="000A51C7" w:rsidRDefault="002540CE" w:rsidP="002540CE">
                            <w:pPr>
                              <w:pStyle w:val="ListParagraph"/>
                              <w:numPr>
                                <w:ilvl w:val="0"/>
                                <w:numId w:val="1"/>
                              </w:numPr>
                              <w:ind w:left="360"/>
                              <w:rPr>
                                <w:sz w:val="20"/>
                                <w:szCs w:val="20"/>
                              </w:rPr>
                            </w:pPr>
                            <w:r>
                              <w:rPr>
                                <w:sz w:val="20"/>
                                <w:szCs w:val="20"/>
                              </w:rPr>
                              <w:t>Maintain use of the target language as much as possible when providing explicit instruction</w:t>
                            </w:r>
                          </w:p>
                          <w:p w14:paraId="67C6D40A" w14:textId="7D75FCD1" w:rsidR="000A51C7" w:rsidRDefault="000A51C7" w:rsidP="000A51C7">
                            <w:pPr>
                              <w:pStyle w:val="ListParagraph"/>
                              <w:numPr>
                                <w:ilvl w:val="0"/>
                                <w:numId w:val="1"/>
                              </w:numPr>
                              <w:ind w:left="360"/>
                              <w:rPr>
                                <w:sz w:val="20"/>
                                <w:szCs w:val="20"/>
                              </w:rPr>
                            </w:pPr>
                            <w:r>
                              <w:rPr>
                                <w:sz w:val="20"/>
                                <w:szCs w:val="20"/>
                              </w:rPr>
                              <w:t>Proactively connect and collaborate with world language teachers of the same or similar languages</w:t>
                            </w:r>
                          </w:p>
                          <w:p w14:paraId="011F4745" w14:textId="5A3C7A4D" w:rsidR="000A51C7" w:rsidRDefault="000A51C7" w:rsidP="000A51C7">
                            <w:pPr>
                              <w:pStyle w:val="ListParagraph"/>
                              <w:numPr>
                                <w:ilvl w:val="0"/>
                                <w:numId w:val="1"/>
                              </w:numPr>
                              <w:ind w:left="360"/>
                              <w:rPr>
                                <w:sz w:val="20"/>
                                <w:szCs w:val="20"/>
                              </w:rPr>
                            </w:pPr>
                            <w:r>
                              <w:rPr>
                                <w:sz w:val="20"/>
                                <w:szCs w:val="20"/>
                              </w:rPr>
                              <w:t>Participate in professional learning communities to share instructional strategie</w:t>
                            </w:r>
                            <w:r w:rsidR="00681731">
                              <w:rPr>
                                <w:sz w:val="20"/>
                                <w:szCs w:val="20"/>
                              </w:rPr>
                              <w:t>s and resources</w:t>
                            </w:r>
                          </w:p>
                          <w:p w14:paraId="05AA9053" w14:textId="258A8959" w:rsidR="003711E4" w:rsidRPr="002540CE" w:rsidRDefault="000A51C7" w:rsidP="002540CE">
                            <w:pPr>
                              <w:pStyle w:val="ListParagraph"/>
                              <w:numPr>
                                <w:ilvl w:val="0"/>
                                <w:numId w:val="1"/>
                              </w:numPr>
                              <w:ind w:left="360"/>
                              <w:rPr>
                                <w:sz w:val="20"/>
                                <w:szCs w:val="20"/>
                              </w:rPr>
                            </w:pPr>
                            <w:r>
                              <w:rPr>
                                <w:sz w:val="20"/>
                                <w:szCs w:val="20"/>
                              </w:rPr>
                              <w:t>Take opportunities to grow your knowledge of and skills in curriculum and materials development</w:t>
                            </w:r>
                          </w:p>
                          <w:p w14:paraId="738CA911" w14:textId="303D5619" w:rsidR="00050BDB" w:rsidRPr="000A51C7" w:rsidRDefault="000A51C7" w:rsidP="000A51C7">
                            <w:pPr>
                              <w:pStyle w:val="ListParagraph"/>
                              <w:ind w:left="360"/>
                              <w:jc w:val="center"/>
                              <w:rPr>
                                <w:b/>
                                <w:bCs/>
                                <w:sz w:val="20"/>
                                <w:szCs w:val="20"/>
                              </w:rPr>
                            </w:pPr>
                            <w:r w:rsidRPr="000A51C7">
                              <w:rPr>
                                <w:b/>
                                <w:bCs/>
                                <w:sz w:val="20"/>
                                <w:szCs w:val="20"/>
                              </w:rPr>
                              <w:t>Recommendations for Arabic</w:t>
                            </w:r>
                          </w:p>
                          <w:p w14:paraId="493E3A14" w14:textId="08D1CC06" w:rsidR="00050BDB" w:rsidRDefault="00050BDB" w:rsidP="00050BDB">
                            <w:pPr>
                              <w:pStyle w:val="ListParagraph"/>
                              <w:numPr>
                                <w:ilvl w:val="0"/>
                                <w:numId w:val="1"/>
                              </w:numPr>
                              <w:ind w:left="360"/>
                              <w:rPr>
                                <w:sz w:val="20"/>
                                <w:szCs w:val="20"/>
                              </w:rPr>
                            </w:pPr>
                            <w:r w:rsidRPr="00050BDB">
                              <w:rPr>
                                <w:sz w:val="20"/>
                                <w:szCs w:val="20"/>
                              </w:rPr>
                              <w:t>Use an integrated approach that teaches both a dialect and Modern Standard Arabic (MSA</w:t>
                            </w:r>
                            <w:r>
                              <w:rPr>
                                <w:sz w:val="20"/>
                                <w:szCs w:val="20"/>
                              </w:rPr>
                              <w:t>)</w:t>
                            </w:r>
                          </w:p>
                          <w:p w14:paraId="1B4BF65E" w14:textId="3BEC262B" w:rsidR="00050BDB" w:rsidRDefault="00050BDB" w:rsidP="00050BDB">
                            <w:pPr>
                              <w:pStyle w:val="ListParagraph"/>
                              <w:numPr>
                                <w:ilvl w:val="0"/>
                                <w:numId w:val="1"/>
                              </w:numPr>
                              <w:ind w:left="360"/>
                              <w:rPr>
                                <w:sz w:val="20"/>
                                <w:szCs w:val="20"/>
                              </w:rPr>
                            </w:pPr>
                            <w:r w:rsidRPr="00050BDB">
                              <w:rPr>
                                <w:sz w:val="20"/>
                                <w:szCs w:val="20"/>
                              </w:rPr>
                              <w:t xml:space="preserve">Incorporate top-down learning </w:t>
                            </w:r>
                            <w:r w:rsidR="003711E4">
                              <w:rPr>
                                <w:sz w:val="20"/>
                                <w:szCs w:val="20"/>
                              </w:rPr>
                              <w:t xml:space="preserve">strategies </w:t>
                            </w:r>
                            <w:r w:rsidRPr="00050BDB">
                              <w:rPr>
                                <w:sz w:val="20"/>
                                <w:szCs w:val="20"/>
                              </w:rPr>
                              <w:t>and decoding instruction to support literacy devel</w:t>
                            </w:r>
                            <w:r>
                              <w:rPr>
                                <w:sz w:val="20"/>
                                <w:szCs w:val="20"/>
                              </w:rPr>
                              <w:t>opment</w:t>
                            </w:r>
                          </w:p>
                          <w:p w14:paraId="6EE8E0D7" w14:textId="5C36B6E2" w:rsidR="00050BDB" w:rsidRDefault="00050BDB" w:rsidP="00050BDB">
                            <w:pPr>
                              <w:pStyle w:val="ListParagraph"/>
                              <w:numPr>
                                <w:ilvl w:val="0"/>
                                <w:numId w:val="1"/>
                              </w:numPr>
                              <w:ind w:left="360"/>
                              <w:rPr>
                                <w:sz w:val="20"/>
                                <w:szCs w:val="20"/>
                              </w:rPr>
                            </w:pPr>
                            <w:r w:rsidRPr="00050BDB">
                              <w:rPr>
                                <w:sz w:val="20"/>
                                <w:szCs w:val="20"/>
                              </w:rPr>
                              <w:t xml:space="preserve">Expose students to </w:t>
                            </w:r>
                            <w:proofErr w:type="spellStart"/>
                            <w:r w:rsidRPr="00050BDB">
                              <w:rPr>
                                <w:sz w:val="20"/>
                                <w:szCs w:val="20"/>
                              </w:rPr>
                              <w:t>unvowelized</w:t>
                            </w:r>
                            <w:proofErr w:type="spellEnd"/>
                            <w:r w:rsidRPr="00050BDB">
                              <w:rPr>
                                <w:sz w:val="20"/>
                                <w:szCs w:val="20"/>
                              </w:rPr>
                              <w:t xml:space="preserve"> texts and vowelized texts with diacritics</w:t>
                            </w:r>
                          </w:p>
                          <w:p w14:paraId="3A12EDEB" w14:textId="3CB169FC" w:rsidR="00050BDB" w:rsidRDefault="003711E4" w:rsidP="00050BDB">
                            <w:pPr>
                              <w:pStyle w:val="ListParagraph"/>
                              <w:numPr>
                                <w:ilvl w:val="0"/>
                                <w:numId w:val="1"/>
                              </w:numPr>
                              <w:ind w:left="360"/>
                              <w:rPr>
                                <w:sz w:val="20"/>
                                <w:szCs w:val="20"/>
                              </w:rPr>
                            </w:pPr>
                            <w:r>
                              <w:rPr>
                                <w:sz w:val="20"/>
                                <w:szCs w:val="20"/>
                              </w:rPr>
                              <w:t>T</w:t>
                            </w:r>
                            <w:r w:rsidR="00050BDB" w:rsidRPr="00050BDB">
                              <w:rPr>
                                <w:sz w:val="20"/>
                                <w:szCs w:val="20"/>
                              </w:rPr>
                              <w:t>each how to read ahead for context, deconstruct sentences, and identify discourse markers</w:t>
                            </w:r>
                          </w:p>
                          <w:p w14:paraId="63228C66" w14:textId="769A5334" w:rsidR="00050BDB" w:rsidRDefault="00050BDB" w:rsidP="00050BDB">
                            <w:pPr>
                              <w:pStyle w:val="ListParagraph"/>
                              <w:numPr>
                                <w:ilvl w:val="0"/>
                                <w:numId w:val="1"/>
                              </w:numPr>
                              <w:ind w:left="360"/>
                              <w:rPr>
                                <w:sz w:val="20"/>
                                <w:szCs w:val="20"/>
                              </w:rPr>
                            </w:pPr>
                            <w:r w:rsidRPr="00050BDB">
                              <w:rPr>
                                <w:sz w:val="20"/>
                                <w:szCs w:val="20"/>
                              </w:rPr>
                              <w:t>Model “guttural sounds” that may require extended practice for native English speakers</w:t>
                            </w:r>
                          </w:p>
                          <w:p w14:paraId="1976F11F" w14:textId="6C8E1854" w:rsidR="00050BDB" w:rsidRDefault="00050BDB" w:rsidP="00050BDB">
                            <w:pPr>
                              <w:pStyle w:val="ListParagraph"/>
                              <w:numPr>
                                <w:ilvl w:val="0"/>
                                <w:numId w:val="1"/>
                              </w:numPr>
                              <w:ind w:left="360"/>
                              <w:rPr>
                                <w:sz w:val="20"/>
                                <w:szCs w:val="20"/>
                              </w:rPr>
                            </w:pPr>
                            <w:r w:rsidRPr="00050BDB">
                              <w:rPr>
                                <w:sz w:val="20"/>
                                <w:szCs w:val="20"/>
                              </w:rPr>
                              <w:t>Use a combination of structured activities and performance-based activities to support pronunciation</w:t>
                            </w:r>
                          </w:p>
                          <w:p w14:paraId="22484E58" w14:textId="2D40C7A8" w:rsidR="00050BDB" w:rsidRPr="000A51C7" w:rsidRDefault="00050BDB" w:rsidP="00050BDB">
                            <w:pPr>
                              <w:pStyle w:val="ListParagraph"/>
                              <w:ind w:left="360"/>
                              <w:jc w:val="center"/>
                              <w:rPr>
                                <w:b/>
                                <w:bCs/>
                                <w:sz w:val="20"/>
                                <w:szCs w:val="20"/>
                              </w:rPr>
                            </w:pPr>
                            <w:r w:rsidRPr="000A51C7">
                              <w:rPr>
                                <w:b/>
                                <w:bCs/>
                                <w:sz w:val="20"/>
                                <w:szCs w:val="20"/>
                              </w:rPr>
                              <w:t>Recommendations for Chinese</w:t>
                            </w:r>
                          </w:p>
                          <w:p w14:paraId="0077E1F9" w14:textId="0A52F5C0" w:rsidR="00050BDB" w:rsidRDefault="00050BDB" w:rsidP="00050BDB">
                            <w:pPr>
                              <w:pStyle w:val="ListParagraph"/>
                              <w:numPr>
                                <w:ilvl w:val="0"/>
                                <w:numId w:val="1"/>
                              </w:numPr>
                              <w:ind w:left="360"/>
                              <w:rPr>
                                <w:sz w:val="20"/>
                                <w:szCs w:val="20"/>
                              </w:rPr>
                            </w:pPr>
                            <w:r>
                              <w:rPr>
                                <w:sz w:val="20"/>
                                <w:szCs w:val="20"/>
                              </w:rPr>
                              <w:t>U</w:t>
                            </w:r>
                            <w:r w:rsidRPr="00050BDB">
                              <w:rPr>
                                <w:sz w:val="20"/>
                                <w:szCs w:val="20"/>
                              </w:rPr>
                              <w:t>se mnemonic devices, pictures, shapes, grouping based on similarities, and color-coding to support recognition and memorization of characters and sub-characters</w:t>
                            </w:r>
                          </w:p>
                          <w:p w14:paraId="21DC5994" w14:textId="5DB7C05C" w:rsidR="00050BDB" w:rsidRDefault="00050BDB" w:rsidP="00050BDB">
                            <w:pPr>
                              <w:pStyle w:val="ListParagraph"/>
                              <w:numPr>
                                <w:ilvl w:val="0"/>
                                <w:numId w:val="1"/>
                              </w:numPr>
                              <w:ind w:left="360"/>
                              <w:rPr>
                                <w:sz w:val="20"/>
                                <w:szCs w:val="20"/>
                              </w:rPr>
                            </w:pPr>
                            <w:r w:rsidRPr="00050BDB">
                              <w:rPr>
                                <w:sz w:val="20"/>
                                <w:szCs w:val="20"/>
                              </w:rPr>
                              <w:t>Explore the relationship between meaning, pronunciation, and structure of characters</w:t>
                            </w:r>
                          </w:p>
                          <w:p w14:paraId="6D5B6582" w14:textId="3C5D1077" w:rsidR="00050BDB" w:rsidRDefault="00050BDB" w:rsidP="00050BDB">
                            <w:pPr>
                              <w:pStyle w:val="ListParagraph"/>
                              <w:numPr>
                                <w:ilvl w:val="0"/>
                                <w:numId w:val="1"/>
                              </w:numPr>
                              <w:ind w:left="360"/>
                              <w:rPr>
                                <w:sz w:val="20"/>
                                <w:szCs w:val="20"/>
                              </w:rPr>
                            </w:pPr>
                            <w:r w:rsidRPr="00050BDB">
                              <w:rPr>
                                <w:sz w:val="20"/>
                                <w:szCs w:val="20"/>
                              </w:rPr>
                              <w:t>Build students’ awareness of radicals for chunking and breaking down difficult texts</w:t>
                            </w:r>
                          </w:p>
                          <w:p w14:paraId="594D88CF" w14:textId="474BE645" w:rsidR="00050BDB" w:rsidRDefault="00050BDB" w:rsidP="00050BDB">
                            <w:pPr>
                              <w:pStyle w:val="ListParagraph"/>
                              <w:numPr>
                                <w:ilvl w:val="0"/>
                                <w:numId w:val="1"/>
                              </w:numPr>
                              <w:ind w:left="360"/>
                              <w:rPr>
                                <w:sz w:val="20"/>
                                <w:szCs w:val="20"/>
                              </w:rPr>
                            </w:pPr>
                            <w:r w:rsidRPr="00050BDB">
                              <w:rPr>
                                <w:sz w:val="20"/>
                                <w:szCs w:val="20"/>
                              </w:rPr>
                              <w:t>Introduce Pinyin to support reading and written exchanges with native-speaking students</w:t>
                            </w:r>
                          </w:p>
                          <w:p w14:paraId="45CDB205" w14:textId="3A933A48" w:rsidR="00050BDB" w:rsidRDefault="00050BDB" w:rsidP="00050BDB">
                            <w:pPr>
                              <w:pStyle w:val="ListParagraph"/>
                              <w:numPr>
                                <w:ilvl w:val="0"/>
                                <w:numId w:val="1"/>
                              </w:numPr>
                              <w:ind w:left="360"/>
                              <w:rPr>
                                <w:sz w:val="20"/>
                                <w:szCs w:val="20"/>
                              </w:rPr>
                            </w:pPr>
                            <w:r w:rsidRPr="00050BDB">
                              <w:rPr>
                                <w:sz w:val="20"/>
                                <w:szCs w:val="20"/>
                              </w:rPr>
                              <w:t>Produce gestures indicating the tone contour, use accented Pinyin</w:t>
                            </w:r>
                            <w:r w:rsidR="00041CF0">
                              <w:rPr>
                                <w:sz w:val="20"/>
                                <w:szCs w:val="20"/>
                              </w:rPr>
                              <w:t>,</w:t>
                            </w:r>
                            <w:r w:rsidRPr="00050BDB">
                              <w:rPr>
                                <w:sz w:val="20"/>
                                <w:szCs w:val="20"/>
                              </w:rPr>
                              <w:t xml:space="preserve"> or create Pinyin representations of words next to lines depicting the tone when teaching tones in the classroom</w:t>
                            </w:r>
                          </w:p>
                          <w:p w14:paraId="14A7B012" w14:textId="16E056EA" w:rsidR="00050BDB" w:rsidRPr="0001205D" w:rsidRDefault="00050BDB" w:rsidP="00050BDB">
                            <w:pPr>
                              <w:pStyle w:val="ListParagraph"/>
                              <w:numPr>
                                <w:ilvl w:val="0"/>
                                <w:numId w:val="1"/>
                              </w:numPr>
                              <w:ind w:left="360"/>
                              <w:rPr>
                                <w:sz w:val="20"/>
                                <w:szCs w:val="20"/>
                              </w:rPr>
                            </w:pPr>
                            <w:r w:rsidRPr="00050BDB">
                              <w:rPr>
                                <w:sz w:val="20"/>
                                <w:szCs w:val="20"/>
                              </w:rPr>
                              <w:t xml:space="preserve">Teach pronunciation rules from the beginning </w:t>
                            </w:r>
                            <w:r w:rsidR="000A51C7">
                              <w:rPr>
                                <w:sz w:val="20"/>
                                <w:szCs w:val="20"/>
                              </w:rPr>
                              <w:t xml:space="preserve">to </w:t>
                            </w:r>
                            <w:r w:rsidRPr="00050BDB">
                              <w:rPr>
                                <w:sz w:val="20"/>
                                <w:szCs w:val="20"/>
                              </w:rPr>
                              <w:t xml:space="preserve">support </w:t>
                            </w:r>
                            <w:r w:rsidR="000A51C7">
                              <w:rPr>
                                <w:sz w:val="20"/>
                                <w:szCs w:val="20"/>
                              </w:rPr>
                              <w:t xml:space="preserve">an </w:t>
                            </w:r>
                            <w:r w:rsidRPr="00050BDB">
                              <w:rPr>
                                <w:sz w:val="20"/>
                                <w:szCs w:val="20"/>
                              </w:rPr>
                              <w:t>understanding of tones and their meanings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5C8937B" id="Rectangle 5" o:spid="_x0000_s1027" style="width:466.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" fillcolor="#0c7580" stroked="f" strokeweight="1.5pt">
                <v:textbox>
                  <w:txbxContent>
                    <w:p w14:paraId="4F8E1906" w14:textId="77777777" w:rsidR="002540CE" w:rsidRPr="000A51C7" w:rsidRDefault="002540CE" w:rsidP="002540CE">
                      <w:pPr>
                        <w:pStyle w:val="ListParagraph"/>
                        <w:numPr>
                          <w:ilvl w:val="0"/>
                          <w:numId w:val="1"/>
                        </w:numPr>
                        <w:ind w:left="360"/>
                        <w:rPr>
                          <w:sz w:val="20"/>
                          <w:szCs w:val="20"/>
                        </w:rPr>
                      </w:pPr>
                      <w:r>
                        <w:rPr>
                          <w:sz w:val="20"/>
                          <w:szCs w:val="20"/>
                        </w:rPr>
                        <w:t>Maintain use of the target language as much as possible when providing explicit instruction</w:t>
                      </w:r>
                    </w:p>
                    <w:p w14:paraId="67C6D40A" w14:textId="7D75FCD1" w:rsidR="000A51C7" w:rsidRDefault="000A51C7" w:rsidP="000A51C7">
                      <w:pPr>
                        <w:pStyle w:val="ListParagraph"/>
                        <w:numPr>
                          <w:ilvl w:val="0"/>
                          <w:numId w:val="1"/>
                        </w:numPr>
                        <w:ind w:left="360"/>
                        <w:rPr>
                          <w:sz w:val="20"/>
                          <w:szCs w:val="20"/>
                        </w:rPr>
                      </w:pPr>
                      <w:r>
                        <w:rPr>
                          <w:sz w:val="20"/>
                          <w:szCs w:val="20"/>
                        </w:rPr>
                        <w:t>Proactively connect and collaborate with world language teachers of the same or similar languages</w:t>
                      </w:r>
                    </w:p>
                    <w:p w14:paraId="011F4745" w14:textId="5A3C7A4D" w:rsidR="000A51C7" w:rsidRDefault="000A51C7" w:rsidP="000A51C7">
                      <w:pPr>
                        <w:pStyle w:val="ListParagraph"/>
                        <w:numPr>
                          <w:ilvl w:val="0"/>
                          <w:numId w:val="1"/>
                        </w:numPr>
                        <w:ind w:left="360"/>
                        <w:rPr>
                          <w:sz w:val="20"/>
                          <w:szCs w:val="20"/>
                        </w:rPr>
                      </w:pPr>
                      <w:r>
                        <w:rPr>
                          <w:sz w:val="20"/>
                          <w:szCs w:val="20"/>
                        </w:rPr>
                        <w:t>Participate in professional learning communities to share instructional strategie</w:t>
                      </w:r>
                      <w:r w:rsidR="00681731">
                        <w:rPr>
                          <w:sz w:val="20"/>
                          <w:szCs w:val="20"/>
                        </w:rPr>
                        <w:t>s and resources</w:t>
                      </w:r>
                    </w:p>
                    <w:p w14:paraId="05AA9053" w14:textId="258A8959" w:rsidR="003711E4" w:rsidRPr="002540CE" w:rsidRDefault="000A51C7" w:rsidP="002540CE">
                      <w:pPr>
                        <w:pStyle w:val="ListParagraph"/>
                        <w:numPr>
                          <w:ilvl w:val="0"/>
                          <w:numId w:val="1"/>
                        </w:numPr>
                        <w:ind w:left="360"/>
                        <w:rPr>
                          <w:sz w:val="20"/>
                          <w:szCs w:val="20"/>
                        </w:rPr>
                      </w:pPr>
                      <w:r>
                        <w:rPr>
                          <w:sz w:val="20"/>
                          <w:szCs w:val="20"/>
                        </w:rPr>
                        <w:t>Take opportunities to grow your knowledge of and skills in curriculum and materials development</w:t>
                      </w:r>
                    </w:p>
                    <w:p w14:paraId="738CA911" w14:textId="303D5619" w:rsidR="00050BDB" w:rsidRPr="000A51C7" w:rsidRDefault="000A51C7" w:rsidP="000A51C7">
                      <w:pPr>
                        <w:pStyle w:val="ListParagraph"/>
                        <w:ind w:left="360"/>
                        <w:jc w:val="center"/>
                        <w:rPr>
                          <w:b/>
                          <w:bCs/>
                          <w:sz w:val="20"/>
                          <w:szCs w:val="20"/>
                        </w:rPr>
                      </w:pPr>
                      <w:r w:rsidRPr="000A51C7">
                        <w:rPr>
                          <w:b/>
                          <w:bCs/>
                          <w:sz w:val="20"/>
                          <w:szCs w:val="20"/>
                        </w:rPr>
                        <w:t>Recommendations for Arabic</w:t>
                      </w:r>
                    </w:p>
                    <w:p w14:paraId="493E3A14" w14:textId="08D1CC06" w:rsidR="00050BDB" w:rsidRDefault="00050BDB" w:rsidP="00050BDB">
                      <w:pPr>
                        <w:pStyle w:val="ListParagraph"/>
                        <w:numPr>
                          <w:ilvl w:val="0"/>
                          <w:numId w:val="1"/>
                        </w:numPr>
                        <w:ind w:left="360"/>
                        <w:rPr>
                          <w:sz w:val="20"/>
                          <w:szCs w:val="20"/>
                        </w:rPr>
                      </w:pPr>
                      <w:r w:rsidRPr="00050BDB">
                        <w:rPr>
                          <w:sz w:val="20"/>
                          <w:szCs w:val="20"/>
                        </w:rPr>
                        <w:t>Use an integrated approach that teaches both a dialect and Modern Standard Arabic (MSA</w:t>
                      </w:r>
                      <w:r>
                        <w:rPr>
                          <w:sz w:val="20"/>
                          <w:szCs w:val="20"/>
                        </w:rPr>
                        <w:t>)</w:t>
                      </w:r>
                    </w:p>
                    <w:p w14:paraId="1B4BF65E" w14:textId="3BEC262B" w:rsidR="00050BDB" w:rsidRDefault="00050BDB" w:rsidP="00050BDB">
                      <w:pPr>
                        <w:pStyle w:val="ListParagraph"/>
                        <w:numPr>
                          <w:ilvl w:val="0"/>
                          <w:numId w:val="1"/>
                        </w:numPr>
                        <w:ind w:left="360"/>
                        <w:rPr>
                          <w:sz w:val="20"/>
                          <w:szCs w:val="20"/>
                        </w:rPr>
                      </w:pPr>
                      <w:r w:rsidRPr="00050BDB">
                        <w:rPr>
                          <w:sz w:val="20"/>
                          <w:szCs w:val="20"/>
                        </w:rPr>
                        <w:t xml:space="preserve">Incorporate top-down learning </w:t>
                      </w:r>
                      <w:r w:rsidR="003711E4">
                        <w:rPr>
                          <w:sz w:val="20"/>
                          <w:szCs w:val="20"/>
                        </w:rPr>
                        <w:t xml:space="preserve">strategies </w:t>
                      </w:r>
                      <w:r w:rsidRPr="00050BDB">
                        <w:rPr>
                          <w:sz w:val="20"/>
                          <w:szCs w:val="20"/>
                        </w:rPr>
                        <w:t>and decoding instruction to support literacy devel</w:t>
                      </w:r>
                      <w:r>
                        <w:rPr>
                          <w:sz w:val="20"/>
                          <w:szCs w:val="20"/>
                        </w:rPr>
                        <w:t>opment</w:t>
                      </w:r>
                    </w:p>
                    <w:p w14:paraId="6EE8E0D7" w14:textId="5C36B6E2" w:rsidR="00050BDB" w:rsidRDefault="00050BDB" w:rsidP="00050BDB">
                      <w:pPr>
                        <w:pStyle w:val="ListParagraph"/>
                        <w:numPr>
                          <w:ilvl w:val="0"/>
                          <w:numId w:val="1"/>
                        </w:numPr>
                        <w:ind w:left="360"/>
                        <w:rPr>
                          <w:sz w:val="20"/>
                          <w:szCs w:val="20"/>
                        </w:rPr>
                      </w:pPr>
                      <w:r w:rsidRPr="00050BDB">
                        <w:rPr>
                          <w:sz w:val="20"/>
                          <w:szCs w:val="20"/>
                        </w:rPr>
                        <w:t xml:space="preserve">Expose students to </w:t>
                      </w:r>
                      <w:proofErr w:type="spellStart"/>
                      <w:r w:rsidRPr="00050BDB">
                        <w:rPr>
                          <w:sz w:val="20"/>
                          <w:szCs w:val="20"/>
                        </w:rPr>
                        <w:t>unvowelized</w:t>
                      </w:r>
                      <w:proofErr w:type="spellEnd"/>
                      <w:r w:rsidRPr="00050BDB">
                        <w:rPr>
                          <w:sz w:val="20"/>
                          <w:szCs w:val="20"/>
                        </w:rPr>
                        <w:t xml:space="preserve"> texts and vowelized texts with diacritics</w:t>
                      </w:r>
                    </w:p>
                    <w:p w14:paraId="3A12EDEB" w14:textId="3CB169FC" w:rsidR="00050BDB" w:rsidRDefault="003711E4" w:rsidP="00050BDB">
                      <w:pPr>
                        <w:pStyle w:val="ListParagraph"/>
                        <w:numPr>
                          <w:ilvl w:val="0"/>
                          <w:numId w:val="1"/>
                        </w:numPr>
                        <w:ind w:left="360"/>
                        <w:rPr>
                          <w:sz w:val="20"/>
                          <w:szCs w:val="20"/>
                        </w:rPr>
                      </w:pPr>
                      <w:r>
                        <w:rPr>
                          <w:sz w:val="20"/>
                          <w:szCs w:val="20"/>
                        </w:rPr>
                        <w:t>T</w:t>
                      </w:r>
                      <w:r w:rsidR="00050BDB" w:rsidRPr="00050BDB">
                        <w:rPr>
                          <w:sz w:val="20"/>
                          <w:szCs w:val="20"/>
                        </w:rPr>
                        <w:t>each how to read ahead for context, deconstruct sentences, and identify discourse markers</w:t>
                      </w:r>
                    </w:p>
                    <w:p w14:paraId="63228C66" w14:textId="769A5334" w:rsidR="00050BDB" w:rsidRDefault="00050BDB" w:rsidP="00050BDB">
                      <w:pPr>
                        <w:pStyle w:val="ListParagraph"/>
                        <w:numPr>
                          <w:ilvl w:val="0"/>
                          <w:numId w:val="1"/>
                        </w:numPr>
                        <w:ind w:left="360"/>
                        <w:rPr>
                          <w:sz w:val="20"/>
                          <w:szCs w:val="20"/>
                        </w:rPr>
                      </w:pPr>
                      <w:r w:rsidRPr="00050BDB">
                        <w:rPr>
                          <w:sz w:val="20"/>
                          <w:szCs w:val="20"/>
                        </w:rPr>
                        <w:t>Model “guttural sounds” that may require extended practice for native English speakers</w:t>
                      </w:r>
                    </w:p>
                    <w:p w14:paraId="1976F11F" w14:textId="6C8E1854" w:rsidR="00050BDB" w:rsidRDefault="00050BDB" w:rsidP="00050BDB">
                      <w:pPr>
                        <w:pStyle w:val="ListParagraph"/>
                        <w:numPr>
                          <w:ilvl w:val="0"/>
                          <w:numId w:val="1"/>
                        </w:numPr>
                        <w:ind w:left="360"/>
                        <w:rPr>
                          <w:sz w:val="20"/>
                          <w:szCs w:val="20"/>
                        </w:rPr>
                      </w:pPr>
                      <w:r w:rsidRPr="00050BDB">
                        <w:rPr>
                          <w:sz w:val="20"/>
                          <w:szCs w:val="20"/>
                        </w:rPr>
                        <w:t>Use a combination of structured activities and performance-based activities to support pronunciation</w:t>
                      </w:r>
                    </w:p>
                    <w:p w14:paraId="22484E58" w14:textId="2D40C7A8" w:rsidR="00050BDB" w:rsidRPr="000A51C7" w:rsidRDefault="00050BDB" w:rsidP="00050BDB">
                      <w:pPr>
                        <w:pStyle w:val="ListParagraph"/>
                        <w:ind w:left="360"/>
                        <w:jc w:val="center"/>
                        <w:rPr>
                          <w:b/>
                          <w:bCs/>
                          <w:sz w:val="20"/>
                          <w:szCs w:val="20"/>
                        </w:rPr>
                      </w:pPr>
                      <w:r w:rsidRPr="000A51C7">
                        <w:rPr>
                          <w:b/>
                          <w:bCs/>
                          <w:sz w:val="20"/>
                          <w:szCs w:val="20"/>
                        </w:rPr>
                        <w:t>Recommendations for Chinese</w:t>
                      </w:r>
                    </w:p>
                    <w:p w14:paraId="0077E1F9" w14:textId="0A52F5C0" w:rsidR="00050BDB" w:rsidRDefault="00050BDB" w:rsidP="00050BDB">
                      <w:pPr>
                        <w:pStyle w:val="ListParagraph"/>
                        <w:numPr>
                          <w:ilvl w:val="0"/>
                          <w:numId w:val="1"/>
                        </w:numPr>
                        <w:ind w:left="360"/>
                        <w:rPr>
                          <w:sz w:val="20"/>
                          <w:szCs w:val="20"/>
                        </w:rPr>
                      </w:pPr>
                      <w:r>
                        <w:rPr>
                          <w:sz w:val="20"/>
                          <w:szCs w:val="20"/>
                        </w:rPr>
                        <w:t>U</w:t>
                      </w:r>
                      <w:r w:rsidRPr="00050BDB">
                        <w:rPr>
                          <w:sz w:val="20"/>
                          <w:szCs w:val="20"/>
                        </w:rPr>
                        <w:t>se mnemonic devices, pictures, shapes, grouping based on similarities, and color-coding to support recognition and memorization of characters and sub-characters</w:t>
                      </w:r>
                    </w:p>
                    <w:p w14:paraId="21DC5994" w14:textId="5DB7C05C" w:rsidR="00050BDB" w:rsidRDefault="00050BDB" w:rsidP="00050BDB">
                      <w:pPr>
                        <w:pStyle w:val="ListParagraph"/>
                        <w:numPr>
                          <w:ilvl w:val="0"/>
                          <w:numId w:val="1"/>
                        </w:numPr>
                        <w:ind w:left="360"/>
                        <w:rPr>
                          <w:sz w:val="20"/>
                          <w:szCs w:val="20"/>
                        </w:rPr>
                      </w:pPr>
                      <w:r w:rsidRPr="00050BDB">
                        <w:rPr>
                          <w:sz w:val="20"/>
                          <w:szCs w:val="20"/>
                        </w:rPr>
                        <w:t>Explore the relationship between meaning, pronunciation, and structure of characters</w:t>
                      </w:r>
                    </w:p>
                    <w:p w14:paraId="6D5B6582" w14:textId="3C5D1077" w:rsidR="00050BDB" w:rsidRDefault="00050BDB" w:rsidP="00050BDB">
                      <w:pPr>
                        <w:pStyle w:val="ListParagraph"/>
                        <w:numPr>
                          <w:ilvl w:val="0"/>
                          <w:numId w:val="1"/>
                        </w:numPr>
                        <w:ind w:left="360"/>
                        <w:rPr>
                          <w:sz w:val="20"/>
                          <w:szCs w:val="20"/>
                        </w:rPr>
                      </w:pPr>
                      <w:r w:rsidRPr="00050BDB">
                        <w:rPr>
                          <w:sz w:val="20"/>
                          <w:szCs w:val="20"/>
                        </w:rPr>
                        <w:t>Build students’ awareness of radicals for chunking and breaking down difficult texts</w:t>
                      </w:r>
                    </w:p>
                    <w:p w14:paraId="594D88CF" w14:textId="474BE645" w:rsidR="00050BDB" w:rsidRDefault="00050BDB" w:rsidP="00050BDB">
                      <w:pPr>
                        <w:pStyle w:val="ListParagraph"/>
                        <w:numPr>
                          <w:ilvl w:val="0"/>
                          <w:numId w:val="1"/>
                        </w:numPr>
                        <w:ind w:left="360"/>
                        <w:rPr>
                          <w:sz w:val="20"/>
                          <w:szCs w:val="20"/>
                        </w:rPr>
                      </w:pPr>
                      <w:r w:rsidRPr="00050BDB">
                        <w:rPr>
                          <w:sz w:val="20"/>
                          <w:szCs w:val="20"/>
                        </w:rPr>
                        <w:t>Introduce Pinyin to support reading and written exchanges with native-speaking students</w:t>
                      </w:r>
                    </w:p>
                    <w:p w14:paraId="45CDB205" w14:textId="3A933A48" w:rsidR="00050BDB" w:rsidRDefault="00050BDB" w:rsidP="00050BDB">
                      <w:pPr>
                        <w:pStyle w:val="ListParagraph"/>
                        <w:numPr>
                          <w:ilvl w:val="0"/>
                          <w:numId w:val="1"/>
                        </w:numPr>
                        <w:ind w:left="360"/>
                        <w:rPr>
                          <w:sz w:val="20"/>
                          <w:szCs w:val="20"/>
                        </w:rPr>
                      </w:pPr>
                      <w:r w:rsidRPr="00050BDB">
                        <w:rPr>
                          <w:sz w:val="20"/>
                          <w:szCs w:val="20"/>
                        </w:rPr>
                        <w:t>Produce gestures indicating the tone contour, use accented Pinyin</w:t>
                      </w:r>
                      <w:r w:rsidR="00041CF0">
                        <w:rPr>
                          <w:sz w:val="20"/>
                          <w:szCs w:val="20"/>
                        </w:rPr>
                        <w:t>,</w:t>
                      </w:r>
                      <w:r w:rsidRPr="00050BDB">
                        <w:rPr>
                          <w:sz w:val="20"/>
                          <w:szCs w:val="20"/>
                        </w:rPr>
                        <w:t xml:space="preserve"> or create Pinyin representations of words next to lines depicting the tone when teaching tones in the classroom</w:t>
                      </w:r>
                    </w:p>
                    <w:p w14:paraId="14A7B012" w14:textId="16E056EA" w:rsidR="00050BDB" w:rsidRPr="0001205D" w:rsidRDefault="00050BDB" w:rsidP="00050BDB">
                      <w:pPr>
                        <w:pStyle w:val="ListParagraph"/>
                        <w:numPr>
                          <w:ilvl w:val="0"/>
                          <w:numId w:val="1"/>
                        </w:numPr>
                        <w:ind w:left="360"/>
                        <w:rPr>
                          <w:sz w:val="20"/>
                          <w:szCs w:val="20"/>
                        </w:rPr>
                      </w:pPr>
                      <w:r w:rsidRPr="00050BDB">
                        <w:rPr>
                          <w:sz w:val="20"/>
                          <w:szCs w:val="20"/>
                        </w:rPr>
                        <w:t xml:space="preserve">Teach pronunciation rules from the beginning </w:t>
                      </w:r>
                      <w:r w:rsidR="000A51C7">
                        <w:rPr>
                          <w:sz w:val="20"/>
                          <w:szCs w:val="20"/>
                        </w:rPr>
                        <w:t xml:space="preserve">to </w:t>
                      </w:r>
                      <w:r w:rsidRPr="00050BDB">
                        <w:rPr>
                          <w:sz w:val="20"/>
                          <w:szCs w:val="20"/>
                        </w:rPr>
                        <w:t xml:space="preserve">support </w:t>
                      </w:r>
                      <w:r w:rsidR="000A51C7">
                        <w:rPr>
                          <w:sz w:val="20"/>
                          <w:szCs w:val="20"/>
                        </w:rPr>
                        <w:t xml:space="preserve">an </w:t>
                      </w:r>
                      <w:r w:rsidRPr="00050BDB">
                        <w:rPr>
                          <w:sz w:val="20"/>
                          <w:szCs w:val="20"/>
                        </w:rPr>
                        <w:t>understanding of tones and their meanings</w:t>
                      </w:r>
                    </w:p>
                  </w:txbxContent>
                </v:textbox>
                <w10:anchorlock/>
              </v:rect>
            </w:pict>
          </mc:Fallback>
        </mc:AlternateContent>
      </w:r>
    </w:p>
    <w:p w14:paraId="2360C65F" w14:textId="5DA11561" w:rsidR="00050BDB" w:rsidRDefault="005E2A42" w:rsidP="00050BDB">
      <w:pPr>
        <w:spacing w:after="0"/>
        <w:jc w:val="center"/>
        <w:rPr>
          <w:rFonts w:ascii="Georgia" w:hAnsi="Georgia"/>
          <w:color w:val="0C7580"/>
          <w:sz w:val="28"/>
          <w:szCs w:val="28"/>
        </w:rPr>
      </w:pPr>
      <w:r w:rsidRPr="0039237C">
        <w:rPr>
          <w:rFonts w:eastAsia="Times New Roman" w:cstheme="minorHAnsi"/>
          <w:sz w:val="24"/>
          <w:szCs w:val="24"/>
        </w:rPr>
        <w:t>For more research and a full bibliography for this and other QRG topics, see</w:t>
      </w:r>
    </w:p>
    <w:p w14:paraId="0C2430F3" w14:textId="7A8FFC83" w:rsidR="005E2A42" w:rsidRPr="00050BDB" w:rsidRDefault="00F72B78" w:rsidP="00050BDB">
      <w:pPr>
        <w:spacing w:after="0"/>
        <w:jc w:val="center"/>
        <w:rPr>
          <w:rFonts w:ascii="Georgia" w:hAnsi="Georgia"/>
          <w:color w:val="0C7580"/>
          <w:sz w:val="28"/>
          <w:szCs w:val="28"/>
        </w:rPr>
      </w:pPr>
      <w:hyperlink r:id="rId18" w:history="1">
        <w:r w:rsidR="005E2A42" w:rsidRPr="0039237C">
          <w:rPr>
            <w:rStyle w:val="Hyperlink"/>
            <w:rFonts w:eastAsia="Times New Roman" w:cstheme="minorHAnsi"/>
            <w:sz w:val="24"/>
            <w:szCs w:val="24"/>
          </w:rPr>
          <w:t>World Language Standards Literature Review Report</w:t>
        </w:r>
      </w:hyperlink>
      <w:r w:rsidR="00474017">
        <w:rPr>
          <w:rStyle w:val="Hyperlink"/>
          <w:rFonts w:eastAsia="Times New Roman" w:cstheme="minorHAnsi"/>
          <w:sz w:val="24"/>
          <w:szCs w:val="24"/>
        </w:rPr>
        <w:t>.</w:t>
      </w:r>
    </w:p>
    <w:sectPr w:rsidR="005E2A42" w:rsidRPr="00050BDB" w:rsidSect="006B65BB">
      <w:headerReference w:type="default" r:id="rId19"/>
      <w:footerReference w:type="default" r:id="rId20"/>
      <w:headerReference w:type="first" r:id="rId21"/>
      <w:footerReference w:type="first" r:id="rId22"/>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0C68" w14:textId="77777777" w:rsidR="00F72B78" w:rsidRDefault="00F72B78" w:rsidP="000636CE">
      <w:pPr>
        <w:spacing w:after="0" w:line="240" w:lineRule="auto"/>
      </w:pPr>
      <w:r>
        <w:separator/>
      </w:r>
    </w:p>
  </w:endnote>
  <w:endnote w:type="continuationSeparator" w:id="0">
    <w:p w14:paraId="5027805E" w14:textId="77777777" w:rsidR="00F72B78" w:rsidRDefault="00F72B78" w:rsidP="000636CE">
      <w:pPr>
        <w:spacing w:after="0" w:line="240" w:lineRule="auto"/>
      </w:pPr>
      <w:r>
        <w:continuationSeparator/>
      </w:r>
    </w:p>
  </w:endnote>
  <w:endnote w:id="1">
    <w:p w14:paraId="74CBC80C" w14:textId="4E83BF8E" w:rsidR="00E3549C" w:rsidRDefault="00E3549C">
      <w:pPr>
        <w:pStyle w:val="EndnoteText"/>
      </w:pPr>
      <w:r>
        <w:rPr>
          <w:rStyle w:val="EndnoteReference"/>
        </w:rPr>
        <w:endnoteRef/>
      </w:r>
      <w:r>
        <w:t xml:space="preserve"> </w:t>
      </w:r>
      <w:r w:rsidR="00B12681" w:rsidRPr="00B12681">
        <w:rPr>
          <w:sz w:val="16"/>
          <w:szCs w:val="16"/>
        </w:rPr>
        <w:t xml:space="preserve">American Councils for International Education. (2017). </w:t>
      </w:r>
      <w:r w:rsidR="00B12681" w:rsidRPr="00B12681">
        <w:rPr>
          <w:i/>
          <w:iCs/>
          <w:sz w:val="16"/>
          <w:szCs w:val="16"/>
        </w:rPr>
        <w:t>The National K-16 Foreign Language Enrollment Survey Report.</w:t>
      </w:r>
      <w:r w:rsidR="00B12681" w:rsidRPr="00B12681">
        <w:rPr>
          <w:sz w:val="16"/>
          <w:szCs w:val="16"/>
        </w:rPr>
        <w:t xml:space="preserve"> Washington, D.C.</w:t>
      </w:r>
    </w:p>
  </w:endnote>
  <w:endnote w:id="2">
    <w:p w14:paraId="32F6D852" w14:textId="42D59688" w:rsidR="00B12681" w:rsidRPr="00B12681" w:rsidRDefault="002858FD">
      <w:pPr>
        <w:pStyle w:val="EndnoteText"/>
        <w:rPr>
          <w:sz w:val="16"/>
          <w:szCs w:val="16"/>
        </w:rPr>
      </w:pPr>
      <w:r>
        <w:rPr>
          <w:rStyle w:val="EndnoteReference"/>
        </w:rPr>
        <w:endnoteRef/>
      </w:r>
      <w:r>
        <w:t xml:space="preserve"> </w:t>
      </w:r>
      <w:proofErr w:type="spellStart"/>
      <w:r w:rsidR="00B12681" w:rsidRPr="00B12681">
        <w:rPr>
          <w:sz w:val="16"/>
          <w:szCs w:val="16"/>
        </w:rPr>
        <w:t>Brosh</w:t>
      </w:r>
      <w:proofErr w:type="spellEnd"/>
      <w:r w:rsidR="00B12681" w:rsidRPr="00B12681">
        <w:rPr>
          <w:sz w:val="16"/>
          <w:szCs w:val="16"/>
        </w:rPr>
        <w:t xml:space="preserve">, H. (2020). The Arabic writing system: Understanding the challenges facing students and teachers. </w:t>
      </w:r>
      <w:r w:rsidR="00B12681" w:rsidRPr="00B12681">
        <w:rPr>
          <w:i/>
          <w:iCs/>
          <w:sz w:val="16"/>
          <w:szCs w:val="16"/>
        </w:rPr>
        <w:t xml:space="preserve">Journal of the National Council of Less Commonly Taught Languages, 28, </w:t>
      </w:r>
      <w:r w:rsidR="00B12681" w:rsidRPr="00B12681">
        <w:rPr>
          <w:sz w:val="16"/>
          <w:szCs w:val="16"/>
        </w:rPr>
        <w:t>118-157.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6F4DF19C"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5BB659DD"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0E13A" w14:textId="77777777" w:rsidR="00F72B78" w:rsidRDefault="00F72B78" w:rsidP="000636CE">
      <w:pPr>
        <w:spacing w:after="0" w:line="240" w:lineRule="auto"/>
      </w:pPr>
      <w:r>
        <w:separator/>
      </w:r>
    </w:p>
  </w:footnote>
  <w:footnote w:type="continuationSeparator" w:id="0">
    <w:p w14:paraId="2C33F21C" w14:textId="77777777" w:rsidR="00F72B78" w:rsidRDefault="00F72B78"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55D49D8A"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5BE4D44E" w:rsidR="000636CE" w:rsidRDefault="000636CE">
    <w:pPr>
      <w:pStyle w:val="Header"/>
    </w:pPr>
    <w:r>
      <w:rPr>
        <w:noProof/>
      </w:rPr>
      <w:drawing>
        <wp:anchor distT="0" distB="0" distL="114300" distR="114300" simplePos="0" relativeHeight="251658240" behindDoc="1" locked="0" layoutInCell="1" allowOverlap="1" wp14:anchorId="503CBCE9" wp14:editId="71D44B00">
          <wp:simplePos x="0" y="0"/>
          <wp:positionH relativeFrom="page">
            <wp:posOffset>626110</wp:posOffset>
          </wp:positionH>
          <wp:positionV relativeFrom="paragraph">
            <wp:posOffset>-262255</wp:posOffset>
          </wp:positionV>
          <wp:extent cx="1261872" cy="61264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82B8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0683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EAC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B6A8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D092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5005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2212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D03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5CB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1669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214C8"/>
    <w:multiLevelType w:val="hybridMultilevel"/>
    <w:tmpl w:val="FE3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0082F"/>
    <w:multiLevelType w:val="hybridMultilevel"/>
    <w:tmpl w:val="6AB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12C19"/>
    <w:multiLevelType w:val="hybridMultilevel"/>
    <w:tmpl w:val="05C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52548"/>
    <w:multiLevelType w:val="hybridMultilevel"/>
    <w:tmpl w:val="FA8C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215B"/>
    <w:multiLevelType w:val="hybridMultilevel"/>
    <w:tmpl w:val="8AB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1"/>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332E"/>
    <w:rsid w:val="00017895"/>
    <w:rsid w:val="00041CF0"/>
    <w:rsid w:val="00050BDB"/>
    <w:rsid w:val="00053874"/>
    <w:rsid w:val="000636CE"/>
    <w:rsid w:val="000A51C7"/>
    <w:rsid w:val="000C1358"/>
    <w:rsid w:val="000E1043"/>
    <w:rsid w:val="000E2B3A"/>
    <w:rsid w:val="001A759D"/>
    <w:rsid w:val="001E1F5E"/>
    <w:rsid w:val="002052A3"/>
    <w:rsid w:val="002540CE"/>
    <w:rsid w:val="00254B14"/>
    <w:rsid w:val="00284C55"/>
    <w:rsid w:val="002858FD"/>
    <w:rsid w:val="0028648B"/>
    <w:rsid w:val="00286945"/>
    <w:rsid w:val="002A6319"/>
    <w:rsid w:val="002B1EFD"/>
    <w:rsid w:val="00337E46"/>
    <w:rsid w:val="003711E4"/>
    <w:rsid w:val="003F6D95"/>
    <w:rsid w:val="004150B8"/>
    <w:rsid w:val="00456678"/>
    <w:rsid w:val="00474017"/>
    <w:rsid w:val="00496B4A"/>
    <w:rsid w:val="004C3832"/>
    <w:rsid w:val="004E2BCD"/>
    <w:rsid w:val="00562EA7"/>
    <w:rsid w:val="00580827"/>
    <w:rsid w:val="00591E46"/>
    <w:rsid w:val="005E2A42"/>
    <w:rsid w:val="005E708E"/>
    <w:rsid w:val="00606BDF"/>
    <w:rsid w:val="00622D3D"/>
    <w:rsid w:val="00681731"/>
    <w:rsid w:val="006B65BB"/>
    <w:rsid w:val="006F2A27"/>
    <w:rsid w:val="0071395B"/>
    <w:rsid w:val="00714B38"/>
    <w:rsid w:val="00730129"/>
    <w:rsid w:val="00741BED"/>
    <w:rsid w:val="007829F5"/>
    <w:rsid w:val="007A6B2B"/>
    <w:rsid w:val="00811B8E"/>
    <w:rsid w:val="00812429"/>
    <w:rsid w:val="008A1341"/>
    <w:rsid w:val="009210C0"/>
    <w:rsid w:val="00953D89"/>
    <w:rsid w:val="0098064E"/>
    <w:rsid w:val="00985C9F"/>
    <w:rsid w:val="009C1318"/>
    <w:rsid w:val="009C4FB7"/>
    <w:rsid w:val="009D3B1D"/>
    <w:rsid w:val="00A2340F"/>
    <w:rsid w:val="00A652C6"/>
    <w:rsid w:val="00AB1FF7"/>
    <w:rsid w:val="00AD0C89"/>
    <w:rsid w:val="00AF3C1B"/>
    <w:rsid w:val="00B12681"/>
    <w:rsid w:val="00B42B1B"/>
    <w:rsid w:val="00B538D5"/>
    <w:rsid w:val="00B62DD6"/>
    <w:rsid w:val="00B76297"/>
    <w:rsid w:val="00BD4045"/>
    <w:rsid w:val="00BE4EE9"/>
    <w:rsid w:val="00C03858"/>
    <w:rsid w:val="00C03F1B"/>
    <w:rsid w:val="00C27E0D"/>
    <w:rsid w:val="00C47182"/>
    <w:rsid w:val="00C874F9"/>
    <w:rsid w:val="00CE4D0E"/>
    <w:rsid w:val="00D316CA"/>
    <w:rsid w:val="00D456DC"/>
    <w:rsid w:val="00D47002"/>
    <w:rsid w:val="00D56B17"/>
    <w:rsid w:val="00D645D7"/>
    <w:rsid w:val="00D842CC"/>
    <w:rsid w:val="00D914CE"/>
    <w:rsid w:val="00D92FB2"/>
    <w:rsid w:val="00DA47A9"/>
    <w:rsid w:val="00DB6D23"/>
    <w:rsid w:val="00DE3523"/>
    <w:rsid w:val="00E2132B"/>
    <w:rsid w:val="00E3549C"/>
    <w:rsid w:val="00E4426A"/>
    <w:rsid w:val="00E5550C"/>
    <w:rsid w:val="00E67F68"/>
    <w:rsid w:val="00E823EB"/>
    <w:rsid w:val="00EB5CA8"/>
    <w:rsid w:val="00ED10C8"/>
    <w:rsid w:val="00ED237D"/>
    <w:rsid w:val="00F548C1"/>
    <w:rsid w:val="00F67F08"/>
    <w:rsid w:val="00F72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953D89"/>
    <w:rPr>
      <w:color w:val="0563C1" w:themeColor="hyperlink"/>
      <w:u w:val="single"/>
    </w:rPr>
  </w:style>
  <w:style w:type="paragraph" w:styleId="Caption">
    <w:name w:val="caption"/>
    <w:basedOn w:val="Normal"/>
    <w:next w:val="Normal"/>
    <w:uiPriority w:val="35"/>
    <w:unhideWhenUsed/>
    <w:qFormat/>
    <w:rsid w:val="009210C0"/>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2864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48B"/>
    <w:rPr>
      <w:sz w:val="20"/>
      <w:szCs w:val="20"/>
    </w:rPr>
  </w:style>
  <w:style w:type="character" w:styleId="EndnoteReference">
    <w:name w:val="endnote reference"/>
    <w:basedOn w:val="DefaultParagraphFont"/>
    <w:uiPriority w:val="99"/>
    <w:semiHidden/>
    <w:unhideWhenUsed/>
    <w:rsid w:val="0028648B"/>
    <w:rPr>
      <w:vertAlign w:val="superscript"/>
    </w:rPr>
  </w:style>
  <w:style w:type="character" w:styleId="UnresolvedMention">
    <w:name w:val="Unresolved Mention"/>
    <w:basedOn w:val="DefaultParagraphFont"/>
    <w:uiPriority w:val="99"/>
    <w:semiHidden/>
    <w:unhideWhenUsed/>
    <w:rsid w:val="00C874F9"/>
    <w:rPr>
      <w:color w:val="605E5C"/>
      <w:shd w:val="clear" w:color="auto" w:fill="E1DFDD"/>
    </w:rPr>
  </w:style>
  <w:style w:type="paragraph" w:styleId="FootnoteText">
    <w:name w:val="footnote text"/>
    <w:basedOn w:val="Normal"/>
    <w:link w:val="FootnoteTextChar"/>
    <w:uiPriority w:val="99"/>
    <w:semiHidden/>
    <w:unhideWhenUsed/>
    <w:rsid w:val="00E35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49C"/>
    <w:rPr>
      <w:sz w:val="20"/>
      <w:szCs w:val="20"/>
    </w:rPr>
  </w:style>
  <w:style w:type="character" w:styleId="FootnoteReference">
    <w:name w:val="footnote reference"/>
    <w:basedOn w:val="DefaultParagraphFont"/>
    <w:uiPriority w:val="99"/>
    <w:semiHidden/>
    <w:unhideWhenUsed/>
    <w:rsid w:val="00E3549C"/>
    <w:rPr>
      <w:vertAlign w:val="superscript"/>
    </w:rPr>
  </w:style>
  <w:style w:type="character" w:styleId="FollowedHyperlink">
    <w:name w:val="FollowedHyperlink"/>
    <w:basedOn w:val="DefaultParagraphFont"/>
    <w:uiPriority w:val="99"/>
    <w:semiHidden/>
    <w:unhideWhenUsed/>
    <w:rsid w:val="006B65BB"/>
    <w:rPr>
      <w:color w:val="802B0C"/>
      <w:u w:val="single"/>
    </w:rPr>
  </w:style>
  <w:style w:type="paragraph" w:styleId="Revision">
    <w:name w:val="Revision"/>
    <w:hidden/>
    <w:uiPriority w:val="99"/>
    <w:semiHidden/>
    <w:rsid w:val="00B53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www.doe.mass.edu/worldlanguages/leader-network/literature-review.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tate.gov/foreign-language-trainin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AF3652-66C9-468E-B311-6A69FDDCFD41}" type="doc">
      <dgm:prSet loTypeId="urn:microsoft.com/office/officeart/2005/8/layout/process1" loCatId="process" qsTypeId="urn:microsoft.com/office/officeart/2005/8/quickstyle/simple1" qsCatId="simple" csTypeId="urn:microsoft.com/office/officeart/2005/8/colors/accent1_2" csCatId="accent1" phldr="1"/>
      <dgm:spPr/>
    </dgm:pt>
    <dgm:pt modelId="{C31F6DF0-9986-44D6-9433-F00372647F51}">
      <dgm:prSet phldrT="[Text]" custT="1"/>
      <dgm:spPr>
        <a:solidFill>
          <a:srgbClr val="0C7580"/>
        </a:solidFill>
        <a:ln w="25400">
          <a:noFill/>
        </a:ln>
      </dgm:spPr>
      <dgm:t>
        <a:bodyPr/>
        <a:lstStyle/>
        <a:p>
          <a:pPr algn="ctr"/>
          <a:r>
            <a:rPr lang="en-US" sz="1100"/>
            <a:t>Celebrate, validate, and support linguistic and cultural diversity in the classroom</a:t>
          </a:r>
          <a:endParaRPr lang="en-US" sz="1100">
            <a:solidFill>
              <a:schemeClr val="bg1"/>
            </a:solidFill>
          </a:endParaRPr>
        </a:p>
      </dgm:t>
    </dgm:pt>
    <dgm:pt modelId="{F862AC52-1B14-429C-AB40-F941067BA046}" type="parTrans" cxnId="{950527FB-F373-421C-A8E8-56D1CCAE8B7F}">
      <dgm:prSet/>
      <dgm:spPr/>
      <dgm:t>
        <a:bodyPr/>
        <a:lstStyle/>
        <a:p>
          <a:pPr algn="ctr"/>
          <a:endParaRPr lang="en-US" sz="800"/>
        </a:p>
      </dgm:t>
    </dgm:pt>
    <dgm:pt modelId="{CCD4D655-585E-496A-9E9F-51E8F24FBA58}" type="sibTrans" cxnId="{950527FB-F373-421C-A8E8-56D1CCAE8B7F}">
      <dgm:prSet custT="1"/>
      <dgm:spPr>
        <a:solidFill>
          <a:srgbClr val="0C7580">
            <a:alpha val="50000"/>
          </a:srgbClr>
        </a:solidFill>
      </dgm:spPr>
      <dgm:t>
        <a:bodyPr/>
        <a:lstStyle/>
        <a:p>
          <a:pPr algn="ctr"/>
          <a:endParaRPr lang="en-US" sz="800"/>
        </a:p>
      </dgm:t>
    </dgm:pt>
    <dgm:pt modelId="{DE87288E-17B3-4E58-8B24-1ACBEB1949A2}">
      <dgm:prSet phldrT="[Text]" custT="1"/>
      <dgm:spPr>
        <a:solidFill>
          <a:srgbClr val="0C7580"/>
        </a:solidFill>
        <a:ln w="25400">
          <a:noFill/>
        </a:ln>
      </dgm:spPr>
      <dgm:t>
        <a:bodyPr/>
        <a:lstStyle/>
        <a:p>
          <a:pPr algn="ctr"/>
          <a:r>
            <a:rPr lang="en-US" sz="1100">
              <a:solidFill>
                <a:schemeClr val="bg1"/>
              </a:solidFill>
            </a:rPr>
            <a:t>Encourage students to notice similarities and differences between language varieties</a:t>
          </a:r>
        </a:p>
      </dgm:t>
    </dgm:pt>
    <dgm:pt modelId="{6F2488A8-0AAC-4AC4-A999-205EE2695339}" type="parTrans" cxnId="{904FA3CC-6DEA-468C-BC69-08FDC0DBC924}">
      <dgm:prSet/>
      <dgm:spPr/>
      <dgm:t>
        <a:bodyPr/>
        <a:lstStyle/>
        <a:p>
          <a:pPr algn="ctr"/>
          <a:endParaRPr lang="en-US" sz="800"/>
        </a:p>
      </dgm:t>
    </dgm:pt>
    <dgm:pt modelId="{D05690C6-F931-4276-8A5D-36AEF33353DD}" type="sibTrans" cxnId="{904FA3CC-6DEA-468C-BC69-08FDC0DBC924}">
      <dgm:prSet custT="1"/>
      <dgm:spPr>
        <a:solidFill>
          <a:srgbClr val="0C7580">
            <a:alpha val="50000"/>
          </a:srgbClr>
        </a:solidFill>
      </dgm:spPr>
      <dgm:t>
        <a:bodyPr/>
        <a:lstStyle/>
        <a:p>
          <a:pPr algn="ctr"/>
          <a:endParaRPr lang="en-US" sz="800"/>
        </a:p>
      </dgm:t>
    </dgm:pt>
    <dgm:pt modelId="{E3D0A950-2BCA-4720-B3D7-E5EA1E4976B2}">
      <dgm:prSet phldrT="[Text]" custT="1"/>
      <dgm:spPr>
        <a:solidFill>
          <a:srgbClr val="0C7580"/>
        </a:solidFill>
        <a:ln w="25400">
          <a:noFill/>
        </a:ln>
      </dgm:spPr>
      <dgm:t>
        <a:bodyPr/>
        <a:lstStyle/>
        <a:p>
          <a:pPr algn="ctr"/>
          <a:r>
            <a:rPr lang="en-US" sz="1100">
              <a:solidFill>
                <a:schemeClr val="bg1"/>
              </a:solidFill>
            </a:rPr>
            <a:t>Teach specific communicative skills for different contexts that require different forms of the language</a:t>
          </a:r>
        </a:p>
      </dgm:t>
    </dgm:pt>
    <dgm:pt modelId="{609CFE2E-4566-4CB9-83BA-9B781CFC2205}" type="parTrans" cxnId="{80A961CA-557C-4975-A665-688DA6D4F073}">
      <dgm:prSet/>
      <dgm:spPr/>
      <dgm:t>
        <a:bodyPr/>
        <a:lstStyle/>
        <a:p>
          <a:pPr algn="ctr"/>
          <a:endParaRPr lang="en-US" sz="800"/>
        </a:p>
      </dgm:t>
    </dgm:pt>
    <dgm:pt modelId="{5D67EF1C-2B58-4BA2-AE1D-216327B7BA7C}" type="sibTrans" cxnId="{80A961CA-557C-4975-A665-688DA6D4F073}">
      <dgm:prSet/>
      <dgm:spPr/>
      <dgm:t>
        <a:bodyPr/>
        <a:lstStyle/>
        <a:p>
          <a:pPr algn="ctr"/>
          <a:endParaRPr lang="en-US" sz="800"/>
        </a:p>
      </dgm:t>
    </dgm:pt>
    <dgm:pt modelId="{80F09A60-0326-46A2-AA37-8816750A9D68}" type="pres">
      <dgm:prSet presAssocID="{C3AF3652-66C9-468E-B311-6A69FDDCFD41}" presName="Name0" presStyleCnt="0">
        <dgm:presLayoutVars>
          <dgm:dir/>
          <dgm:resizeHandles val="exact"/>
        </dgm:presLayoutVars>
      </dgm:prSet>
      <dgm:spPr/>
    </dgm:pt>
    <dgm:pt modelId="{A5EB668E-955C-4A41-8CAC-65C8F9384C81}" type="pres">
      <dgm:prSet presAssocID="{C31F6DF0-9986-44D6-9433-F00372647F51}" presName="node" presStyleLbl="node1" presStyleIdx="0" presStyleCnt="3">
        <dgm:presLayoutVars>
          <dgm:bulletEnabled val="1"/>
        </dgm:presLayoutVars>
      </dgm:prSet>
      <dgm:spPr/>
    </dgm:pt>
    <dgm:pt modelId="{C824B196-AB07-4AB9-9325-9264E152C1CD}" type="pres">
      <dgm:prSet presAssocID="{CCD4D655-585E-496A-9E9F-51E8F24FBA58}" presName="sibTrans" presStyleLbl="sibTrans2D1" presStyleIdx="0" presStyleCnt="2"/>
      <dgm:spPr/>
    </dgm:pt>
    <dgm:pt modelId="{F5489261-A416-4599-87AB-27599E268D50}" type="pres">
      <dgm:prSet presAssocID="{CCD4D655-585E-496A-9E9F-51E8F24FBA58}" presName="connectorText" presStyleLbl="sibTrans2D1" presStyleIdx="0" presStyleCnt="2"/>
      <dgm:spPr/>
    </dgm:pt>
    <dgm:pt modelId="{1CB690A7-63F2-4058-A47C-CBFEE52E2CC9}" type="pres">
      <dgm:prSet presAssocID="{DE87288E-17B3-4E58-8B24-1ACBEB1949A2}" presName="node" presStyleLbl="node1" presStyleIdx="1" presStyleCnt="3" custLinFactNeighborX="-1184" custLinFactNeighborY="1391">
        <dgm:presLayoutVars>
          <dgm:bulletEnabled val="1"/>
        </dgm:presLayoutVars>
      </dgm:prSet>
      <dgm:spPr/>
    </dgm:pt>
    <dgm:pt modelId="{C734CE8D-FA9A-46EA-9CFA-5287AF1131DB}" type="pres">
      <dgm:prSet presAssocID="{D05690C6-F931-4276-8A5D-36AEF33353DD}" presName="sibTrans" presStyleLbl="sibTrans2D1" presStyleIdx="1" presStyleCnt="2"/>
      <dgm:spPr/>
    </dgm:pt>
    <dgm:pt modelId="{1EACCD1C-BBB5-47EB-8C20-36E6B4D98D19}" type="pres">
      <dgm:prSet presAssocID="{D05690C6-F931-4276-8A5D-36AEF33353DD}" presName="connectorText" presStyleLbl="sibTrans2D1" presStyleIdx="1" presStyleCnt="2"/>
      <dgm:spPr/>
    </dgm:pt>
    <dgm:pt modelId="{3670A65F-F8A8-4146-9E41-0289957DD8FD}" type="pres">
      <dgm:prSet presAssocID="{E3D0A950-2BCA-4720-B3D7-E5EA1E4976B2}" presName="node" presStyleLbl="node1" presStyleIdx="2" presStyleCnt="3">
        <dgm:presLayoutVars>
          <dgm:bulletEnabled val="1"/>
        </dgm:presLayoutVars>
      </dgm:prSet>
      <dgm:spPr/>
    </dgm:pt>
  </dgm:ptLst>
  <dgm:cxnLst>
    <dgm:cxn modelId="{F3C0A429-41F1-497A-A50D-1DE0E6637276}" type="presOf" srcId="{DE87288E-17B3-4E58-8B24-1ACBEB1949A2}" destId="{1CB690A7-63F2-4058-A47C-CBFEE52E2CC9}" srcOrd="0" destOrd="0" presId="urn:microsoft.com/office/officeart/2005/8/layout/process1"/>
    <dgm:cxn modelId="{A0C2F438-30C7-4672-B5D2-4CB5093BEACF}" type="presOf" srcId="{CCD4D655-585E-496A-9E9F-51E8F24FBA58}" destId="{F5489261-A416-4599-87AB-27599E268D50}" srcOrd="1" destOrd="0" presId="urn:microsoft.com/office/officeart/2005/8/layout/process1"/>
    <dgm:cxn modelId="{287E0765-3E96-4C0F-8CBC-C3674587C38C}" type="presOf" srcId="{E3D0A950-2BCA-4720-B3D7-E5EA1E4976B2}" destId="{3670A65F-F8A8-4146-9E41-0289957DD8FD}" srcOrd="0" destOrd="0" presId="urn:microsoft.com/office/officeart/2005/8/layout/process1"/>
    <dgm:cxn modelId="{4C71B956-5A72-4189-9547-2670FBF65C8B}" type="presOf" srcId="{D05690C6-F931-4276-8A5D-36AEF33353DD}" destId="{C734CE8D-FA9A-46EA-9CFA-5287AF1131DB}" srcOrd="0" destOrd="0" presId="urn:microsoft.com/office/officeart/2005/8/layout/process1"/>
    <dgm:cxn modelId="{41780D88-6C9F-458F-B23B-F61199A54CEA}" type="presOf" srcId="{C31F6DF0-9986-44D6-9433-F00372647F51}" destId="{A5EB668E-955C-4A41-8CAC-65C8F9384C81}" srcOrd="0" destOrd="0" presId="urn:microsoft.com/office/officeart/2005/8/layout/process1"/>
    <dgm:cxn modelId="{7D0DC4AB-4CB9-4EA3-A1E2-44513D4D718B}" type="presOf" srcId="{C3AF3652-66C9-468E-B311-6A69FDDCFD41}" destId="{80F09A60-0326-46A2-AA37-8816750A9D68}" srcOrd="0" destOrd="0" presId="urn:microsoft.com/office/officeart/2005/8/layout/process1"/>
    <dgm:cxn modelId="{71CEC5B5-8FF8-48D5-A9F0-902848778EF0}" type="presOf" srcId="{D05690C6-F931-4276-8A5D-36AEF33353DD}" destId="{1EACCD1C-BBB5-47EB-8C20-36E6B4D98D19}" srcOrd="1" destOrd="0" presId="urn:microsoft.com/office/officeart/2005/8/layout/process1"/>
    <dgm:cxn modelId="{80A961CA-557C-4975-A665-688DA6D4F073}" srcId="{C3AF3652-66C9-468E-B311-6A69FDDCFD41}" destId="{E3D0A950-2BCA-4720-B3D7-E5EA1E4976B2}" srcOrd="2" destOrd="0" parTransId="{609CFE2E-4566-4CB9-83BA-9B781CFC2205}" sibTransId="{5D67EF1C-2B58-4BA2-AE1D-216327B7BA7C}"/>
    <dgm:cxn modelId="{904FA3CC-6DEA-468C-BC69-08FDC0DBC924}" srcId="{C3AF3652-66C9-468E-B311-6A69FDDCFD41}" destId="{DE87288E-17B3-4E58-8B24-1ACBEB1949A2}" srcOrd="1" destOrd="0" parTransId="{6F2488A8-0AAC-4AC4-A999-205EE2695339}" sibTransId="{D05690C6-F931-4276-8A5D-36AEF33353DD}"/>
    <dgm:cxn modelId="{56CFF2DC-2B9B-4700-B63D-96FE507E18B1}" type="presOf" srcId="{CCD4D655-585E-496A-9E9F-51E8F24FBA58}" destId="{C824B196-AB07-4AB9-9325-9264E152C1CD}" srcOrd="0" destOrd="0" presId="urn:microsoft.com/office/officeart/2005/8/layout/process1"/>
    <dgm:cxn modelId="{950527FB-F373-421C-A8E8-56D1CCAE8B7F}" srcId="{C3AF3652-66C9-468E-B311-6A69FDDCFD41}" destId="{C31F6DF0-9986-44D6-9433-F00372647F51}" srcOrd="0" destOrd="0" parTransId="{F862AC52-1B14-429C-AB40-F941067BA046}" sibTransId="{CCD4D655-585E-496A-9E9F-51E8F24FBA58}"/>
    <dgm:cxn modelId="{69B0D4D2-0F7D-4289-8A4C-4695789DEE70}" type="presParOf" srcId="{80F09A60-0326-46A2-AA37-8816750A9D68}" destId="{A5EB668E-955C-4A41-8CAC-65C8F9384C81}" srcOrd="0" destOrd="0" presId="urn:microsoft.com/office/officeart/2005/8/layout/process1"/>
    <dgm:cxn modelId="{432AC2E8-F53E-4362-B95C-C7424E39E2B4}" type="presParOf" srcId="{80F09A60-0326-46A2-AA37-8816750A9D68}" destId="{C824B196-AB07-4AB9-9325-9264E152C1CD}" srcOrd="1" destOrd="0" presId="urn:microsoft.com/office/officeart/2005/8/layout/process1"/>
    <dgm:cxn modelId="{4EADB02D-243F-4D8C-82FB-02A7155C1E95}" type="presParOf" srcId="{C824B196-AB07-4AB9-9325-9264E152C1CD}" destId="{F5489261-A416-4599-87AB-27599E268D50}" srcOrd="0" destOrd="0" presId="urn:microsoft.com/office/officeart/2005/8/layout/process1"/>
    <dgm:cxn modelId="{077D3C6D-C367-4111-907C-E3FAE3F216FB}" type="presParOf" srcId="{80F09A60-0326-46A2-AA37-8816750A9D68}" destId="{1CB690A7-63F2-4058-A47C-CBFEE52E2CC9}" srcOrd="2" destOrd="0" presId="urn:microsoft.com/office/officeart/2005/8/layout/process1"/>
    <dgm:cxn modelId="{EE3F1DC3-8362-4CF8-8228-94197D26A6A0}" type="presParOf" srcId="{80F09A60-0326-46A2-AA37-8816750A9D68}" destId="{C734CE8D-FA9A-46EA-9CFA-5287AF1131DB}" srcOrd="3" destOrd="0" presId="urn:microsoft.com/office/officeart/2005/8/layout/process1"/>
    <dgm:cxn modelId="{2E926B41-D097-48E0-9C03-D71E548E9ECA}" type="presParOf" srcId="{C734CE8D-FA9A-46EA-9CFA-5287AF1131DB}" destId="{1EACCD1C-BBB5-47EB-8C20-36E6B4D98D19}" srcOrd="0" destOrd="0" presId="urn:microsoft.com/office/officeart/2005/8/layout/process1"/>
    <dgm:cxn modelId="{F6301DA3-B0C3-4ECF-89BC-5ED20EB08861}" type="presParOf" srcId="{80F09A60-0326-46A2-AA37-8816750A9D68}" destId="{3670A65F-F8A8-4146-9E41-0289957DD8FD}"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B668E-955C-4A41-8CAC-65C8F9384C81}">
      <dsp:nvSpPr>
        <dsp:cNvPr id="0" name=""/>
        <dsp:cNvSpPr/>
      </dsp:nvSpPr>
      <dsp:spPr>
        <a:xfrm>
          <a:off x="8118" y="0"/>
          <a:ext cx="1559331"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Celebrate, validate, and support linguistic and cultural diversity in the classroom</a:t>
          </a:r>
          <a:endParaRPr lang="en-US" sz="1100" kern="1200">
            <a:solidFill>
              <a:schemeClr val="bg1"/>
            </a:solidFill>
          </a:endParaRPr>
        </a:p>
      </dsp:txBody>
      <dsp:txXfrm>
        <a:off x="33784" y="25666"/>
        <a:ext cx="1507999" cy="824968"/>
      </dsp:txXfrm>
    </dsp:sp>
    <dsp:sp modelId="{C824B196-AB07-4AB9-9325-9264E152C1CD}">
      <dsp:nvSpPr>
        <dsp:cNvPr id="0" name=""/>
        <dsp:cNvSpPr/>
      </dsp:nvSpPr>
      <dsp:spPr>
        <a:xfrm>
          <a:off x="1721536" y="244792"/>
          <a:ext cx="326664" cy="386714"/>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21536" y="322135"/>
        <a:ext cx="228665" cy="232028"/>
      </dsp:txXfrm>
    </dsp:sp>
    <dsp:sp modelId="{1CB690A7-63F2-4058-A47C-CBFEE52E2CC9}">
      <dsp:nvSpPr>
        <dsp:cNvPr id="0" name=""/>
        <dsp:cNvSpPr/>
      </dsp:nvSpPr>
      <dsp:spPr>
        <a:xfrm>
          <a:off x="2183796" y="0"/>
          <a:ext cx="1559331"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Encourage students to notice similarities and differences between language varieties</a:t>
          </a:r>
        </a:p>
      </dsp:txBody>
      <dsp:txXfrm>
        <a:off x="2209462" y="25666"/>
        <a:ext cx="1507999" cy="824968"/>
      </dsp:txXfrm>
    </dsp:sp>
    <dsp:sp modelId="{C734CE8D-FA9A-46EA-9CFA-5287AF1131DB}">
      <dsp:nvSpPr>
        <dsp:cNvPr id="0" name=""/>
        <dsp:cNvSpPr/>
      </dsp:nvSpPr>
      <dsp:spPr>
        <a:xfrm>
          <a:off x="3900907" y="244792"/>
          <a:ext cx="334492" cy="386714"/>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00907" y="322135"/>
        <a:ext cx="234144" cy="232028"/>
      </dsp:txXfrm>
    </dsp:sp>
    <dsp:sp modelId="{3670A65F-F8A8-4146-9E41-0289957DD8FD}">
      <dsp:nvSpPr>
        <dsp:cNvPr id="0" name=""/>
        <dsp:cNvSpPr/>
      </dsp:nvSpPr>
      <dsp:spPr>
        <a:xfrm>
          <a:off x="4374245" y="0"/>
          <a:ext cx="1559331"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Teach specific communicative skills for different contexts that require different forms of the language</a:t>
          </a:r>
        </a:p>
      </dsp:txBody>
      <dsp:txXfrm>
        <a:off x="4399911" y="25666"/>
        <a:ext cx="1507999" cy="8249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DESE-231-68997</_dlc_DocId>
    <_dlc_DocIdUrl xmlns="733efe1c-5bbe-4968-87dc-d400e65c879f">
      <Url>https://sharepoint.doemass.org/ese/webteam/cps/_layouts/DocIdRedir.aspx?ID=DESE-231-68997</Url>
      <Description>DESE-231-68997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You06</b:Tag>
    <b:SourceType>BookSection</b:SourceType>
    <b:Guid>{97F3F8EF-D70F-4104-8F92-7B97DCFBF521}</b:Guid>
    <b:Author>
      <b:Author>
        <b:NameList>
          <b:Person>
            <b:Last>Younes</b:Last>
            <b:First>Munther</b:First>
          </b:Person>
        </b:NameList>
      </b:Author>
      <b:BookAuthor>
        <b:NameList>
          <b:Person>
            <b:Last>Wahba</b:Last>
            <b:First>Kassem</b:First>
          </b:Person>
          <b:Person>
            <b:Last>Taha</b:Last>
            <b:Middle>A.</b:Middle>
            <b:First>Zeinab</b:First>
          </b:Person>
          <b:Person>
            <b:Last>England</b:Last>
            <b:First>Liz</b:First>
          </b:Person>
        </b:NameList>
      </b:BookAuthor>
    </b:Author>
    <b:Title>Integrating the Colloquial with Fuṣḥā in the Arabic-as-a-Foreign-Language Classroom</b:Title>
    <b:BookTitle>Handbook for Arabic Language Teaching Professionals in the 21st Century</b:BookTitle>
    <b:Year>2006</b:Year>
    <b:Pages>157-166</b:Pages>
    <b:City>Mahway, NJ</b:City>
    <b:Publisher>Lawrence Erlbaum Associates</b:Publisher>
    <b:RefOrder>1</b:RefOrder>
  </b:Source>
  <b:Source>
    <b:Tag>Shi17</b:Tag>
    <b:SourceType>BookSection</b:SourceType>
    <b:Guid>{05FC110A-F1A5-432A-BD7D-1156D86E9264}</b:Guid>
    <b:Title>Arabic Diglossic Speaking without Mixing: Practices and Outcomes from a Beginning Level</b:Title>
    <b:BookTitle>Arabic as One Language: Integrating Dialect in the Arabic Language Curriculum</b:BookTitle>
    <b:Year>2017</b:Year>
    <b:City>Washington, DC</b:City>
    <b:Publisher>Georgetown University Press</b:Publisher>
    <b:Author>
      <b:Author>
        <b:NameList>
          <b:Person>
            <b:Last>Shiri</b:Last>
            <b:First>Sonia</b:First>
          </b:Person>
          <b:Person>
            <b:Last>Joukhadar</b:Last>
            <b:First>Charles</b:First>
          </b:Person>
        </b:NameList>
      </b:Author>
      <b:BookAuthor>
        <b:NameList>
          <b:Person>
            <b:Last>Al-Batal</b:Last>
            <b:First>Mahmoud</b:First>
          </b:Person>
        </b:NameList>
      </b:BookAuthor>
    </b:Author>
    <b:RefOrder>2</b:RefOrder>
  </b:Source>
  <b:Source>
    <b:Tag>LüC17</b:Tag>
    <b:SourceType>JournalArticle</b:SourceType>
    <b:Guid>{F2696DA3-E605-4C9A-85DA-002BA7E58167}</b:Guid>
    <b:Title>The Roles of Pinyin Skill in English-Chinese Biliteracy Learning: Evidence from Chinese Immersion Learners</b:Title>
    <b:JournalName>Foreign Language Annals</b:JournalName>
    <b:Year>2017</b:Year>
    <b:Pages>306-322</b:Pages>
    <b:Author>
      <b:Author>
        <b:NameList>
          <b:Person>
            <b:Last>Lü</b:Last>
            <b:First>Chan</b:First>
          </b:Person>
        </b:NameList>
      </b:Author>
    </b:Author>
    <b:RefOrder>3</b:RefOrder>
  </b:Source>
  <b:Source>
    <b:Tag>AlM20</b:Tag>
    <b:SourceType>JournalArticle</b:SourceType>
    <b:Guid>{A326A6E8-499F-46BE-9CED-B6F3C9D35F6B}</b:Guid>
    <b:Title>Arabic Diacritics and Their Role in Facilitating Reading Speed, Accuracy, and Comprehension by English L2 Learners of Arabic</b:Title>
    <b:JournalName>The Modern Language Journal</b:JournalName>
    <b:Year>2020</b:Year>
    <b:Pages>418-438</b:Pages>
    <b:Author>
      <b:Author>
        <b:NameList>
          <b:Person>
            <b:Last>Al Midhwah</b:Last>
            <b:First>Ali</b:First>
          </b:Person>
          <b:Person>
            <b:Last>Alhawary</b:Last>
            <b:Middle>T.</b:Middle>
            <b:First>Mohammad</b:First>
          </b:Person>
        </b:NameList>
      </b:Author>
    </b:Author>
    <b:RefOrder>4</b:RefOrder>
  </b:Source>
</b:Sources>
</file>

<file path=customXml/itemProps1.xml><?xml version="1.0" encoding="utf-8"?>
<ds:datastoreItem xmlns:ds="http://schemas.openxmlformats.org/officeDocument/2006/customXml" ds:itemID="{5E0B7048-FA19-4820-ADCF-DE190B16A3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23F3773-F069-4DA6-A0CE-60E69F44E57A}">
  <ds:schemaRefs>
    <ds:schemaRef ds:uri="http://schemas.microsoft.com/sharepoint/v3/contenttype/forms"/>
  </ds:schemaRefs>
</ds:datastoreItem>
</file>

<file path=customXml/itemProps3.xml><?xml version="1.0" encoding="utf-8"?>
<ds:datastoreItem xmlns:ds="http://schemas.openxmlformats.org/officeDocument/2006/customXml" ds:itemID="{ED07EF0D-70A4-4FC7-A8D6-641B3E288817}">
  <ds:schemaRefs>
    <ds:schemaRef ds:uri="http://schemas.microsoft.com/sharepoint/events"/>
  </ds:schemaRefs>
</ds:datastoreItem>
</file>

<file path=customXml/itemProps4.xml><?xml version="1.0" encoding="utf-8"?>
<ds:datastoreItem xmlns:ds="http://schemas.openxmlformats.org/officeDocument/2006/customXml" ds:itemID="{4142162D-8AFB-45E4-B507-E40F15FF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D9459-5EB0-4F89-A856-880293E1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WL Quick Reference Guide: Languages with Diverse Written Representations (LDWR)</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Quick Reference Guide: Languages with Diverse Written Representations (LDWR)</dc:title>
  <dc:subject/>
  <dc:creator>DESE</dc:creator>
  <cp:keywords/>
  <dc:description/>
  <cp:lastModifiedBy>Zou, Dong (EOE)</cp:lastModifiedBy>
  <cp:revision>4</cp:revision>
  <dcterms:created xsi:type="dcterms:W3CDTF">2021-03-15T17:12:00Z</dcterms:created>
  <dcterms:modified xsi:type="dcterms:W3CDTF">2021-03-15T19:24:00Z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