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A5C8" w14:textId="181E91DE" w:rsidR="00D47002" w:rsidRDefault="00DF3FA9" w:rsidP="00A35269">
      <w:pPr>
        <w:spacing w:after="0"/>
        <w:jc w:val="center"/>
        <w:rPr>
          <w:rFonts w:ascii="Georgia" w:hAnsi="Georgia"/>
          <w:color w:val="0C7580"/>
          <w:sz w:val="32"/>
          <w:szCs w:val="32"/>
        </w:rPr>
      </w:pPr>
      <w:r>
        <w:rPr>
          <w:rFonts w:ascii="Georgia" w:hAnsi="Georgia"/>
          <w:color w:val="0C7580"/>
          <w:sz w:val="32"/>
          <w:szCs w:val="32"/>
        </w:rPr>
        <w:t>Curriculum Alignment</w:t>
      </w:r>
      <w:r w:rsidR="00CB55B6">
        <w:rPr>
          <w:rFonts w:ascii="Georgia" w:hAnsi="Georgia"/>
          <w:color w:val="0C7580"/>
          <w:sz w:val="32"/>
          <w:szCs w:val="32"/>
        </w:rPr>
        <w:t xml:space="preserve"> </w:t>
      </w:r>
      <w:r w:rsidR="0009248C">
        <w:rPr>
          <w:rFonts w:ascii="Georgia" w:hAnsi="Georgia"/>
          <w:color w:val="0C7580"/>
          <w:sz w:val="32"/>
          <w:szCs w:val="32"/>
        </w:rPr>
        <w:t>Lab 1</w:t>
      </w:r>
      <w:r w:rsidR="00BF6912">
        <w:rPr>
          <w:rFonts w:ascii="Georgia" w:hAnsi="Georgia"/>
          <w:color w:val="0C7580"/>
          <w:sz w:val="32"/>
          <w:szCs w:val="32"/>
        </w:rPr>
        <w:t xml:space="preserve">: </w:t>
      </w:r>
      <w:r w:rsidR="008F39CF">
        <w:rPr>
          <w:rFonts w:ascii="Georgia" w:hAnsi="Georgia"/>
          <w:color w:val="0C7580"/>
          <w:sz w:val="32"/>
          <w:szCs w:val="32"/>
        </w:rPr>
        <w:t xml:space="preserve">Facilitator </w:t>
      </w:r>
      <w:r w:rsidR="00BF6912">
        <w:rPr>
          <w:rFonts w:ascii="Georgia" w:hAnsi="Georgia"/>
          <w:color w:val="0C7580"/>
          <w:sz w:val="32"/>
          <w:szCs w:val="32"/>
        </w:rPr>
        <w:t>Agenda</w:t>
      </w:r>
    </w:p>
    <w:p w14:paraId="27B32CA0" w14:textId="3CA1AE7C" w:rsidR="00503D58" w:rsidRDefault="00B17E48" w:rsidP="00745522">
      <w:pPr>
        <w:tabs>
          <w:tab w:val="left" w:pos="9270"/>
        </w:tabs>
        <w:spacing w:after="0"/>
        <w:rPr>
          <w:rFonts w:cstheme="minorHAnsi"/>
          <w:sz w:val="20"/>
          <w:szCs w:val="20"/>
        </w:rPr>
      </w:pPr>
      <w:r w:rsidRPr="00B813C0">
        <w:rPr>
          <w:rFonts w:cstheme="minorHAnsi"/>
          <w:b/>
          <w:bCs/>
          <w:noProof/>
          <w:sz w:val="20"/>
          <w:szCs w:val="20"/>
        </w:rPr>
        <mc:AlternateContent>
          <mc:Choice Requires="wps">
            <w:drawing>
              <wp:inline distT="0" distB="0" distL="0" distR="0" wp14:anchorId="74847B70" wp14:editId="2C54707D">
                <wp:extent cx="5915025" cy="838200"/>
                <wp:effectExtent l="0" t="0" r="9525" b="0"/>
                <wp:docPr id="2" name="Rectangle 2"/>
                <wp:cNvGraphicFramePr/>
                <a:graphic xmlns:a="http://schemas.openxmlformats.org/drawingml/2006/main">
                  <a:graphicData uri="http://schemas.microsoft.com/office/word/2010/wordprocessingShape">
                    <wps:wsp>
                      <wps:cNvSpPr/>
                      <wps:spPr>
                        <a:xfrm>
                          <a:off x="0" y="0"/>
                          <a:ext cx="5915025" cy="838200"/>
                        </a:xfrm>
                        <a:prstGeom prst="rect">
                          <a:avLst/>
                        </a:prstGeom>
                        <a:solidFill>
                          <a:srgbClr val="0C7580"/>
                        </a:solidFill>
                        <a:ln w="254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3B6029" w14:textId="4D9FE80E" w:rsidR="000636CE" w:rsidRDefault="00D65DC6" w:rsidP="000636CE">
                            <w:pPr>
                              <w:jc w:val="center"/>
                            </w:pPr>
                            <w:r>
                              <w:t xml:space="preserve">This lab will review Modules 1, 2, and 3 and present the </w:t>
                            </w:r>
                            <w:r w:rsidR="00DF3FA9">
                              <w:t>Curriculum Alignment Guide</w:t>
                            </w:r>
                            <w:r>
                              <w:t xml:space="preserve">. The focus will be on proficiency and equity as connections are drawn between the </w:t>
                            </w:r>
                            <w:r w:rsidR="00DF3FA9">
                              <w:t>Curriculum Alignment Guide</w:t>
                            </w:r>
                            <w:r>
                              <w:t xml:space="preserve"> and the </w:t>
                            </w:r>
                            <w:r w:rsidR="00CB55B6">
                              <w:t>F</w:t>
                            </w:r>
                            <w:r>
                              <w:t xml:space="preserve">ramework. Participants will view and discuss </w:t>
                            </w:r>
                            <w:r w:rsidR="00CB55B6">
                              <w:t>s</w:t>
                            </w:r>
                            <w:r>
                              <w:t xml:space="preserve">ample </w:t>
                            </w:r>
                            <w:r w:rsidR="00DF3FA9">
                              <w:t>unit plans</w:t>
                            </w:r>
                            <w:r>
                              <w:t xml:space="preserve"> </w:t>
                            </w:r>
                            <w:r w:rsidR="00CB55B6">
                              <w:t>and apply what they’ve learned to complete</w:t>
                            </w:r>
                            <w:r>
                              <w:t xml:space="preserve"> </w:t>
                            </w:r>
                            <w:r w:rsidR="00A6776B">
                              <w:t xml:space="preserve">sections of </w:t>
                            </w:r>
                            <w:r>
                              <w:t xml:space="preserve">the </w:t>
                            </w:r>
                            <w:r w:rsidR="00DF3FA9">
                              <w:t xml:space="preserve">Curriculum Alignment Guide for </w:t>
                            </w:r>
                            <w:r w:rsidR="00CC778D">
                              <w:t>Unit</w:t>
                            </w:r>
                            <w:r w:rsidR="00DF3FA9">
                              <w:t xml:space="preserve"> Planning</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847B70" id="Rectangle 2" o:spid="_x0000_s1026" style="width:465.7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" fillcolor="#0c7580" stroked="f" strokeweight="2pt">
                <v:textbox>
                  <w:txbxContent>
                    <w:p w14:paraId="2C3B6029" w14:textId="4D9FE80E" w:rsidR="000636CE" w:rsidRDefault="00D65DC6" w:rsidP="000636CE">
                      <w:pPr>
                        <w:jc w:val="center"/>
                      </w:pPr>
                      <w:r>
                        <w:t xml:space="preserve">This lab will review Modules 1, 2, and 3 and present the </w:t>
                      </w:r>
                      <w:r w:rsidR="00DF3FA9">
                        <w:t>Curriculum Alignment Guide</w:t>
                      </w:r>
                      <w:r>
                        <w:t xml:space="preserve">. The focus will be on proficiency and equity as connections are drawn between the </w:t>
                      </w:r>
                      <w:r w:rsidR="00DF3FA9">
                        <w:t>Curriculum Alignment Guide</w:t>
                      </w:r>
                      <w:r>
                        <w:t xml:space="preserve"> and the </w:t>
                      </w:r>
                      <w:r w:rsidR="00CB55B6">
                        <w:t>F</w:t>
                      </w:r>
                      <w:r>
                        <w:t xml:space="preserve">ramework. Participants will view and discuss </w:t>
                      </w:r>
                      <w:r w:rsidR="00CB55B6">
                        <w:t>s</w:t>
                      </w:r>
                      <w:r>
                        <w:t xml:space="preserve">ample </w:t>
                      </w:r>
                      <w:r w:rsidR="00DF3FA9">
                        <w:t>unit plans</w:t>
                      </w:r>
                      <w:r>
                        <w:t xml:space="preserve"> </w:t>
                      </w:r>
                      <w:r w:rsidR="00CB55B6">
                        <w:t>and apply what they’ve learned to complete</w:t>
                      </w:r>
                      <w:r>
                        <w:t xml:space="preserve"> </w:t>
                      </w:r>
                      <w:r w:rsidR="00A6776B">
                        <w:t xml:space="preserve">sections of </w:t>
                      </w:r>
                      <w:r>
                        <w:t xml:space="preserve">the </w:t>
                      </w:r>
                      <w:r w:rsidR="00DF3FA9">
                        <w:t xml:space="preserve">Curriculum Alignment Guide for </w:t>
                      </w:r>
                      <w:r w:rsidR="00CC778D">
                        <w:t>Unit</w:t>
                      </w:r>
                      <w:r w:rsidR="00DF3FA9">
                        <w:t xml:space="preserve"> Planning</w:t>
                      </w:r>
                      <w:r>
                        <w:t xml:space="preserve">. </w:t>
                      </w:r>
                    </w:p>
                  </w:txbxContent>
                </v:textbox>
                <w10:anchorlock/>
              </v:rect>
            </w:pict>
          </mc:Fallback>
        </mc:AlternateContent>
      </w:r>
    </w:p>
    <w:p w14:paraId="0D7BD403" w14:textId="77777777" w:rsidR="0031711B" w:rsidRPr="00D74ACA" w:rsidRDefault="0031711B" w:rsidP="00EB3E2B">
      <w:pPr>
        <w:spacing w:after="0"/>
        <w:rPr>
          <w:rFonts w:cstheme="minorHAnsi"/>
          <w:color w:val="0C7580"/>
        </w:rPr>
      </w:pPr>
    </w:p>
    <w:p w14:paraId="54E507D0" w14:textId="77777777" w:rsidR="0046200E" w:rsidRDefault="0046200E" w:rsidP="0046200E">
      <w:pPr>
        <w:spacing w:after="0"/>
        <w:rPr>
          <w:rFonts w:ascii="Georgia" w:hAnsi="Georgia"/>
          <w:color w:val="0C7580"/>
          <w:sz w:val="28"/>
          <w:szCs w:val="28"/>
        </w:rPr>
      </w:pPr>
      <w:bookmarkStart w:id="0" w:name="_Hlk100843255"/>
      <w:r w:rsidRPr="006B4D7E">
        <w:rPr>
          <w:rFonts w:ascii="Georgia" w:hAnsi="Georgia"/>
          <w:color w:val="0C7580"/>
          <w:sz w:val="28"/>
          <w:szCs w:val="28"/>
        </w:rPr>
        <w:t>Key Links:</w:t>
      </w:r>
      <w:bookmarkEnd w:id="0"/>
    </w:p>
    <w:p w14:paraId="799E670D" w14:textId="2856446D" w:rsidR="004156E0" w:rsidRDefault="004156E0" w:rsidP="0046200E">
      <w:pPr>
        <w:pStyle w:val="ListParagraph"/>
        <w:numPr>
          <w:ilvl w:val="0"/>
          <w:numId w:val="37"/>
        </w:numPr>
        <w:spacing w:after="0"/>
        <w:rPr>
          <w:rFonts w:cstheme="minorHAnsi"/>
        </w:rPr>
      </w:pPr>
      <w:bookmarkStart w:id="1" w:name="_Hlk100910315"/>
      <w:r>
        <w:rPr>
          <w:rFonts w:cstheme="minorHAnsi"/>
        </w:rPr>
        <w:t>Learning Modules</w:t>
      </w:r>
      <w:r w:rsidR="00C15FE2">
        <w:rPr>
          <w:rFonts w:cstheme="minorHAnsi"/>
        </w:rPr>
        <w:t xml:space="preserve">: </w:t>
      </w:r>
      <w:hyperlink r:id="rId11" w:history="1">
        <w:r w:rsidR="00C15FE2" w:rsidRPr="00BC1736">
          <w:rPr>
            <w:rStyle w:val="Hyperlink"/>
            <w:rFonts w:cstheme="minorHAnsi"/>
          </w:rPr>
          <w:t>https://www.doe.mass.edu/worldlanguages/implementation/modules.html</w:t>
        </w:r>
      </w:hyperlink>
      <w:r w:rsidR="00C15FE2">
        <w:rPr>
          <w:rFonts w:cstheme="minorHAnsi"/>
        </w:rPr>
        <w:t xml:space="preserve"> </w:t>
      </w:r>
    </w:p>
    <w:p w14:paraId="7169A48E" w14:textId="27621A79" w:rsidR="0046200E" w:rsidRPr="003C5181" w:rsidRDefault="0046200E" w:rsidP="0046200E">
      <w:pPr>
        <w:pStyle w:val="ListParagraph"/>
        <w:numPr>
          <w:ilvl w:val="0"/>
          <w:numId w:val="37"/>
        </w:numPr>
        <w:spacing w:after="0"/>
        <w:rPr>
          <w:rFonts w:cstheme="minorHAnsi"/>
        </w:rPr>
      </w:pPr>
      <w:r>
        <w:rPr>
          <w:rFonts w:cstheme="minorHAnsi"/>
        </w:rPr>
        <w:t xml:space="preserve">Curriculum Alignment Guide (How-to Document): </w:t>
      </w:r>
      <w:hyperlink r:id="rId12" w:history="1">
        <w:r w:rsidRPr="00061940">
          <w:rPr>
            <w:rStyle w:val="Hyperlink"/>
            <w:rFonts w:cstheme="minorHAnsi"/>
          </w:rPr>
          <w:t>https://www.doe.mass.edu/worldlanguages/implementation/how-to.docx</w:t>
        </w:r>
      </w:hyperlink>
    </w:p>
    <w:p w14:paraId="7CDACE4C" w14:textId="77777777" w:rsidR="0046200E" w:rsidRPr="003C5181" w:rsidRDefault="0046200E" w:rsidP="0046200E">
      <w:pPr>
        <w:pStyle w:val="ListParagraph"/>
        <w:numPr>
          <w:ilvl w:val="0"/>
          <w:numId w:val="37"/>
        </w:numPr>
        <w:spacing w:after="0"/>
        <w:rPr>
          <w:rFonts w:cstheme="minorHAnsi"/>
        </w:rPr>
      </w:pPr>
      <w:r>
        <w:t>Course Alignment Guide:</w:t>
      </w:r>
      <w:r w:rsidRPr="003C5181">
        <w:t xml:space="preserve"> </w:t>
      </w:r>
      <w:hyperlink r:id="rId13" w:history="1">
        <w:r w:rsidRPr="00061940">
          <w:rPr>
            <w:rStyle w:val="Hyperlink"/>
          </w:rPr>
          <w:t>https://www.doe.mass.edu/worldlanguages/implementation/course-alignment-guide.docx</w:t>
        </w:r>
      </w:hyperlink>
    </w:p>
    <w:p w14:paraId="71293D68" w14:textId="77777777" w:rsidR="0046200E" w:rsidRPr="003C5181" w:rsidRDefault="0046200E" w:rsidP="0046200E">
      <w:pPr>
        <w:pStyle w:val="ListParagraph"/>
        <w:numPr>
          <w:ilvl w:val="0"/>
          <w:numId w:val="37"/>
        </w:numPr>
        <w:spacing w:after="0"/>
        <w:rPr>
          <w:rFonts w:cstheme="minorHAnsi"/>
        </w:rPr>
      </w:pPr>
      <w:r>
        <w:t xml:space="preserve">Unit Alignment Guide: </w:t>
      </w:r>
      <w:hyperlink r:id="rId14" w:history="1">
        <w:r w:rsidRPr="00061940">
          <w:rPr>
            <w:rStyle w:val="Hyperlink"/>
          </w:rPr>
          <w:t>https://www.doe.mass.edu/worldlanguages/implementation/unit-alignment-guide.docx</w:t>
        </w:r>
      </w:hyperlink>
    </w:p>
    <w:bookmarkEnd w:id="1"/>
    <w:p w14:paraId="11C59678" w14:textId="77777777" w:rsidR="007E2B98" w:rsidRDefault="007E2B98" w:rsidP="00EB3E2B">
      <w:pPr>
        <w:spacing w:after="0"/>
        <w:rPr>
          <w:rFonts w:ascii="Georgia" w:hAnsi="Georgia"/>
          <w:color w:val="0C7580"/>
          <w:sz w:val="28"/>
          <w:szCs w:val="28"/>
        </w:rPr>
      </w:pPr>
    </w:p>
    <w:p w14:paraId="4BA85228" w14:textId="51890D07" w:rsidR="000636CE" w:rsidRDefault="005178DF" w:rsidP="00EB3E2B">
      <w:pPr>
        <w:spacing w:after="0"/>
        <w:rPr>
          <w:rFonts w:ascii="Georgia" w:hAnsi="Georgia"/>
          <w:color w:val="0C7580"/>
          <w:sz w:val="28"/>
          <w:szCs w:val="28"/>
        </w:rPr>
      </w:pPr>
      <w:r>
        <w:rPr>
          <w:rFonts w:ascii="Georgia" w:hAnsi="Georgia"/>
          <w:color w:val="0C7580"/>
          <w:sz w:val="28"/>
          <w:szCs w:val="28"/>
        </w:rPr>
        <w:t>Review of Modules</w:t>
      </w:r>
      <w:r w:rsidR="0092737F">
        <w:rPr>
          <w:rFonts w:ascii="Georgia" w:hAnsi="Georgia"/>
          <w:color w:val="0C7580"/>
          <w:sz w:val="28"/>
          <w:szCs w:val="28"/>
        </w:rPr>
        <w:t xml:space="preserve"> 1, 2, 3</w:t>
      </w:r>
      <w:r>
        <w:rPr>
          <w:rFonts w:ascii="Georgia" w:hAnsi="Georgia"/>
          <w:color w:val="0C7580"/>
          <w:sz w:val="28"/>
          <w:szCs w:val="28"/>
        </w:rPr>
        <w:t xml:space="preserve"> (</w:t>
      </w:r>
      <w:r w:rsidR="0046200E">
        <w:rPr>
          <w:rFonts w:ascii="Georgia" w:hAnsi="Georgia"/>
          <w:color w:val="0C7580"/>
          <w:sz w:val="28"/>
          <w:szCs w:val="28"/>
        </w:rPr>
        <w:t>25</w:t>
      </w:r>
      <w:r>
        <w:rPr>
          <w:rFonts w:ascii="Georgia" w:hAnsi="Georgia"/>
          <w:color w:val="0C7580"/>
          <w:sz w:val="28"/>
          <w:szCs w:val="28"/>
        </w:rPr>
        <w:t>m)</w:t>
      </w:r>
    </w:p>
    <w:p w14:paraId="4F282326" w14:textId="5B004A74" w:rsidR="00273FAD" w:rsidRDefault="00273FAD" w:rsidP="00EB3E2B">
      <w:pPr>
        <w:spacing w:after="0"/>
        <w:rPr>
          <w:rFonts w:cstheme="minorHAnsi"/>
        </w:rPr>
      </w:pPr>
      <w:r w:rsidRPr="00273FAD">
        <w:rPr>
          <w:rFonts w:cstheme="minorHAnsi"/>
        </w:rPr>
        <w:t xml:space="preserve">In this section, you will summarize the </w:t>
      </w:r>
      <w:r w:rsidR="00DF3FA9">
        <w:rPr>
          <w:rFonts w:cstheme="minorHAnsi"/>
        </w:rPr>
        <w:t>M</w:t>
      </w:r>
      <w:r w:rsidRPr="00273FAD">
        <w:rPr>
          <w:rFonts w:cstheme="minorHAnsi"/>
        </w:rPr>
        <w:t>odules</w:t>
      </w:r>
      <w:r w:rsidR="006F06C4">
        <w:rPr>
          <w:rFonts w:cstheme="minorHAnsi"/>
        </w:rPr>
        <w:t xml:space="preserve"> that </w:t>
      </w:r>
      <w:r w:rsidR="00DF3FA9">
        <w:rPr>
          <w:rFonts w:cstheme="minorHAnsi"/>
        </w:rPr>
        <w:t>serve as the foundation of</w:t>
      </w:r>
      <w:r w:rsidR="006F06C4">
        <w:rPr>
          <w:rFonts w:cstheme="minorHAnsi"/>
        </w:rPr>
        <w:t xml:space="preserve"> </w:t>
      </w:r>
      <w:r w:rsidR="00DF3FA9">
        <w:rPr>
          <w:rFonts w:cstheme="minorHAnsi"/>
        </w:rPr>
        <w:t>this</w:t>
      </w:r>
      <w:r w:rsidR="006F06C4">
        <w:rPr>
          <w:rFonts w:cstheme="minorHAnsi"/>
        </w:rPr>
        <w:t xml:space="preserve"> lab. </w:t>
      </w:r>
    </w:p>
    <w:p w14:paraId="2DC99567" w14:textId="7F7C327B" w:rsidR="0092737F" w:rsidRDefault="0092737F" w:rsidP="00EB3E2B">
      <w:pPr>
        <w:spacing w:after="0"/>
        <w:rPr>
          <w:rFonts w:ascii="Georgia" w:hAnsi="Georgia"/>
          <w:i/>
          <w:iCs/>
          <w:color w:val="802B0C"/>
        </w:rPr>
      </w:pPr>
      <w:r>
        <w:rPr>
          <w:rFonts w:ascii="Georgia" w:hAnsi="Georgia"/>
          <w:i/>
          <w:iCs/>
          <w:color w:val="802B0C"/>
        </w:rPr>
        <w:t>Logistics</w:t>
      </w:r>
    </w:p>
    <w:p w14:paraId="5AA99570" w14:textId="6C459268" w:rsidR="0092737F" w:rsidRDefault="0092737F" w:rsidP="00EB3E2B">
      <w:pPr>
        <w:spacing w:after="0"/>
        <w:rPr>
          <w:rFonts w:cstheme="minorHAnsi"/>
        </w:rPr>
      </w:pPr>
      <w:r>
        <w:rPr>
          <w:rFonts w:cstheme="minorHAnsi"/>
        </w:rPr>
        <w:t xml:space="preserve">This </w:t>
      </w:r>
      <w:r w:rsidR="00DF3FA9">
        <w:rPr>
          <w:rFonts w:cstheme="minorHAnsi"/>
        </w:rPr>
        <w:t>section of the lab</w:t>
      </w:r>
      <w:r>
        <w:rPr>
          <w:rFonts w:cstheme="minorHAnsi"/>
        </w:rPr>
        <w:t xml:space="preserve"> should be </w:t>
      </w:r>
      <w:r w:rsidR="00DF3FA9">
        <w:rPr>
          <w:rFonts w:cstheme="minorHAnsi"/>
        </w:rPr>
        <w:t>facilitate</w:t>
      </w:r>
      <w:r w:rsidR="000F7D1E">
        <w:rPr>
          <w:rFonts w:cstheme="minorHAnsi"/>
        </w:rPr>
        <w:t>d</w:t>
      </w:r>
      <w:r w:rsidR="00DF3FA9">
        <w:rPr>
          <w:rFonts w:cstheme="minorHAnsi"/>
        </w:rPr>
        <w:t xml:space="preserve"> to the whole group </w:t>
      </w:r>
      <w:r>
        <w:rPr>
          <w:rFonts w:cstheme="minorHAnsi"/>
        </w:rPr>
        <w:t xml:space="preserve">with all </w:t>
      </w:r>
      <w:r w:rsidR="00123370">
        <w:rPr>
          <w:rFonts w:cstheme="minorHAnsi"/>
        </w:rPr>
        <w:t>participants</w:t>
      </w:r>
      <w:r w:rsidR="00DF3FA9">
        <w:rPr>
          <w:rFonts w:cstheme="minorHAnsi"/>
        </w:rPr>
        <w:t xml:space="preserve"> in the main room</w:t>
      </w:r>
      <w:r>
        <w:rPr>
          <w:rFonts w:cstheme="minorHAnsi"/>
        </w:rPr>
        <w:t>.</w:t>
      </w:r>
      <w:r w:rsidR="00CE5574">
        <w:rPr>
          <w:rFonts w:cstheme="minorHAnsi"/>
        </w:rPr>
        <w:t xml:space="preserve"> You may find it helpful to first ask all participants to rename themselves in Zoom with the name they would like to be called and the group they would like to join for the Discussion components of the lab.</w:t>
      </w:r>
    </w:p>
    <w:p w14:paraId="0128F278" w14:textId="77777777" w:rsidR="0092737F" w:rsidRPr="0092737F" w:rsidRDefault="0092737F" w:rsidP="00EB3E2B">
      <w:pPr>
        <w:spacing w:after="0"/>
        <w:rPr>
          <w:rFonts w:cstheme="minorHAnsi"/>
        </w:rPr>
      </w:pPr>
    </w:p>
    <w:p w14:paraId="5B8DF7E7" w14:textId="60435610" w:rsidR="0092737F" w:rsidRDefault="0092737F" w:rsidP="00EB3E2B">
      <w:pPr>
        <w:spacing w:after="0"/>
        <w:rPr>
          <w:rFonts w:ascii="Georgia" w:hAnsi="Georgia"/>
          <w:i/>
          <w:iCs/>
          <w:color w:val="802B0C"/>
        </w:rPr>
      </w:pPr>
      <w:r>
        <w:rPr>
          <w:rFonts w:ascii="Georgia" w:hAnsi="Georgia"/>
          <w:i/>
          <w:iCs/>
          <w:color w:val="802B0C"/>
        </w:rPr>
        <w:t>Content</w:t>
      </w:r>
    </w:p>
    <w:p w14:paraId="12499D33" w14:textId="49AD12F0" w:rsidR="00E11A48" w:rsidRPr="00E11A48" w:rsidRDefault="00E11A48" w:rsidP="00EB3E2B">
      <w:pPr>
        <w:spacing w:after="0"/>
        <w:rPr>
          <w:rFonts w:cstheme="minorHAnsi"/>
        </w:rPr>
      </w:pPr>
      <w:r w:rsidRPr="00E11A48">
        <w:rPr>
          <w:rFonts w:cstheme="minorHAnsi"/>
        </w:rPr>
        <w:t>Review</w:t>
      </w:r>
      <w:r w:rsidR="0004714D">
        <w:rPr>
          <w:rFonts w:cstheme="minorHAnsi"/>
        </w:rPr>
        <w:t>ing</w:t>
      </w:r>
      <w:r w:rsidRPr="00E11A48">
        <w:rPr>
          <w:rFonts w:cstheme="minorHAnsi"/>
        </w:rPr>
        <w:t xml:space="preserve"> key takeaways from the Modules</w:t>
      </w:r>
    </w:p>
    <w:p w14:paraId="09C70FC7" w14:textId="43AEA7FD" w:rsidR="004738F9" w:rsidRDefault="004738F9" w:rsidP="00BA303E">
      <w:pPr>
        <w:pStyle w:val="ListParagraph"/>
        <w:numPr>
          <w:ilvl w:val="0"/>
          <w:numId w:val="33"/>
        </w:numPr>
      </w:pPr>
      <w:r>
        <w:t xml:space="preserve">Module 1: Organization of the </w:t>
      </w:r>
      <w:r w:rsidR="00B04D77">
        <w:t xml:space="preserve">Framework </w:t>
      </w:r>
      <w:r>
        <w:t xml:space="preserve">and </w:t>
      </w:r>
      <w:r w:rsidR="002D48D8">
        <w:t>O</w:t>
      </w:r>
      <w:r>
        <w:t xml:space="preserve">verview of the </w:t>
      </w:r>
      <w:r w:rsidR="00B04D77">
        <w:t>Implementation Series</w:t>
      </w:r>
    </w:p>
    <w:p w14:paraId="34B4EA15" w14:textId="691C9B69" w:rsidR="004738F9" w:rsidRDefault="004738F9" w:rsidP="00BA303E">
      <w:pPr>
        <w:pStyle w:val="ListParagraph"/>
        <w:numPr>
          <w:ilvl w:val="0"/>
          <w:numId w:val="33"/>
        </w:numPr>
      </w:pPr>
      <w:r>
        <w:t xml:space="preserve">Module 2: The </w:t>
      </w:r>
      <w:r w:rsidR="00B04D77">
        <w:t xml:space="preserve">Framework </w:t>
      </w:r>
      <w:r w:rsidR="002D48D8">
        <w:t>T</w:t>
      </w:r>
      <w:r>
        <w:t xml:space="preserve">hrough the </w:t>
      </w:r>
      <w:r w:rsidR="002D48D8">
        <w:t>L</w:t>
      </w:r>
      <w:r>
        <w:t xml:space="preserve">ens of </w:t>
      </w:r>
      <w:r w:rsidR="002D48D8">
        <w:t>P</w:t>
      </w:r>
      <w:r>
        <w:t>roficiency</w:t>
      </w:r>
    </w:p>
    <w:p w14:paraId="5A7212E1" w14:textId="134A2A59" w:rsidR="005178DF" w:rsidRDefault="004738F9" w:rsidP="00BA303E">
      <w:pPr>
        <w:pStyle w:val="ListParagraph"/>
        <w:numPr>
          <w:ilvl w:val="0"/>
          <w:numId w:val="33"/>
        </w:numPr>
      </w:pPr>
      <w:r>
        <w:t xml:space="preserve">Module 3: The </w:t>
      </w:r>
      <w:r w:rsidR="00B04D77">
        <w:t xml:space="preserve">Framework </w:t>
      </w:r>
      <w:r w:rsidR="002D48D8">
        <w:t>T</w:t>
      </w:r>
      <w:r>
        <w:t xml:space="preserve">hrough the </w:t>
      </w:r>
      <w:r w:rsidR="002D48D8">
        <w:t>L</w:t>
      </w:r>
      <w:r>
        <w:t xml:space="preserve">ens of </w:t>
      </w:r>
      <w:r w:rsidR="002D48D8">
        <w:t>E</w:t>
      </w:r>
      <w:r>
        <w:t>quity</w:t>
      </w:r>
    </w:p>
    <w:p w14:paraId="0FBA660B" w14:textId="3EE8B653" w:rsidR="00BF6912" w:rsidRDefault="00BF6912" w:rsidP="005178DF">
      <w:pPr>
        <w:spacing w:after="0"/>
        <w:rPr>
          <w:rFonts w:ascii="Georgia" w:hAnsi="Georgia"/>
          <w:color w:val="0C7580"/>
          <w:sz w:val="28"/>
          <w:szCs w:val="28"/>
        </w:rPr>
      </w:pPr>
      <w:r>
        <w:rPr>
          <w:rFonts w:ascii="Georgia" w:hAnsi="Georgia"/>
          <w:color w:val="0C7580"/>
          <w:sz w:val="28"/>
          <w:szCs w:val="28"/>
        </w:rPr>
        <w:t xml:space="preserve">Introduction to the </w:t>
      </w:r>
      <w:r w:rsidR="000F7D1E">
        <w:rPr>
          <w:rFonts w:ascii="Georgia" w:hAnsi="Georgia"/>
          <w:color w:val="0C7580"/>
          <w:sz w:val="28"/>
          <w:szCs w:val="28"/>
        </w:rPr>
        <w:t>Curriculum Alignment Guide</w:t>
      </w:r>
      <w:r>
        <w:rPr>
          <w:rFonts w:ascii="Georgia" w:hAnsi="Georgia"/>
          <w:color w:val="0C7580"/>
          <w:sz w:val="28"/>
          <w:szCs w:val="28"/>
        </w:rPr>
        <w:t xml:space="preserve"> </w:t>
      </w:r>
      <w:r w:rsidR="006F1B23">
        <w:rPr>
          <w:rFonts w:ascii="Georgia" w:hAnsi="Georgia"/>
          <w:color w:val="0C7580"/>
          <w:sz w:val="28"/>
          <w:szCs w:val="28"/>
        </w:rPr>
        <w:t>(</w:t>
      </w:r>
      <w:r w:rsidR="00B540A4">
        <w:rPr>
          <w:rFonts w:ascii="Georgia" w:hAnsi="Georgia"/>
          <w:color w:val="0C7580"/>
          <w:sz w:val="28"/>
          <w:szCs w:val="28"/>
        </w:rPr>
        <w:t>30</w:t>
      </w:r>
      <w:r w:rsidR="006F1B23">
        <w:rPr>
          <w:rFonts w:ascii="Georgia" w:hAnsi="Georgia"/>
          <w:color w:val="0C7580"/>
          <w:sz w:val="28"/>
          <w:szCs w:val="28"/>
        </w:rPr>
        <w:t>m)</w:t>
      </w:r>
    </w:p>
    <w:p w14:paraId="238F0379" w14:textId="06C92D22" w:rsidR="00BF6912" w:rsidRDefault="00BF6912" w:rsidP="005178DF">
      <w:pPr>
        <w:spacing w:after="0"/>
        <w:rPr>
          <w:rFonts w:ascii="Georgia" w:hAnsi="Georgia"/>
          <w:color w:val="0C7580"/>
          <w:sz w:val="28"/>
          <w:szCs w:val="28"/>
        </w:rPr>
      </w:pPr>
      <w:r w:rsidRPr="006F06C4">
        <w:rPr>
          <w:rFonts w:cstheme="minorHAnsi"/>
        </w:rPr>
        <w:t>In this section</w:t>
      </w:r>
      <w:r>
        <w:rPr>
          <w:rFonts w:cstheme="minorHAnsi"/>
        </w:rPr>
        <w:t xml:space="preserve">, you will introduce the </w:t>
      </w:r>
      <w:r w:rsidR="000F7D1E">
        <w:rPr>
          <w:rFonts w:cstheme="minorHAnsi"/>
        </w:rPr>
        <w:t>Curriculum Alignment Guide</w:t>
      </w:r>
      <w:r>
        <w:rPr>
          <w:rFonts w:cstheme="minorHAnsi"/>
        </w:rPr>
        <w:t xml:space="preserve"> and emphasize </w:t>
      </w:r>
      <w:r w:rsidR="001279F2">
        <w:rPr>
          <w:rFonts w:cstheme="minorHAnsi"/>
        </w:rPr>
        <w:t xml:space="preserve">its </w:t>
      </w:r>
      <w:r>
        <w:rPr>
          <w:rFonts w:cstheme="minorHAnsi"/>
        </w:rPr>
        <w:t>connection</w:t>
      </w:r>
      <w:r w:rsidR="000F7D1E">
        <w:rPr>
          <w:rFonts w:cstheme="minorHAnsi"/>
        </w:rPr>
        <w:t>s</w:t>
      </w:r>
      <w:r>
        <w:rPr>
          <w:rFonts w:cstheme="minorHAnsi"/>
        </w:rPr>
        <w:t xml:space="preserve"> to the Framework while highlighting the ways proficiency and equity are incorporated</w:t>
      </w:r>
      <w:r w:rsidR="000F7D1E">
        <w:rPr>
          <w:rFonts w:cstheme="minorHAnsi"/>
        </w:rPr>
        <w:t xml:space="preserve"> within the Guide</w:t>
      </w:r>
      <w:r>
        <w:rPr>
          <w:rFonts w:cstheme="minorHAnsi"/>
        </w:rPr>
        <w:t>.</w:t>
      </w:r>
    </w:p>
    <w:p w14:paraId="7DE460AA" w14:textId="029F8310" w:rsidR="006F1B23" w:rsidRDefault="006F1B23" w:rsidP="006F1B23">
      <w:pPr>
        <w:spacing w:after="0"/>
        <w:rPr>
          <w:rFonts w:ascii="Georgia" w:hAnsi="Georgia"/>
          <w:i/>
          <w:iCs/>
          <w:color w:val="802B0C"/>
        </w:rPr>
      </w:pPr>
      <w:r>
        <w:rPr>
          <w:rFonts w:ascii="Georgia" w:hAnsi="Georgia"/>
          <w:i/>
          <w:iCs/>
          <w:color w:val="802B0C"/>
        </w:rPr>
        <w:t>Logistics</w:t>
      </w:r>
    </w:p>
    <w:p w14:paraId="17F2EC2C" w14:textId="3A6F2715" w:rsidR="000F7D1E" w:rsidRDefault="000F7D1E" w:rsidP="000F7D1E">
      <w:pPr>
        <w:spacing w:after="0"/>
        <w:rPr>
          <w:rFonts w:cstheme="minorHAnsi"/>
        </w:rPr>
      </w:pPr>
      <w:r>
        <w:rPr>
          <w:rFonts w:cstheme="minorHAnsi"/>
        </w:rPr>
        <w:t xml:space="preserve">This section of the lab should be facilitated to the whole group with all </w:t>
      </w:r>
      <w:r w:rsidR="00123370">
        <w:rPr>
          <w:rFonts w:cstheme="minorHAnsi"/>
        </w:rPr>
        <w:t>participants</w:t>
      </w:r>
      <w:r>
        <w:rPr>
          <w:rFonts w:cstheme="minorHAnsi"/>
        </w:rPr>
        <w:t xml:space="preserve"> in the main room.</w:t>
      </w:r>
    </w:p>
    <w:p w14:paraId="3F543B14" w14:textId="77777777" w:rsidR="006F1B23" w:rsidRPr="0092737F" w:rsidRDefault="006F1B23" w:rsidP="006F1B23">
      <w:pPr>
        <w:spacing w:after="0"/>
        <w:rPr>
          <w:rFonts w:cstheme="minorHAnsi"/>
        </w:rPr>
      </w:pPr>
    </w:p>
    <w:p w14:paraId="1D6B561E" w14:textId="7FC3A3AE" w:rsidR="006F1B23" w:rsidRDefault="006F1B23" w:rsidP="006F1B23">
      <w:pPr>
        <w:spacing w:after="0"/>
        <w:rPr>
          <w:rFonts w:ascii="Georgia" w:hAnsi="Georgia"/>
          <w:i/>
          <w:iCs/>
          <w:color w:val="802B0C"/>
        </w:rPr>
      </w:pPr>
      <w:r>
        <w:rPr>
          <w:rFonts w:ascii="Georgia" w:hAnsi="Georgia"/>
          <w:i/>
          <w:iCs/>
          <w:color w:val="802B0C"/>
        </w:rPr>
        <w:t>Content</w:t>
      </w:r>
    </w:p>
    <w:p w14:paraId="0F6B59C7" w14:textId="0A1D4014" w:rsidR="00E11A48" w:rsidRPr="00E11A48" w:rsidRDefault="00E11A48" w:rsidP="006F1B23">
      <w:pPr>
        <w:spacing w:after="0"/>
        <w:rPr>
          <w:rFonts w:cstheme="minorHAnsi"/>
        </w:rPr>
      </w:pPr>
      <w:r w:rsidRPr="00E11A48">
        <w:rPr>
          <w:rFonts w:cstheme="minorHAnsi"/>
        </w:rPr>
        <w:t>Introduc</w:t>
      </w:r>
      <w:r w:rsidR="0004714D">
        <w:rPr>
          <w:rFonts w:cstheme="minorHAnsi"/>
        </w:rPr>
        <w:t>ing</w:t>
      </w:r>
      <w:r w:rsidRPr="00E11A48">
        <w:rPr>
          <w:rFonts w:cstheme="minorHAnsi"/>
        </w:rPr>
        <w:t xml:space="preserve"> different sections of the Guide</w:t>
      </w:r>
    </w:p>
    <w:p w14:paraId="1D70FAB3" w14:textId="31D1FF27" w:rsidR="000F7D1E" w:rsidRDefault="00CE5574" w:rsidP="0075582D">
      <w:pPr>
        <w:pStyle w:val="ListParagraph"/>
        <w:numPr>
          <w:ilvl w:val="0"/>
          <w:numId w:val="26"/>
        </w:numPr>
      </w:pPr>
      <w:r>
        <w:t xml:space="preserve">Walk through the </w:t>
      </w:r>
      <w:r w:rsidR="000F7D1E">
        <w:t>Curriculum Alignment Guide</w:t>
      </w:r>
      <w:r w:rsidR="0075582D">
        <w:t>s</w:t>
      </w:r>
      <w:r w:rsidR="000F7D1E">
        <w:t xml:space="preserve"> for Course Plannin</w:t>
      </w:r>
      <w:r w:rsidR="0075582D">
        <w:t xml:space="preserve">g and </w:t>
      </w:r>
      <w:r w:rsidR="000F7D1E">
        <w:t>Unit Planning</w:t>
      </w:r>
    </w:p>
    <w:p w14:paraId="716F30B3" w14:textId="02D29E1D" w:rsidR="00CE5574" w:rsidRDefault="00CE5574" w:rsidP="00FC5D88">
      <w:pPr>
        <w:pStyle w:val="ListParagraph"/>
        <w:numPr>
          <w:ilvl w:val="0"/>
          <w:numId w:val="26"/>
        </w:numPr>
      </w:pPr>
      <w:r>
        <w:t>Emphasize that curriculum alignment is an ongoing process; teachers and districts should continuously reflect on and improve courses and units over time</w:t>
      </w:r>
    </w:p>
    <w:p w14:paraId="65086113" w14:textId="375D6976" w:rsidR="0075582D" w:rsidRDefault="0075582D" w:rsidP="00FC5D88">
      <w:pPr>
        <w:pStyle w:val="ListParagraph"/>
        <w:numPr>
          <w:ilvl w:val="0"/>
          <w:numId w:val="26"/>
        </w:numPr>
      </w:pPr>
      <w:r>
        <w:t>Use the How To document to support you in explaining the purpose of each section of the Guide and mention any additional resources that participants may find helpful when using the Guide, including the Quick Reference Guides on the Department’s website</w:t>
      </w:r>
      <w:r w:rsidR="006974F9">
        <w:t xml:space="preserve">, available at </w:t>
      </w:r>
      <w:hyperlink r:id="rId15" w:history="1">
        <w:r w:rsidR="006974F9" w:rsidRPr="00886FFB">
          <w:rPr>
            <w:rStyle w:val="Hyperlink"/>
          </w:rPr>
          <w:t>https://www.doe.mass.edu/worldlanguages/support/default.html</w:t>
        </w:r>
      </w:hyperlink>
      <w:r w:rsidR="006974F9">
        <w:t xml:space="preserve"> and linked in the participant agenda document</w:t>
      </w:r>
    </w:p>
    <w:p w14:paraId="59A73DFA" w14:textId="1D9074B8" w:rsidR="004738F9" w:rsidRDefault="00FE4751" w:rsidP="005178DF">
      <w:pPr>
        <w:spacing w:after="0"/>
        <w:rPr>
          <w:rFonts w:ascii="Georgia" w:hAnsi="Georgia"/>
          <w:color w:val="0C7580"/>
          <w:sz w:val="28"/>
          <w:szCs w:val="28"/>
        </w:rPr>
      </w:pPr>
      <w:r>
        <w:rPr>
          <w:rFonts w:ascii="Georgia" w:hAnsi="Georgia"/>
          <w:color w:val="0C7580"/>
          <w:sz w:val="28"/>
          <w:szCs w:val="28"/>
        </w:rPr>
        <w:t>Demonstration and</w:t>
      </w:r>
      <w:r w:rsidR="004738F9" w:rsidRPr="005178DF">
        <w:rPr>
          <w:rFonts w:ascii="Georgia" w:hAnsi="Georgia"/>
          <w:color w:val="0C7580"/>
          <w:sz w:val="28"/>
          <w:szCs w:val="28"/>
        </w:rPr>
        <w:t xml:space="preserve"> Discussion</w:t>
      </w:r>
      <w:r w:rsidR="00101D6A">
        <w:rPr>
          <w:rFonts w:ascii="Georgia" w:hAnsi="Georgia"/>
          <w:color w:val="0C7580"/>
          <w:sz w:val="28"/>
          <w:szCs w:val="28"/>
        </w:rPr>
        <w:t xml:space="preserve"> </w:t>
      </w:r>
      <w:r w:rsidR="004738F9" w:rsidRPr="005178DF">
        <w:rPr>
          <w:rFonts w:ascii="Georgia" w:hAnsi="Georgia"/>
          <w:color w:val="0C7580"/>
          <w:sz w:val="28"/>
          <w:szCs w:val="28"/>
        </w:rPr>
        <w:t>(</w:t>
      </w:r>
      <w:r w:rsidR="00B540A4">
        <w:rPr>
          <w:rFonts w:ascii="Georgia" w:hAnsi="Georgia"/>
          <w:color w:val="0C7580"/>
          <w:sz w:val="28"/>
          <w:szCs w:val="28"/>
        </w:rPr>
        <w:t>30</w:t>
      </w:r>
      <w:r w:rsidR="004738F9" w:rsidRPr="005178DF">
        <w:rPr>
          <w:rFonts w:ascii="Georgia" w:hAnsi="Georgia"/>
          <w:color w:val="0C7580"/>
          <w:sz w:val="28"/>
          <w:szCs w:val="28"/>
        </w:rPr>
        <w:t>m)</w:t>
      </w:r>
    </w:p>
    <w:p w14:paraId="77BF500E" w14:textId="14A72052" w:rsidR="006F06C4" w:rsidRDefault="006F1B23" w:rsidP="005178DF">
      <w:pPr>
        <w:spacing w:after="0"/>
        <w:rPr>
          <w:rFonts w:cstheme="minorHAnsi"/>
        </w:rPr>
      </w:pPr>
      <w:r>
        <w:rPr>
          <w:rFonts w:cstheme="minorHAnsi"/>
        </w:rPr>
        <w:t xml:space="preserve">In this section, </w:t>
      </w:r>
      <w:r w:rsidR="00F11E21">
        <w:rPr>
          <w:rFonts w:cstheme="minorHAnsi"/>
        </w:rPr>
        <w:t>you will show sample</w:t>
      </w:r>
      <w:r w:rsidR="000F7D1E">
        <w:rPr>
          <w:rFonts w:cstheme="minorHAnsi"/>
        </w:rPr>
        <w:t xml:space="preserve"> </w:t>
      </w:r>
      <w:r w:rsidR="00F11E21">
        <w:rPr>
          <w:rFonts w:cstheme="minorHAnsi"/>
        </w:rPr>
        <w:t>unit</w:t>
      </w:r>
      <w:r w:rsidR="000F7D1E">
        <w:rPr>
          <w:rFonts w:cstheme="minorHAnsi"/>
        </w:rPr>
        <w:t xml:space="preserve"> plans</w:t>
      </w:r>
      <w:r w:rsidR="00F11E21">
        <w:rPr>
          <w:rFonts w:cstheme="minorHAnsi"/>
        </w:rPr>
        <w:t xml:space="preserve"> and facilitate </w:t>
      </w:r>
      <w:r w:rsidR="001279F2">
        <w:rPr>
          <w:rFonts w:cstheme="minorHAnsi"/>
        </w:rPr>
        <w:t>discussions around</w:t>
      </w:r>
      <w:r w:rsidR="00F11E21">
        <w:rPr>
          <w:rFonts w:cstheme="minorHAnsi"/>
        </w:rPr>
        <w:t xml:space="preserve"> them.</w:t>
      </w:r>
    </w:p>
    <w:p w14:paraId="7B2C3B74" w14:textId="3B95AA9E" w:rsidR="0092737F" w:rsidRDefault="0092737F" w:rsidP="005178DF">
      <w:pPr>
        <w:spacing w:after="0"/>
        <w:rPr>
          <w:rFonts w:ascii="Georgia" w:hAnsi="Georgia"/>
          <w:i/>
          <w:iCs/>
          <w:color w:val="802B0C"/>
        </w:rPr>
      </w:pPr>
      <w:r>
        <w:rPr>
          <w:rFonts w:ascii="Georgia" w:hAnsi="Georgia"/>
          <w:i/>
          <w:iCs/>
          <w:color w:val="802B0C"/>
        </w:rPr>
        <w:t>Logistics</w:t>
      </w:r>
    </w:p>
    <w:p w14:paraId="2A3CDC9B" w14:textId="29B35036" w:rsidR="00D722F0" w:rsidRDefault="0086461E" w:rsidP="005178DF">
      <w:pPr>
        <w:spacing w:after="0"/>
        <w:rPr>
          <w:rFonts w:cstheme="minorHAnsi"/>
        </w:rPr>
      </w:pPr>
      <w:r>
        <w:rPr>
          <w:rFonts w:cstheme="minorHAnsi"/>
        </w:rPr>
        <w:t xml:space="preserve">Place </w:t>
      </w:r>
      <w:r w:rsidR="00123370">
        <w:rPr>
          <w:rFonts w:cstheme="minorHAnsi"/>
        </w:rPr>
        <w:t>participants</w:t>
      </w:r>
      <w:r>
        <w:rPr>
          <w:rFonts w:cstheme="minorHAnsi"/>
        </w:rPr>
        <w:t xml:space="preserve"> into </w:t>
      </w:r>
      <w:r w:rsidR="00D722F0">
        <w:rPr>
          <w:rFonts w:cstheme="minorHAnsi"/>
        </w:rPr>
        <w:t xml:space="preserve">differentiated </w:t>
      </w:r>
      <w:r>
        <w:rPr>
          <w:rFonts w:cstheme="minorHAnsi"/>
        </w:rPr>
        <w:t>breakout rooms</w:t>
      </w:r>
      <w:r w:rsidR="00D722F0">
        <w:rPr>
          <w:rFonts w:cstheme="minorHAnsi"/>
        </w:rPr>
        <w:t xml:space="preserve"> of 4 to 5 educators, group</w:t>
      </w:r>
      <w:r w:rsidR="00123370">
        <w:rPr>
          <w:rFonts w:cstheme="minorHAnsi"/>
        </w:rPr>
        <w:t>ed</w:t>
      </w:r>
      <w:r w:rsidR="00D722F0">
        <w:rPr>
          <w:rFonts w:cstheme="minorHAnsi"/>
        </w:rPr>
        <w:t xml:space="preserve"> according to the</w:t>
      </w:r>
      <w:r w:rsidR="00123370">
        <w:rPr>
          <w:rFonts w:cstheme="minorHAnsi"/>
        </w:rPr>
        <w:t>ir teaching context (i.e.,</w:t>
      </w:r>
      <w:r w:rsidR="00D722F0">
        <w:rPr>
          <w:rFonts w:cstheme="minorHAnsi"/>
        </w:rPr>
        <w:t xml:space="preserve"> language</w:t>
      </w:r>
      <w:r w:rsidR="00123370">
        <w:rPr>
          <w:rFonts w:cstheme="minorHAnsi"/>
        </w:rPr>
        <w:t>s</w:t>
      </w:r>
      <w:r w:rsidR="00D722F0">
        <w:rPr>
          <w:rFonts w:cstheme="minorHAnsi"/>
        </w:rPr>
        <w:t>, grade levels, and/or proficiency levels that they work with in their courses</w:t>
      </w:r>
      <w:r w:rsidR="00123370">
        <w:rPr>
          <w:rFonts w:cstheme="minorHAnsi"/>
        </w:rPr>
        <w:t>)</w:t>
      </w:r>
      <w:r w:rsidR="00D722F0">
        <w:rPr>
          <w:rFonts w:cstheme="minorHAnsi"/>
        </w:rPr>
        <w:t>.</w:t>
      </w:r>
      <w:r>
        <w:rPr>
          <w:rFonts w:cstheme="minorHAnsi"/>
        </w:rPr>
        <w:t xml:space="preserve"> During the discussion, encourage participants to have their video on and use gallery view so that all participants can be seen. You may </w:t>
      </w:r>
      <w:r w:rsidR="008F39CF">
        <w:rPr>
          <w:rFonts w:cstheme="minorHAnsi"/>
        </w:rPr>
        <w:t>find it helpful</w:t>
      </w:r>
      <w:r>
        <w:rPr>
          <w:rFonts w:cstheme="minorHAnsi"/>
        </w:rPr>
        <w:t xml:space="preserve"> to share </w:t>
      </w:r>
      <w:r w:rsidR="008F39CF">
        <w:rPr>
          <w:rFonts w:cstheme="minorHAnsi"/>
        </w:rPr>
        <w:t>this Google Doc [insert link] containing the discussion questions</w:t>
      </w:r>
      <w:r>
        <w:rPr>
          <w:rFonts w:cstheme="minorHAnsi"/>
        </w:rPr>
        <w:t xml:space="preserve"> with participants</w:t>
      </w:r>
      <w:r w:rsidR="008F39CF">
        <w:rPr>
          <w:rFonts w:cstheme="minorHAnsi"/>
        </w:rPr>
        <w:t xml:space="preserve"> </w:t>
      </w:r>
      <w:r>
        <w:rPr>
          <w:rFonts w:cstheme="minorHAnsi"/>
        </w:rPr>
        <w:t>for easy reference.</w:t>
      </w:r>
    </w:p>
    <w:p w14:paraId="0B8BE3D0" w14:textId="77777777" w:rsidR="00D722F0" w:rsidRDefault="00D722F0" w:rsidP="005178DF">
      <w:pPr>
        <w:spacing w:after="0"/>
        <w:rPr>
          <w:rFonts w:cstheme="minorHAnsi"/>
        </w:rPr>
      </w:pPr>
    </w:p>
    <w:p w14:paraId="55C1B47D" w14:textId="339075DA" w:rsidR="00FE4751" w:rsidRDefault="0086461E" w:rsidP="005178DF">
      <w:pPr>
        <w:spacing w:after="0"/>
        <w:rPr>
          <w:rFonts w:cstheme="minorHAnsi"/>
        </w:rPr>
      </w:pPr>
      <w:r>
        <w:rPr>
          <w:rFonts w:cstheme="minorHAnsi"/>
        </w:rPr>
        <w:t>If there are fewer facilitators</w:t>
      </w:r>
      <w:r w:rsidR="00D722F0">
        <w:rPr>
          <w:rFonts w:cstheme="minorHAnsi"/>
        </w:rPr>
        <w:t xml:space="preserve"> than the number of breakout rooms</w:t>
      </w:r>
      <w:r>
        <w:rPr>
          <w:rFonts w:cstheme="minorHAnsi"/>
        </w:rPr>
        <w:t>, have facilitators switch between breakout rooms periodically to check in on the discussion, ask follow-up questions, and resolve any issues. Remind participants of how they can reach out with questions, such as by clicking</w:t>
      </w:r>
      <w:r w:rsidR="00D722F0">
        <w:rPr>
          <w:rFonts w:cstheme="minorHAnsi"/>
        </w:rPr>
        <w:t xml:space="preserve"> the</w:t>
      </w:r>
      <w:r>
        <w:rPr>
          <w:rFonts w:cstheme="minorHAnsi"/>
        </w:rPr>
        <w:t xml:space="preserve"> “Ask for Help” </w:t>
      </w:r>
      <w:r w:rsidR="00D722F0">
        <w:rPr>
          <w:rFonts w:cstheme="minorHAnsi"/>
        </w:rPr>
        <w:t>button in the control panel at the bottom of the screen in Zoom.</w:t>
      </w:r>
    </w:p>
    <w:p w14:paraId="62F6FA37" w14:textId="77777777" w:rsidR="0086461E" w:rsidRPr="0092737F" w:rsidRDefault="0086461E" w:rsidP="005178DF">
      <w:pPr>
        <w:spacing w:after="0"/>
        <w:rPr>
          <w:rFonts w:cstheme="minorHAnsi"/>
        </w:rPr>
      </w:pPr>
    </w:p>
    <w:p w14:paraId="6A76EDBB" w14:textId="4B30F88F" w:rsidR="0092737F" w:rsidRPr="0092737F" w:rsidRDefault="0092737F" w:rsidP="005178DF">
      <w:pPr>
        <w:spacing w:after="0"/>
        <w:rPr>
          <w:rFonts w:ascii="Georgia" w:hAnsi="Georgia"/>
          <w:i/>
          <w:iCs/>
          <w:color w:val="802B0C"/>
        </w:rPr>
      </w:pPr>
      <w:r>
        <w:rPr>
          <w:rFonts w:ascii="Georgia" w:hAnsi="Georgia"/>
          <w:i/>
          <w:iCs/>
          <w:color w:val="802B0C"/>
        </w:rPr>
        <w:t>Content</w:t>
      </w:r>
    </w:p>
    <w:p w14:paraId="25D2F132" w14:textId="2A7694B4" w:rsidR="005C7821" w:rsidRDefault="005C7821" w:rsidP="00BA303E">
      <w:pPr>
        <w:spacing w:after="0"/>
      </w:pPr>
      <w:r>
        <w:t xml:space="preserve">Demonstration and discussion of </w:t>
      </w:r>
      <w:r w:rsidR="00CB55B6">
        <w:t>sample</w:t>
      </w:r>
      <w:r w:rsidR="00D722F0">
        <w:t xml:space="preserve"> </w:t>
      </w:r>
      <w:r w:rsidR="00CB55B6">
        <w:t>unit</w:t>
      </w:r>
      <w:r w:rsidR="00D722F0">
        <w:t xml:space="preserve"> plans</w:t>
      </w:r>
    </w:p>
    <w:p w14:paraId="0E3546CF" w14:textId="2F79A7C3" w:rsidR="005C7821" w:rsidRDefault="005C7821" w:rsidP="004E7612">
      <w:pPr>
        <w:pStyle w:val="ListParagraph"/>
        <w:numPr>
          <w:ilvl w:val="0"/>
          <w:numId w:val="27"/>
        </w:numPr>
      </w:pPr>
      <w:r>
        <w:t>Focus on proficiency and equity</w:t>
      </w:r>
      <w:r w:rsidR="00150AA8">
        <w:t xml:space="preserve"> and applying what is shown to participants’ contexts</w:t>
      </w:r>
    </w:p>
    <w:p w14:paraId="5E9BC728" w14:textId="77777777" w:rsidR="009A3659" w:rsidRDefault="009A3659" w:rsidP="005178DF">
      <w:pPr>
        <w:spacing w:after="0"/>
        <w:rPr>
          <w:rFonts w:ascii="Georgia" w:hAnsi="Georgia"/>
          <w:color w:val="0C7580"/>
          <w:sz w:val="28"/>
          <w:szCs w:val="28"/>
        </w:rPr>
      </w:pPr>
    </w:p>
    <w:p w14:paraId="6D452D32" w14:textId="54F8EFBD" w:rsidR="004738F9" w:rsidRDefault="004738F9" w:rsidP="005178DF">
      <w:pPr>
        <w:spacing w:after="0"/>
        <w:rPr>
          <w:rFonts w:ascii="Georgia" w:hAnsi="Georgia"/>
          <w:color w:val="0C7580"/>
          <w:sz w:val="28"/>
          <w:szCs w:val="28"/>
        </w:rPr>
      </w:pPr>
      <w:r w:rsidRPr="005178DF">
        <w:rPr>
          <w:rFonts w:ascii="Georgia" w:hAnsi="Georgia"/>
          <w:color w:val="0C7580"/>
          <w:sz w:val="28"/>
          <w:szCs w:val="28"/>
        </w:rPr>
        <w:t xml:space="preserve">Wrap </w:t>
      </w:r>
      <w:r w:rsidR="006F70D1">
        <w:rPr>
          <w:rFonts w:ascii="Georgia" w:hAnsi="Georgia"/>
          <w:color w:val="0C7580"/>
          <w:sz w:val="28"/>
          <w:szCs w:val="28"/>
        </w:rPr>
        <w:t>U</w:t>
      </w:r>
      <w:r w:rsidRPr="005178DF">
        <w:rPr>
          <w:rFonts w:ascii="Georgia" w:hAnsi="Georgia"/>
          <w:color w:val="0C7580"/>
          <w:sz w:val="28"/>
          <w:szCs w:val="28"/>
        </w:rPr>
        <w:t xml:space="preserve">p and </w:t>
      </w:r>
      <w:r w:rsidR="006F70D1">
        <w:rPr>
          <w:rFonts w:ascii="Georgia" w:hAnsi="Georgia"/>
          <w:color w:val="0C7580"/>
          <w:sz w:val="28"/>
          <w:szCs w:val="28"/>
        </w:rPr>
        <w:t>N</w:t>
      </w:r>
      <w:r w:rsidRPr="005178DF">
        <w:rPr>
          <w:rFonts w:ascii="Georgia" w:hAnsi="Georgia"/>
          <w:color w:val="0C7580"/>
          <w:sz w:val="28"/>
          <w:szCs w:val="28"/>
        </w:rPr>
        <w:t xml:space="preserve">ext </w:t>
      </w:r>
      <w:r w:rsidR="006F70D1">
        <w:rPr>
          <w:rFonts w:ascii="Georgia" w:hAnsi="Georgia"/>
          <w:color w:val="0C7580"/>
          <w:sz w:val="28"/>
          <w:szCs w:val="28"/>
        </w:rPr>
        <w:t>S</w:t>
      </w:r>
      <w:r w:rsidRPr="005178DF">
        <w:rPr>
          <w:rFonts w:ascii="Georgia" w:hAnsi="Georgia"/>
          <w:color w:val="0C7580"/>
          <w:sz w:val="28"/>
          <w:szCs w:val="28"/>
        </w:rPr>
        <w:t>teps (5m)</w:t>
      </w:r>
    </w:p>
    <w:p w14:paraId="6D5AD51E" w14:textId="7A1105C1" w:rsidR="00E313F8" w:rsidRPr="00E313F8" w:rsidRDefault="00E313F8" w:rsidP="005178DF">
      <w:pPr>
        <w:spacing w:after="0"/>
        <w:rPr>
          <w:rFonts w:cstheme="minorHAnsi"/>
        </w:rPr>
      </w:pPr>
      <w:r w:rsidRPr="00E313F8">
        <w:rPr>
          <w:rFonts w:cstheme="minorHAnsi"/>
        </w:rPr>
        <w:t xml:space="preserve">In this section, you will </w:t>
      </w:r>
      <w:r>
        <w:rPr>
          <w:rFonts w:cstheme="minorHAnsi"/>
        </w:rPr>
        <w:t xml:space="preserve">wrap up the lab, preview the next lab, </w:t>
      </w:r>
      <w:r w:rsidR="00123370">
        <w:rPr>
          <w:rFonts w:cstheme="minorHAnsi"/>
        </w:rPr>
        <w:t xml:space="preserve">and </w:t>
      </w:r>
      <w:r>
        <w:rPr>
          <w:rFonts w:cstheme="minorHAnsi"/>
        </w:rPr>
        <w:t>check what participants have learned</w:t>
      </w:r>
      <w:r w:rsidR="00123370">
        <w:rPr>
          <w:rFonts w:cstheme="minorHAnsi"/>
        </w:rPr>
        <w:t>.</w:t>
      </w:r>
    </w:p>
    <w:p w14:paraId="6D120E1C" w14:textId="33C6D15E" w:rsidR="00FE4751" w:rsidRDefault="00FE4751" w:rsidP="005178DF">
      <w:pPr>
        <w:spacing w:after="0"/>
        <w:rPr>
          <w:rFonts w:ascii="Georgia" w:hAnsi="Georgia"/>
          <w:i/>
          <w:iCs/>
          <w:color w:val="802B0C"/>
        </w:rPr>
      </w:pPr>
      <w:r>
        <w:rPr>
          <w:rFonts w:ascii="Georgia" w:hAnsi="Georgia"/>
          <w:i/>
          <w:iCs/>
          <w:color w:val="802B0C"/>
        </w:rPr>
        <w:t>Logistics</w:t>
      </w:r>
    </w:p>
    <w:p w14:paraId="1537A636" w14:textId="7E56615A" w:rsidR="00FE4751" w:rsidRDefault="00123370" w:rsidP="00FE4751">
      <w:pPr>
        <w:spacing w:after="0"/>
        <w:rPr>
          <w:rFonts w:cstheme="minorHAnsi"/>
        </w:rPr>
      </w:pPr>
      <w:r>
        <w:t xml:space="preserve">This section should be facilitated </w:t>
      </w:r>
      <w:r w:rsidR="0004714D">
        <w:t>to</w:t>
      </w:r>
      <w:r>
        <w:t xml:space="preserve"> the whole group with all participants in the main room.</w:t>
      </w:r>
    </w:p>
    <w:p w14:paraId="2097D88A" w14:textId="77777777" w:rsidR="00FE4751" w:rsidRDefault="00FE4751" w:rsidP="00FE4751">
      <w:pPr>
        <w:spacing w:after="0"/>
        <w:rPr>
          <w:rFonts w:ascii="Georgia" w:hAnsi="Georgia"/>
          <w:i/>
          <w:iCs/>
          <w:color w:val="802B0C"/>
        </w:rPr>
      </w:pPr>
    </w:p>
    <w:p w14:paraId="2AB68E53" w14:textId="74424C08" w:rsidR="00FE4751" w:rsidRDefault="00FE4751" w:rsidP="00FE4751">
      <w:pPr>
        <w:spacing w:after="0"/>
        <w:rPr>
          <w:rFonts w:ascii="Georgia" w:hAnsi="Georgia"/>
          <w:i/>
          <w:iCs/>
          <w:color w:val="802B0C"/>
        </w:rPr>
      </w:pPr>
      <w:r>
        <w:rPr>
          <w:rFonts w:ascii="Georgia" w:hAnsi="Georgia"/>
          <w:i/>
          <w:iCs/>
          <w:color w:val="802B0C"/>
        </w:rPr>
        <w:t>Content</w:t>
      </w:r>
    </w:p>
    <w:p w14:paraId="2E6BD075" w14:textId="3233BF19" w:rsidR="00123370" w:rsidRDefault="00123370" w:rsidP="00FE4751">
      <w:pPr>
        <w:spacing w:after="0"/>
        <w:rPr>
          <w:rFonts w:ascii="Georgia" w:hAnsi="Georgia"/>
          <w:i/>
          <w:iCs/>
          <w:color w:val="802B0C"/>
        </w:rPr>
      </w:pPr>
      <w:r>
        <w:t>Wrapping up the lab</w:t>
      </w:r>
    </w:p>
    <w:p w14:paraId="01DF55EE" w14:textId="50830652" w:rsidR="00FE4751" w:rsidRDefault="00FE4751" w:rsidP="00FC5D88">
      <w:pPr>
        <w:pStyle w:val="ListParagraph"/>
        <w:numPr>
          <w:ilvl w:val="0"/>
          <w:numId w:val="31"/>
        </w:numPr>
      </w:pPr>
      <w:r>
        <w:t xml:space="preserve">Preview of next </w:t>
      </w:r>
      <w:r w:rsidR="00E313F8">
        <w:t>lab</w:t>
      </w:r>
    </w:p>
    <w:p w14:paraId="6FF02D7A" w14:textId="60B8181D" w:rsidR="00FE4751" w:rsidRDefault="00123370" w:rsidP="00FC5D88">
      <w:pPr>
        <w:pStyle w:val="ListParagraph"/>
        <w:numPr>
          <w:ilvl w:val="0"/>
          <w:numId w:val="31"/>
        </w:numPr>
      </w:pPr>
      <w:r>
        <w:t>C</w:t>
      </w:r>
      <w:r w:rsidR="00FE4751">
        <w:t>heck for learning</w:t>
      </w:r>
    </w:p>
    <w:p w14:paraId="5B5DF314" w14:textId="50DC39C7" w:rsidR="00FE4751" w:rsidRPr="00FC5D88" w:rsidRDefault="00123370" w:rsidP="00FE4751">
      <w:pPr>
        <w:pStyle w:val="ListParagraph"/>
        <w:numPr>
          <w:ilvl w:val="0"/>
          <w:numId w:val="31"/>
        </w:numPr>
      </w:pPr>
      <w:r>
        <w:t>Reminder about e</w:t>
      </w:r>
      <w:r w:rsidR="00FE4751">
        <w:t>valuation</w:t>
      </w:r>
    </w:p>
    <w:sectPr w:rsidR="00FE4751" w:rsidRPr="00FC5D88" w:rsidSect="00745522">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F988" w14:textId="77777777" w:rsidR="00214531" w:rsidRDefault="00214531" w:rsidP="000636CE">
      <w:pPr>
        <w:spacing w:after="0" w:line="240" w:lineRule="auto"/>
      </w:pPr>
      <w:r>
        <w:separator/>
      </w:r>
    </w:p>
  </w:endnote>
  <w:endnote w:type="continuationSeparator" w:id="0">
    <w:p w14:paraId="14C1A38F" w14:textId="77777777" w:rsidR="00214531" w:rsidRDefault="00214531" w:rsidP="000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51F1" w14:textId="2F2D592D" w:rsidR="00E4426A" w:rsidRDefault="00E4426A">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4080" w14:textId="20776013" w:rsidR="000636CE" w:rsidRDefault="000636C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0958" w14:textId="77777777" w:rsidR="00214531" w:rsidRDefault="00214531" w:rsidP="000636CE">
      <w:pPr>
        <w:spacing w:after="0" w:line="240" w:lineRule="auto"/>
      </w:pPr>
      <w:r>
        <w:separator/>
      </w:r>
    </w:p>
  </w:footnote>
  <w:footnote w:type="continuationSeparator" w:id="0">
    <w:p w14:paraId="7A5A6E1B" w14:textId="77777777" w:rsidR="00214531" w:rsidRDefault="00214531" w:rsidP="0006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6557" w14:textId="6821DE83" w:rsidR="00E4426A" w:rsidRDefault="00E4426A">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9714" w14:textId="42D6E4CB" w:rsidR="000636CE" w:rsidRDefault="000636CE">
    <w:pPr>
      <w:pStyle w:val="Header"/>
    </w:pPr>
    <w:r>
      <w:rPr>
        <w:noProof/>
      </w:rPr>
      <w:drawing>
        <wp:inline distT="0" distB="0" distL="0" distR="0" wp14:anchorId="503CBCE9" wp14:editId="1547461B">
          <wp:extent cx="1261872" cy="612648"/>
          <wp:effectExtent l="0" t="0" r="0" b="0"/>
          <wp:docPr id="6"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872" cy="612648"/>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0649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986D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1E89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F2B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1AE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6C7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9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14B0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E844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14E0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B212A"/>
    <w:multiLevelType w:val="hybridMultilevel"/>
    <w:tmpl w:val="F0D4BF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CC1179"/>
    <w:multiLevelType w:val="hybridMultilevel"/>
    <w:tmpl w:val="FCDACE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3C2EC9"/>
    <w:multiLevelType w:val="hybridMultilevel"/>
    <w:tmpl w:val="3092B95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A55EDF"/>
    <w:multiLevelType w:val="hybridMultilevel"/>
    <w:tmpl w:val="9908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A3522"/>
    <w:multiLevelType w:val="hybridMultilevel"/>
    <w:tmpl w:val="16E80D6C"/>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432975"/>
    <w:multiLevelType w:val="hybridMultilevel"/>
    <w:tmpl w:val="67C6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F12C5"/>
    <w:multiLevelType w:val="hybridMultilevel"/>
    <w:tmpl w:val="7E063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82001D"/>
    <w:multiLevelType w:val="hybridMultilevel"/>
    <w:tmpl w:val="F46EDFD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C3110E"/>
    <w:multiLevelType w:val="hybridMultilevel"/>
    <w:tmpl w:val="9C6080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8A57C1"/>
    <w:multiLevelType w:val="hybridMultilevel"/>
    <w:tmpl w:val="9C6080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DF1D05"/>
    <w:multiLevelType w:val="hybridMultilevel"/>
    <w:tmpl w:val="0442D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B44AF9"/>
    <w:multiLevelType w:val="hybridMultilevel"/>
    <w:tmpl w:val="F4F03552"/>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263C44"/>
    <w:multiLevelType w:val="hybridMultilevel"/>
    <w:tmpl w:val="91C6BD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924CDA"/>
    <w:multiLevelType w:val="hybridMultilevel"/>
    <w:tmpl w:val="0B96D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A6372"/>
    <w:multiLevelType w:val="hybridMultilevel"/>
    <w:tmpl w:val="A898411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4E5C12"/>
    <w:multiLevelType w:val="hybridMultilevel"/>
    <w:tmpl w:val="D95C21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052FBC"/>
    <w:multiLevelType w:val="hybridMultilevel"/>
    <w:tmpl w:val="FFE0F2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362A59"/>
    <w:multiLevelType w:val="hybridMultilevel"/>
    <w:tmpl w:val="9B7C66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2539EA"/>
    <w:multiLevelType w:val="hybridMultilevel"/>
    <w:tmpl w:val="437EB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3D6B68"/>
    <w:multiLevelType w:val="hybridMultilevel"/>
    <w:tmpl w:val="9C608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C4C56"/>
    <w:multiLevelType w:val="hybridMultilevel"/>
    <w:tmpl w:val="7FF2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E7C87"/>
    <w:multiLevelType w:val="hybridMultilevel"/>
    <w:tmpl w:val="8EF273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1170C3"/>
    <w:multiLevelType w:val="hybridMultilevel"/>
    <w:tmpl w:val="53FE8A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940A9A"/>
    <w:multiLevelType w:val="hybridMultilevel"/>
    <w:tmpl w:val="496E6A88"/>
    <w:lvl w:ilvl="0" w:tplc="06E83846">
      <w:start w:val="1"/>
      <w:numFmt w:val="decimal"/>
      <w:lvlText w:val="%1."/>
      <w:lvlJc w:val="left"/>
      <w:pPr>
        <w:ind w:left="720" w:hanging="360"/>
      </w:pPr>
      <w:rPr>
        <w:rFonts w:hAnsi="Calibri" w:hint="default"/>
        <w:color w:val="FFFFFF" w:themeColor="ligh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05615"/>
    <w:multiLevelType w:val="hybridMultilevel"/>
    <w:tmpl w:val="8A6CBE28"/>
    <w:lvl w:ilvl="0" w:tplc="AF5618E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841B9"/>
    <w:multiLevelType w:val="hybridMultilevel"/>
    <w:tmpl w:val="7F94E74E"/>
    <w:lvl w:ilvl="0" w:tplc="39B2F44C">
      <w:start w:val="1"/>
      <w:numFmt w:val="bullet"/>
      <w:lvlText w:val=""/>
      <w:lvlJc w:val="left"/>
      <w:pPr>
        <w:ind w:left="360" w:hanging="360"/>
      </w:pPr>
      <w:rPr>
        <w:rFonts w:ascii="Wingdings" w:hAnsi="Wingdings" w:hint="default"/>
        <w:color w:val="0C75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461AE6"/>
    <w:multiLevelType w:val="hybridMultilevel"/>
    <w:tmpl w:val="9C6080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9558291">
    <w:abstractNumId w:val="23"/>
  </w:num>
  <w:num w:numId="2" w16cid:durableId="1874343645">
    <w:abstractNumId w:val="30"/>
  </w:num>
  <w:num w:numId="3" w16cid:durableId="1533609393">
    <w:abstractNumId w:val="34"/>
  </w:num>
  <w:num w:numId="4" w16cid:durableId="1822891248">
    <w:abstractNumId w:val="33"/>
  </w:num>
  <w:num w:numId="5" w16cid:durableId="1477837560">
    <w:abstractNumId w:val="26"/>
  </w:num>
  <w:num w:numId="6" w16cid:durableId="941840374">
    <w:abstractNumId w:val="16"/>
  </w:num>
  <w:num w:numId="7" w16cid:durableId="1038972198">
    <w:abstractNumId w:val="20"/>
  </w:num>
  <w:num w:numId="8" w16cid:durableId="1286502154">
    <w:abstractNumId w:val="35"/>
  </w:num>
  <w:num w:numId="9" w16cid:durableId="100610677">
    <w:abstractNumId w:val="9"/>
  </w:num>
  <w:num w:numId="10" w16cid:durableId="238826291">
    <w:abstractNumId w:val="7"/>
  </w:num>
  <w:num w:numId="11" w16cid:durableId="2095543019">
    <w:abstractNumId w:val="6"/>
  </w:num>
  <w:num w:numId="12" w16cid:durableId="1032806566">
    <w:abstractNumId w:val="5"/>
  </w:num>
  <w:num w:numId="13" w16cid:durableId="392851276">
    <w:abstractNumId w:val="4"/>
  </w:num>
  <w:num w:numId="14" w16cid:durableId="1370690089">
    <w:abstractNumId w:val="8"/>
  </w:num>
  <w:num w:numId="15" w16cid:durableId="289752567">
    <w:abstractNumId w:val="3"/>
  </w:num>
  <w:num w:numId="16" w16cid:durableId="1299530637">
    <w:abstractNumId w:val="2"/>
  </w:num>
  <w:num w:numId="17" w16cid:durableId="1118600793">
    <w:abstractNumId w:val="1"/>
  </w:num>
  <w:num w:numId="18" w16cid:durableId="1529370126">
    <w:abstractNumId w:val="0"/>
  </w:num>
  <w:num w:numId="19" w16cid:durableId="2042584614">
    <w:abstractNumId w:val="15"/>
  </w:num>
  <w:num w:numId="20" w16cid:durableId="653218848">
    <w:abstractNumId w:val="29"/>
  </w:num>
  <w:num w:numId="21" w16cid:durableId="312756167">
    <w:abstractNumId w:val="31"/>
  </w:num>
  <w:num w:numId="22" w16cid:durableId="2116704491">
    <w:abstractNumId w:val="19"/>
  </w:num>
  <w:num w:numId="23" w16cid:durableId="1193154271">
    <w:abstractNumId w:val="18"/>
  </w:num>
  <w:num w:numId="24" w16cid:durableId="1441995593">
    <w:abstractNumId w:val="36"/>
  </w:num>
  <w:num w:numId="25" w16cid:durableId="690379214">
    <w:abstractNumId w:val="10"/>
  </w:num>
  <w:num w:numId="26" w16cid:durableId="153303924">
    <w:abstractNumId w:val="22"/>
  </w:num>
  <w:num w:numId="27" w16cid:durableId="1416971604">
    <w:abstractNumId w:val="17"/>
  </w:num>
  <w:num w:numId="28" w16cid:durableId="1921789352">
    <w:abstractNumId w:val="21"/>
  </w:num>
  <w:num w:numId="29" w16cid:durableId="1266840383">
    <w:abstractNumId w:val="28"/>
  </w:num>
  <w:num w:numId="30" w16cid:durableId="373239395">
    <w:abstractNumId w:val="25"/>
  </w:num>
  <w:num w:numId="31" w16cid:durableId="338700538">
    <w:abstractNumId w:val="24"/>
  </w:num>
  <w:num w:numId="32" w16cid:durableId="415517043">
    <w:abstractNumId w:val="14"/>
  </w:num>
  <w:num w:numId="33" w16cid:durableId="26956131">
    <w:abstractNumId w:val="32"/>
  </w:num>
  <w:num w:numId="34" w16cid:durableId="313221839">
    <w:abstractNumId w:val="12"/>
  </w:num>
  <w:num w:numId="35" w16cid:durableId="1476532223">
    <w:abstractNumId w:val="11"/>
  </w:num>
  <w:num w:numId="36" w16cid:durableId="2097483547">
    <w:abstractNumId w:val="27"/>
  </w:num>
  <w:num w:numId="37" w16cid:durableId="7225568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14"/>
    <w:rsid w:val="00005226"/>
    <w:rsid w:val="000135E8"/>
    <w:rsid w:val="00016F20"/>
    <w:rsid w:val="00023CD8"/>
    <w:rsid w:val="000302D2"/>
    <w:rsid w:val="0004714D"/>
    <w:rsid w:val="00047EBF"/>
    <w:rsid w:val="00054C2C"/>
    <w:rsid w:val="000568C3"/>
    <w:rsid w:val="000636CE"/>
    <w:rsid w:val="00072E88"/>
    <w:rsid w:val="0009248C"/>
    <w:rsid w:val="000C3AA4"/>
    <w:rsid w:val="000D4F28"/>
    <w:rsid w:val="000E1043"/>
    <w:rsid w:val="000F324E"/>
    <w:rsid w:val="000F7D1E"/>
    <w:rsid w:val="0010008B"/>
    <w:rsid w:val="00101D6A"/>
    <w:rsid w:val="00103612"/>
    <w:rsid w:val="00123370"/>
    <w:rsid w:val="00124FDF"/>
    <w:rsid w:val="001279F2"/>
    <w:rsid w:val="00142F8A"/>
    <w:rsid w:val="00145EAA"/>
    <w:rsid w:val="00150AA8"/>
    <w:rsid w:val="0015304C"/>
    <w:rsid w:val="00153A9F"/>
    <w:rsid w:val="00166208"/>
    <w:rsid w:val="001801F9"/>
    <w:rsid w:val="00196B9B"/>
    <w:rsid w:val="001A1750"/>
    <w:rsid w:val="001B0EFD"/>
    <w:rsid w:val="001F5C94"/>
    <w:rsid w:val="0021371B"/>
    <w:rsid w:val="00214531"/>
    <w:rsid w:val="0022302E"/>
    <w:rsid w:val="00225592"/>
    <w:rsid w:val="002404C9"/>
    <w:rsid w:val="00246282"/>
    <w:rsid w:val="002526E4"/>
    <w:rsid w:val="0025416A"/>
    <w:rsid w:val="00254B14"/>
    <w:rsid w:val="00273FAD"/>
    <w:rsid w:val="00285E84"/>
    <w:rsid w:val="00292D3D"/>
    <w:rsid w:val="002D3CCE"/>
    <w:rsid w:val="002D48D8"/>
    <w:rsid w:val="002D4ADA"/>
    <w:rsid w:val="002D6C5C"/>
    <w:rsid w:val="002E06F4"/>
    <w:rsid w:val="002E5CD0"/>
    <w:rsid w:val="00302EAC"/>
    <w:rsid w:val="0031711B"/>
    <w:rsid w:val="00332278"/>
    <w:rsid w:val="003329BF"/>
    <w:rsid w:val="00335794"/>
    <w:rsid w:val="003400CE"/>
    <w:rsid w:val="00342DE7"/>
    <w:rsid w:val="00365FC7"/>
    <w:rsid w:val="003716E9"/>
    <w:rsid w:val="00371E23"/>
    <w:rsid w:val="003752DA"/>
    <w:rsid w:val="00375A57"/>
    <w:rsid w:val="003764A9"/>
    <w:rsid w:val="003823D9"/>
    <w:rsid w:val="00382477"/>
    <w:rsid w:val="003E49F2"/>
    <w:rsid w:val="00402FE7"/>
    <w:rsid w:val="004064D1"/>
    <w:rsid w:val="00413018"/>
    <w:rsid w:val="00413610"/>
    <w:rsid w:val="004156E0"/>
    <w:rsid w:val="00422A64"/>
    <w:rsid w:val="004424C2"/>
    <w:rsid w:val="00456678"/>
    <w:rsid w:val="00461002"/>
    <w:rsid w:val="0046200E"/>
    <w:rsid w:val="004738F9"/>
    <w:rsid w:val="0048030D"/>
    <w:rsid w:val="00483961"/>
    <w:rsid w:val="004945CB"/>
    <w:rsid w:val="004B372F"/>
    <w:rsid w:val="004C0224"/>
    <w:rsid w:val="004E0178"/>
    <w:rsid w:val="004E2BCD"/>
    <w:rsid w:val="004E6263"/>
    <w:rsid w:val="004E7612"/>
    <w:rsid w:val="00503D58"/>
    <w:rsid w:val="00515812"/>
    <w:rsid w:val="005178DF"/>
    <w:rsid w:val="005442EA"/>
    <w:rsid w:val="00574FD0"/>
    <w:rsid w:val="005A6E52"/>
    <w:rsid w:val="005B0392"/>
    <w:rsid w:val="005B0A7E"/>
    <w:rsid w:val="005C7821"/>
    <w:rsid w:val="005D25F4"/>
    <w:rsid w:val="006138AD"/>
    <w:rsid w:val="0062286C"/>
    <w:rsid w:val="00632F9D"/>
    <w:rsid w:val="0067322F"/>
    <w:rsid w:val="00690BD3"/>
    <w:rsid w:val="006974F9"/>
    <w:rsid w:val="006B1E41"/>
    <w:rsid w:val="006B5901"/>
    <w:rsid w:val="006C2130"/>
    <w:rsid w:val="006F06C4"/>
    <w:rsid w:val="006F1B23"/>
    <w:rsid w:val="006F70D1"/>
    <w:rsid w:val="007177D0"/>
    <w:rsid w:val="0074536F"/>
    <w:rsid w:val="00745522"/>
    <w:rsid w:val="0075582D"/>
    <w:rsid w:val="00770FB7"/>
    <w:rsid w:val="007B761A"/>
    <w:rsid w:val="007C5DBD"/>
    <w:rsid w:val="007E2B98"/>
    <w:rsid w:val="007E4C0C"/>
    <w:rsid w:val="00815B5A"/>
    <w:rsid w:val="008348B4"/>
    <w:rsid w:val="00854610"/>
    <w:rsid w:val="0086461E"/>
    <w:rsid w:val="00864B1E"/>
    <w:rsid w:val="00876BE7"/>
    <w:rsid w:val="008E056C"/>
    <w:rsid w:val="008F39CF"/>
    <w:rsid w:val="0092737F"/>
    <w:rsid w:val="00932A8C"/>
    <w:rsid w:val="009349F7"/>
    <w:rsid w:val="009665E1"/>
    <w:rsid w:val="009744BC"/>
    <w:rsid w:val="00976565"/>
    <w:rsid w:val="00987916"/>
    <w:rsid w:val="009A3659"/>
    <w:rsid w:val="009B6CAB"/>
    <w:rsid w:val="009C4FB7"/>
    <w:rsid w:val="009D6D88"/>
    <w:rsid w:val="009E4AA0"/>
    <w:rsid w:val="009F2C43"/>
    <w:rsid w:val="009F3826"/>
    <w:rsid w:val="009F38A6"/>
    <w:rsid w:val="00A155F0"/>
    <w:rsid w:val="00A318C9"/>
    <w:rsid w:val="00A35269"/>
    <w:rsid w:val="00A42B31"/>
    <w:rsid w:val="00A65C91"/>
    <w:rsid w:val="00A6776B"/>
    <w:rsid w:val="00A87D7F"/>
    <w:rsid w:val="00AC297C"/>
    <w:rsid w:val="00AD3A80"/>
    <w:rsid w:val="00AE2875"/>
    <w:rsid w:val="00AF222E"/>
    <w:rsid w:val="00AF3A22"/>
    <w:rsid w:val="00AF66BA"/>
    <w:rsid w:val="00B006D5"/>
    <w:rsid w:val="00B04D77"/>
    <w:rsid w:val="00B07E33"/>
    <w:rsid w:val="00B17E48"/>
    <w:rsid w:val="00B540A4"/>
    <w:rsid w:val="00B62E85"/>
    <w:rsid w:val="00B813C0"/>
    <w:rsid w:val="00B833FA"/>
    <w:rsid w:val="00B97163"/>
    <w:rsid w:val="00BA303E"/>
    <w:rsid w:val="00BC2549"/>
    <w:rsid w:val="00BE4EE9"/>
    <w:rsid w:val="00BF6912"/>
    <w:rsid w:val="00C03F1B"/>
    <w:rsid w:val="00C1481E"/>
    <w:rsid w:val="00C15FE2"/>
    <w:rsid w:val="00C32B0F"/>
    <w:rsid w:val="00C37B01"/>
    <w:rsid w:val="00C42DE7"/>
    <w:rsid w:val="00C65CA4"/>
    <w:rsid w:val="00C71929"/>
    <w:rsid w:val="00C729CC"/>
    <w:rsid w:val="00C7321C"/>
    <w:rsid w:val="00C804CD"/>
    <w:rsid w:val="00C940F7"/>
    <w:rsid w:val="00CA2C27"/>
    <w:rsid w:val="00CB55B6"/>
    <w:rsid w:val="00CC778D"/>
    <w:rsid w:val="00CD346E"/>
    <w:rsid w:val="00CD4134"/>
    <w:rsid w:val="00CE5574"/>
    <w:rsid w:val="00D13FA6"/>
    <w:rsid w:val="00D374D5"/>
    <w:rsid w:val="00D427F4"/>
    <w:rsid w:val="00D47002"/>
    <w:rsid w:val="00D552BE"/>
    <w:rsid w:val="00D65DC6"/>
    <w:rsid w:val="00D722F0"/>
    <w:rsid w:val="00D727EC"/>
    <w:rsid w:val="00D74ACA"/>
    <w:rsid w:val="00D8688C"/>
    <w:rsid w:val="00D9240F"/>
    <w:rsid w:val="00D96F30"/>
    <w:rsid w:val="00DC50FC"/>
    <w:rsid w:val="00DE3523"/>
    <w:rsid w:val="00DF3FA9"/>
    <w:rsid w:val="00DF65F0"/>
    <w:rsid w:val="00E008F2"/>
    <w:rsid w:val="00E00CB2"/>
    <w:rsid w:val="00E07E68"/>
    <w:rsid w:val="00E11A48"/>
    <w:rsid w:val="00E313F8"/>
    <w:rsid w:val="00E4426A"/>
    <w:rsid w:val="00E5550C"/>
    <w:rsid w:val="00E57E8C"/>
    <w:rsid w:val="00E72085"/>
    <w:rsid w:val="00E955F7"/>
    <w:rsid w:val="00EB3E2B"/>
    <w:rsid w:val="00ED5DD5"/>
    <w:rsid w:val="00EE7CC3"/>
    <w:rsid w:val="00EF64F0"/>
    <w:rsid w:val="00F1096E"/>
    <w:rsid w:val="00F11E21"/>
    <w:rsid w:val="00F34BA0"/>
    <w:rsid w:val="00F40780"/>
    <w:rsid w:val="00F44945"/>
    <w:rsid w:val="00F46358"/>
    <w:rsid w:val="00F639EF"/>
    <w:rsid w:val="00FC3A4C"/>
    <w:rsid w:val="00FC5D88"/>
    <w:rsid w:val="00FE47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81B16"/>
  <w15:chartTrackingRefBased/>
  <w15:docId w15:val="{DC52BF14-F0C6-4B1A-849E-ACB34534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F0"/>
  </w:style>
  <w:style w:type="paragraph" w:styleId="Heading1">
    <w:name w:val="heading 1"/>
    <w:basedOn w:val="Normal"/>
    <w:next w:val="Normal"/>
    <w:link w:val="Heading1Char"/>
    <w:uiPriority w:val="9"/>
    <w:qFormat/>
    <w:rsid w:val="00864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CE"/>
  </w:style>
  <w:style w:type="paragraph" w:styleId="Footer">
    <w:name w:val="footer"/>
    <w:basedOn w:val="Normal"/>
    <w:link w:val="FooterChar"/>
    <w:uiPriority w:val="99"/>
    <w:unhideWhenUsed/>
    <w:rsid w:val="0006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CE"/>
  </w:style>
  <w:style w:type="paragraph" w:styleId="ListParagraph">
    <w:name w:val="List Paragraph"/>
    <w:basedOn w:val="Normal"/>
    <w:uiPriority w:val="34"/>
    <w:qFormat/>
    <w:rsid w:val="00E4426A"/>
    <w:pPr>
      <w:ind w:left="720"/>
      <w:contextualSpacing/>
    </w:pPr>
  </w:style>
  <w:style w:type="character" w:styleId="CommentReference">
    <w:name w:val="annotation reference"/>
    <w:basedOn w:val="DefaultParagraphFont"/>
    <w:uiPriority w:val="99"/>
    <w:semiHidden/>
    <w:unhideWhenUsed/>
    <w:rsid w:val="00456678"/>
    <w:rPr>
      <w:sz w:val="16"/>
      <w:szCs w:val="16"/>
    </w:rPr>
  </w:style>
  <w:style w:type="paragraph" w:styleId="CommentText">
    <w:name w:val="annotation text"/>
    <w:basedOn w:val="Normal"/>
    <w:link w:val="CommentTextChar"/>
    <w:uiPriority w:val="99"/>
    <w:unhideWhenUsed/>
    <w:rsid w:val="00456678"/>
    <w:pPr>
      <w:spacing w:line="240" w:lineRule="auto"/>
    </w:pPr>
    <w:rPr>
      <w:sz w:val="20"/>
      <w:szCs w:val="20"/>
    </w:rPr>
  </w:style>
  <w:style w:type="character" w:customStyle="1" w:styleId="CommentTextChar">
    <w:name w:val="Comment Text Char"/>
    <w:basedOn w:val="DefaultParagraphFont"/>
    <w:link w:val="CommentText"/>
    <w:uiPriority w:val="99"/>
    <w:rsid w:val="00456678"/>
    <w:rPr>
      <w:sz w:val="20"/>
      <w:szCs w:val="20"/>
    </w:rPr>
  </w:style>
  <w:style w:type="paragraph" w:styleId="CommentSubject">
    <w:name w:val="annotation subject"/>
    <w:basedOn w:val="CommentText"/>
    <w:next w:val="CommentText"/>
    <w:link w:val="CommentSubjectChar"/>
    <w:uiPriority w:val="99"/>
    <w:semiHidden/>
    <w:unhideWhenUsed/>
    <w:rsid w:val="00456678"/>
    <w:rPr>
      <w:b/>
      <w:bCs/>
    </w:rPr>
  </w:style>
  <w:style w:type="character" w:customStyle="1" w:styleId="CommentSubjectChar">
    <w:name w:val="Comment Subject Char"/>
    <w:basedOn w:val="CommentTextChar"/>
    <w:link w:val="CommentSubject"/>
    <w:uiPriority w:val="99"/>
    <w:semiHidden/>
    <w:rsid w:val="00456678"/>
    <w:rPr>
      <w:b/>
      <w:bCs/>
      <w:sz w:val="20"/>
      <w:szCs w:val="20"/>
    </w:rPr>
  </w:style>
  <w:style w:type="paragraph" w:styleId="BalloonText">
    <w:name w:val="Balloon Text"/>
    <w:basedOn w:val="Normal"/>
    <w:link w:val="BalloonTextChar"/>
    <w:uiPriority w:val="99"/>
    <w:semiHidden/>
    <w:unhideWhenUsed/>
    <w:rsid w:val="00456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78"/>
    <w:rPr>
      <w:rFonts w:ascii="Segoe UI" w:hAnsi="Segoe UI" w:cs="Segoe UI"/>
      <w:sz w:val="18"/>
      <w:szCs w:val="18"/>
    </w:rPr>
  </w:style>
  <w:style w:type="character" w:styleId="Hyperlink">
    <w:name w:val="Hyperlink"/>
    <w:basedOn w:val="DefaultParagraphFont"/>
    <w:uiPriority w:val="99"/>
    <w:unhideWhenUsed/>
    <w:rsid w:val="00285E84"/>
    <w:rPr>
      <w:color w:val="0563C1" w:themeColor="hyperlink"/>
      <w:u w:val="single"/>
    </w:rPr>
  </w:style>
  <w:style w:type="character" w:styleId="UnresolvedMention">
    <w:name w:val="Unresolved Mention"/>
    <w:basedOn w:val="DefaultParagraphFont"/>
    <w:uiPriority w:val="99"/>
    <w:semiHidden/>
    <w:unhideWhenUsed/>
    <w:rsid w:val="00285E84"/>
    <w:rPr>
      <w:color w:val="605E5C"/>
      <w:shd w:val="clear" w:color="auto" w:fill="E1DFDD"/>
    </w:rPr>
  </w:style>
  <w:style w:type="paragraph" w:styleId="Caption">
    <w:name w:val="caption"/>
    <w:basedOn w:val="Normal"/>
    <w:next w:val="Normal"/>
    <w:uiPriority w:val="35"/>
    <w:unhideWhenUsed/>
    <w:qFormat/>
    <w:rsid w:val="00B813C0"/>
    <w:pPr>
      <w:spacing w:after="200" w:line="240" w:lineRule="auto"/>
    </w:pPr>
    <w:rPr>
      <w:i/>
      <w:iCs/>
      <w:color w:val="44546A" w:themeColor="text2"/>
      <w:sz w:val="18"/>
      <w:szCs w:val="18"/>
    </w:rPr>
  </w:style>
  <w:style w:type="character" w:styleId="FollowedHyperlink">
    <w:name w:val="FollowedHyperlink"/>
    <w:basedOn w:val="DefaultParagraphFont"/>
    <w:uiPriority w:val="99"/>
    <w:unhideWhenUsed/>
    <w:rsid w:val="00DF65F0"/>
    <w:rPr>
      <w:color w:val="802B0C"/>
      <w:u w:val="single"/>
    </w:rPr>
  </w:style>
  <w:style w:type="character" w:customStyle="1" w:styleId="Heading1Char">
    <w:name w:val="Heading 1 Char"/>
    <w:basedOn w:val="DefaultParagraphFont"/>
    <w:link w:val="Heading1"/>
    <w:uiPriority w:val="9"/>
    <w:rsid w:val="00864B1E"/>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DF65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5F0"/>
    <w:rPr>
      <w:sz w:val="20"/>
      <w:szCs w:val="20"/>
    </w:rPr>
  </w:style>
  <w:style w:type="character" w:styleId="FootnoteReference">
    <w:name w:val="footnote reference"/>
    <w:basedOn w:val="DefaultParagraphFont"/>
    <w:uiPriority w:val="99"/>
    <w:semiHidden/>
    <w:unhideWhenUsed/>
    <w:rsid w:val="00DF65F0"/>
    <w:rPr>
      <w:vertAlign w:val="superscript"/>
    </w:rPr>
  </w:style>
  <w:style w:type="paragraph" w:styleId="NormalWeb">
    <w:name w:val="Normal (Web)"/>
    <w:basedOn w:val="Normal"/>
    <w:uiPriority w:val="99"/>
    <w:semiHidden/>
    <w:unhideWhenUsed/>
    <w:rsid w:val="00DC50F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5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36360">
      <w:bodyDiv w:val="1"/>
      <w:marLeft w:val="0"/>
      <w:marRight w:val="0"/>
      <w:marTop w:val="0"/>
      <w:marBottom w:val="0"/>
      <w:divBdr>
        <w:top w:val="none" w:sz="0" w:space="0" w:color="auto"/>
        <w:left w:val="none" w:sz="0" w:space="0" w:color="auto"/>
        <w:bottom w:val="none" w:sz="0" w:space="0" w:color="auto"/>
        <w:right w:val="none" w:sz="0" w:space="0" w:color="auto"/>
      </w:divBdr>
    </w:div>
    <w:div w:id="1009721452">
      <w:bodyDiv w:val="1"/>
      <w:marLeft w:val="0"/>
      <w:marRight w:val="0"/>
      <w:marTop w:val="0"/>
      <w:marBottom w:val="0"/>
      <w:divBdr>
        <w:top w:val="none" w:sz="0" w:space="0" w:color="auto"/>
        <w:left w:val="none" w:sz="0" w:space="0" w:color="auto"/>
        <w:bottom w:val="none" w:sz="0" w:space="0" w:color="auto"/>
        <w:right w:val="none" w:sz="0" w:space="0" w:color="auto"/>
      </w:divBdr>
    </w:div>
    <w:div w:id="1583493886">
      <w:bodyDiv w:val="1"/>
      <w:marLeft w:val="0"/>
      <w:marRight w:val="0"/>
      <w:marTop w:val="0"/>
      <w:marBottom w:val="0"/>
      <w:divBdr>
        <w:top w:val="none" w:sz="0" w:space="0" w:color="auto"/>
        <w:left w:val="none" w:sz="0" w:space="0" w:color="auto"/>
        <w:bottom w:val="none" w:sz="0" w:space="0" w:color="auto"/>
        <w:right w:val="none" w:sz="0" w:space="0" w:color="auto"/>
      </w:divBdr>
      <w:divsChild>
        <w:div w:id="1374424614">
          <w:marLeft w:val="360"/>
          <w:marRight w:val="0"/>
          <w:marTop w:val="200"/>
          <w:marBottom w:val="0"/>
          <w:divBdr>
            <w:top w:val="none" w:sz="0" w:space="0" w:color="auto"/>
            <w:left w:val="none" w:sz="0" w:space="0" w:color="auto"/>
            <w:bottom w:val="none" w:sz="0" w:space="0" w:color="auto"/>
            <w:right w:val="none" w:sz="0" w:space="0" w:color="auto"/>
          </w:divBdr>
        </w:div>
      </w:divsChild>
    </w:div>
    <w:div w:id="1736583400">
      <w:bodyDiv w:val="1"/>
      <w:marLeft w:val="0"/>
      <w:marRight w:val="0"/>
      <w:marTop w:val="0"/>
      <w:marBottom w:val="0"/>
      <w:divBdr>
        <w:top w:val="none" w:sz="0" w:space="0" w:color="auto"/>
        <w:left w:val="none" w:sz="0" w:space="0" w:color="auto"/>
        <w:bottom w:val="none" w:sz="0" w:space="0" w:color="auto"/>
        <w:right w:val="none" w:sz="0" w:space="0" w:color="auto"/>
      </w:divBdr>
    </w:div>
    <w:div w:id="18838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worldlanguages/implementation/course-alignment-guide.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e.mass.edu/worldlanguages/implementation/how-to.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worldlanguages/implementation/modules.html" TargetMode="External"/><Relationship Id="rId5" Type="http://schemas.openxmlformats.org/officeDocument/2006/relationships/numbering" Target="numbering.xml"/><Relationship Id="rId15" Type="http://schemas.openxmlformats.org/officeDocument/2006/relationships/hyperlink" Target="https://www.doe.mass.edu/worldlanguages/support/default.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worldlanguages/implementation/unit-alignment-guide.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5" ma:contentTypeDescription="Create a new document." ma:contentTypeScope="" ma:versionID="b11d913fa295fd5d791cb08ef0be19b3">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bd9ece30cdad015b6de25de36897e89c"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84804f-be2e-42b5-9a28-85670eac2b45}"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Cam07</b:Tag>
    <b:SourceType>JournalArticle</b:SourceType>
    <b:Guid>{4E6BE9EB-99A4-4641-AAF9-4F67F0EE772F}</b:Guid>
    <b:Author>
      <b:Author>
        <b:NameList>
          <b:Person>
            <b:Last>Campbell</b:Last>
            <b:First>C.</b:First>
          </b:Person>
          <b:Person>
            <b:Last>Duncan</b:Last>
            <b:First>G</b:First>
          </b:Person>
        </b:NameList>
      </b:Author>
    </b:Author>
    <b:Year>2007</b:Year>
    <b:Title>From theory to practice: General trends in foreign language teaching methodology and their influence on language assessment</b:Title>
    <b:JournalName>Language and Linguistics Compass</b:JournalName>
    <b:Volume>1</b:Volume>
    <b:Issue>6</b:Issue>
    <b:Pages>592-611</b:Pages>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F800D-2305-417A-BC97-C0E77F2BA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9823D-674C-4B16-86D3-2AD4C81C08B9}">
  <ds:schemaRefs>
    <ds:schemaRef ds:uri="http://schemas.openxmlformats.org/officeDocument/2006/bibliography"/>
  </ds:schemaRefs>
</ds:datastoreItem>
</file>

<file path=customXml/itemProps3.xml><?xml version="1.0" encoding="utf-8"?>
<ds:datastoreItem xmlns:ds="http://schemas.openxmlformats.org/officeDocument/2006/customXml" ds:itemID="{99C865FB-B867-4C7A-A799-F80D2779BFEB}">
  <ds:schemaRefs>
    <ds:schemaRef ds:uri="http://schemas.microsoft.com/sharepoint/v3/contenttype/forms"/>
  </ds:schemaRefs>
</ds:datastoreItem>
</file>

<file path=customXml/itemProps4.xml><?xml version="1.0" encoding="utf-8"?>
<ds:datastoreItem xmlns:ds="http://schemas.openxmlformats.org/officeDocument/2006/customXml" ds:itemID="{CDC03258-20B8-4AA4-942A-50D61E8D50B7}">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2</Pages>
  <Words>586</Words>
  <Characters>3503</Characters>
  <Application>Microsoft Office Word</Application>
  <DocSecurity>0</DocSecurity>
  <Lines>76</Lines>
  <Paragraphs>53</Paragraphs>
  <ScaleCrop>false</ScaleCrop>
  <HeadingPairs>
    <vt:vector size="2" baseType="variant">
      <vt:variant>
        <vt:lpstr>Title</vt:lpstr>
      </vt:variant>
      <vt:variant>
        <vt:i4>1</vt:i4>
      </vt:variant>
    </vt:vector>
  </HeadingPairs>
  <TitlesOfParts>
    <vt:vector size="1" baseType="lpstr">
      <vt:lpstr>WL Quick Reference Guide: Assessment</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 1 Facilitator Agenda</dc:title>
  <dc:subject/>
  <dc:creator>DESE</dc:creator>
  <cp:keywords/>
  <dc:description/>
  <cp:lastModifiedBy>Zou, Dong (EOE)</cp:lastModifiedBy>
  <cp:revision>22</cp:revision>
  <cp:lastPrinted>2020-12-16T16:02:00Z</cp:lastPrinted>
  <dcterms:created xsi:type="dcterms:W3CDTF">2022-01-28T22:28:00Z</dcterms:created>
  <dcterms:modified xsi:type="dcterms:W3CDTF">2023-11-30T19:45:00Z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30 2023 12:00AM</vt:lpwstr>
  </property>
</Properties>
</file>