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AA97B" w14:textId="3C515343" w:rsidR="0031711B" w:rsidRPr="00EF098E" w:rsidRDefault="0031711B" w:rsidP="00EF098E">
      <w:pPr>
        <w:spacing w:after="0"/>
        <w:jc w:val="center"/>
        <w:rPr>
          <w:rFonts w:ascii="Georgia" w:hAnsi="Georgia"/>
          <w:color w:val="0C7580"/>
          <w:sz w:val="32"/>
          <w:szCs w:val="32"/>
        </w:rPr>
      </w:pPr>
      <w:r>
        <w:rPr>
          <w:rFonts w:ascii="Georgia" w:hAnsi="Georgia"/>
          <w:color w:val="0C7580"/>
          <w:sz w:val="32"/>
          <w:szCs w:val="32"/>
        </w:rPr>
        <w:t xml:space="preserve">Module </w:t>
      </w:r>
      <w:r w:rsidR="00900EFD">
        <w:rPr>
          <w:rFonts w:ascii="Georgia" w:hAnsi="Georgia"/>
          <w:color w:val="0C7580"/>
          <w:sz w:val="32"/>
          <w:szCs w:val="32"/>
        </w:rPr>
        <w:t>1</w:t>
      </w:r>
      <w:r w:rsidR="0016510C">
        <w:rPr>
          <w:rFonts w:ascii="Georgia" w:hAnsi="Georgia"/>
          <w:color w:val="0C7580"/>
          <w:sz w:val="32"/>
          <w:szCs w:val="32"/>
        </w:rPr>
        <w:t>1</w:t>
      </w:r>
      <w:r w:rsidR="00900EFD">
        <w:rPr>
          <w:rFonts w:ascii="Georgia" w:hAnsi="Georgia"/>
          <w:color w:val="0C7580"/>
          <w:sz w:val="32"/>
          <w:szCs w:val="32"/>
        </w:rPr>
        <w:t>: C</w:t>
      </w:r>
      <w:r w:rsidR="0016510C">
        <w:rPr>
          <w:rFonts w:ascii="Georgia" w:hAnsi="Georgia"/>
          <w:color w:val="0C7580"/>
          <w:sz w:val="32"/>
          <w:szCs w:val="32"/>
        </w:rPr>
        <w:t>omparisons</w:t>
      </w:r>
      <w:r w:rsidR="00251FDA">
        <w:rPr>
          <w:rFonts w:ascii="Georgia" w:hAnsi="Georgia"/>
          <w:color w:val="0C7580"/>
          <w:sz w:val="32"/>
          <w:szCs w:val="32"/>
        </w:rPr>
        <w:t xml:space="preserve"> Standards</w:t>
      </w:r>
    </w:p>
    <w:p w14:paraId="0D7BD403" w14:textId="5214A113" w:rsidR="0031711B" w:rsidRDefault="00B17E48" w:rsidP="00EB3E2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74847B70" wp14:editId="7F484ECF">
                <wp:extent cx="6804660" cy="508958"/>
                <wp:effectExtent l="0" t="0" r="0" b="5715"/>
                <wp:docPr id="2" name="Rectangle 2"/>
                <wp:cNvGraphicFramePr/>
                <a:graphic xmlns:a="http://schemas.openxmlformats.org/drawingml/2006/main">
                  <a:graphicData uri="http://schemas.microsoft.com/office/word/2010/wordprocessingShape">
                    <wps:wsp>
                      <wps:cNvSpPr/>
                      <wps:spPr>
                        <a:xfrm>
                          <a:off x="0" y="0"/>
                          <a:ext cx="6804660" cy="508958"/>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3B6029" w14:textId="755F303F" w:rsidR="000636CE" w:rsidRDefault="00EF098E" w:rsidP="0023643E">
                            <w:pPr>
                              <w:jc w:val="center"/>
                            </w:pPr>
                            <w:r>
                              <w:t xml:space="preserve">This module provides an overview </w:t>
                            </w:r>
                            <w:r w:rsidR="00251FDA">
                              <w:t xml:space="preserve">of </w:t>
                            </w:r>
                            <w:r w:rsidR="00D028C4">
                              <w:t xml:space="preserve">Practice </w:t>
                            </w:r>
                            <w:r w:rsidR="0016510C">
                              <w:t>6</w:t>
                            </w:r>
                            <w:r w:rsidR="00D028C4">
                              <w:t>: C</w:t>
                            </w:r>
                            <w:r w:rsidR="0016510C">
                              <w:t>omparisons</w:t>
                            </w:r>
                            <w:r>
                              <w:t>, discuss</w:t>
                            </w:r>
                            <w:r w:rsidR="00160119">
                              <w:t>es</w:t>
                            </w:r>
                            <w:r w:rsidR="00CF2B3A">
                              <w:t xml:space="preserve"> </w:t>
                            </w:r>
                            <w:r w:rsidR="00251FDA">
                              <w:t xml:space="preserve">the Massachusetts World Languages Standards for </w:t>
                            </w:r>
                            <w:r w:rsidR="00D028C4">
                              <w:t>C</w:t>
                            </w:r>
                            <w:r w:rsidR="0016510C">
                              <w:t>omparisons,</w:t>
                            </w:r>
                            <w:r w:rsidRPr="00EF098E">
                              <w:t xml:space="preserve"> and </w:t>
                            </w:r>
                            <w:r w:rsidR="00160119" w:rsidRPr="00EF098E">
                              <w:t>highlight</w:t>
                            </w:r>
                            <w:r w:rsidR="00160119">
                              <w:t xml:space="preserve">s </w:t>
                            </w:r>
                            <w:r w:rsidRPr="00EF098E">
                              <w:t xml:space="preserve">ways </w:t>
                            </w:r>
                            <w:r w:rsidR="00251FDA">
                              <w:t>to address the Standards</w:t>
                            </w:r>
                            <w:r w:rsidR="00497BA5">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4847B70" id="Rectangle 2" o:spid="_x0000_s1026" style="width:535.8pt;height:40.1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" fillcolor="#0c7580" stroked="f" strokeweight="2pt">
                <v:textbox>
                  <w:txbxContent>
                    <w:p w14:paraId="2C3B6029" w14:textId="755F303F" w:rsidR="000636CE" w:rsidRDefault="00EF098E" w:rsidP="0023643E">
                      <w:pPr>
                        <w:jc w:val="center"/>
                      </w:pPr>
                      <w:r>
                        <w:t xml:space="preserve">This module provides an overview </w:t>
                      </w:r>
                      <w:r w:rsidR="00251FDA">
                        <w:t xml:space="preserve">of </w:t>
                      </w:r>
                      <w:r w:rsidR="00D028C4">
                        <w:t xml:space="preserve">Practice </w:t>
                      </w:r>
                      <w:r w:rsidR="0016510C">
                        <w:t>6</w:t>
                      </w:r>
                      <w:r w:rsidR="00D028C4">
                        <w:t>: C</w:t>
                      </w:r>
                      <w:r w:rsidR="0016510C">
                        <w:t>omparisons</w:t>
                      </w:r>
                      <w:r>
                        <w:t>, discuss</w:t>
                      </w:r>
                      <w:r w:rsidR="00160119">
                        <w:t>es</w:t>
                      </w:r>
                      <w:r w:rsidR="00CF2B3A">
                        <w:t xml:space="preserve"> </w:t>
                      </w:r>
                      <w:r w:rsidR="00251FDA">
                        <w:t xml:space="preserve">the Massachusetts World Languages Standards for </w:t>
                      </w:r>
                      <w:r w:rsidR="00D028C4">
                        <w:t>C</w:t>
                      </w:r>
                      <w:r w:rsidR="0016510C">
                        <w:t>omparisons,</w:t>
                      </w:r>
                      <w:r w:rsidRPr="00EF098E">
                        <w:t xml:space="preserve"> and </w:t>
                      </w:r>
                      <w:r w:rsidR="00160119" w:rsidRPr="00EF098E">
                        <w:t>highlight</w:t>
                      </w:r>
                      <w:r w:rsidR="00160119">
                        <w:t xml:space="preserve">s </w:t>
                      </w:r>
                      <w:r w:rsidRPr="00EF098E">
                        <w:t xml:space="preserve">ways </w:t>
                      </w:r>
                      <w:r w:rsidR="00251FDA">
                        <w:t>to address the Standards</w:t>
                      </w:r>
                      <w:r w:rsidR="00497BA5">
                        <w:t>.</w:t>
                      </w:r>
                    </w:p>
                  </w:txbxContent>
                </v:textbox>
                <w10:anchorlock/>
              </v:rect>
            </w:pict>
          </mc:Fallback>
        </mc:AlternateContent>
      </w:r>
    </w:p>
    <w:p w14:paraId="7C744278" w14:textId="77777777" w:rsidR="00D235B3" w:rsidRPr="00D235B3" w:rsidRDefault="00D235B3" w:rsidP="00EB3E2B">
      <w:pPr>
        <w:spacing w:after="0"/>
        <w:rPr>
          <w:rFonts w:cstheme="minorHAnsi"/>
          <w:sz w:val="20"/>
          <w:szCs w:val="20"/>
        </w:rPr>
      </w:pPr>
    </w:p>
    <w:p w14:paraId="4BA85228" w14:textId="5A58F70C" w:rsidR="000636CE" w:rsidRDefault="00D028C4" w:rsidP="00EB3E2B">
      <w:pPr>
        <w:spacing w:after="0"/>
        <w:rPr>
          <w:rFonts w:ascii="Georgia" w:hAnsi="Georgia"/>
          <w:color w:val="0C7580"/>
          <w:sz w:val="28"/>
          <w:szCs w:val="28"/>
        </w:rPr>
      </w:pPr>
      <w:r>
        <w:rPr>
          <w:rFonts w:ascii="Georgia" w:hAnsi="Georgia"/>
          <w:color w:val="0C7580"/>
          <w:sz w:val="28"/>
          <w:szCs w:val="28"/>
        </w:rPr>
        <w:t xml:space="preserve">Practice </w:t>
      </w:r>
      <w:r w:rsidR="0016510C">
        <w:rPr>
          <w:rFonts w:ascii="Georgia" w:hAnsi="Georgia"/>
          <w:color w:val="0C7580"/>
          <w:sz w:val="28"/>
          <w:szCs w:val="28"/>
        </w:rPr>
        <w:t>6</w:t>
      </w:r>
      <w:r>
        <w:rPr>
          <w:rFonts w:ascii="Georgia" w:hAnsi="Georgia"/>
          <w:color w:val="0C7580"/>
          <w:sz w:val="28"/>
          <w:szCs w:val="28"/>
        </w:rPr>
        <w:t>: C</w:t>
      </w:r>
      <w:r w:rsidR="0016510C">
        <w:rPr>
          <w:rFonts w:ascii="Georgia" w:hAnsi="Georgia"/>
          <w:color w:val="0C7580"/>
          <w:sz w:val="28"/>
          <w:szCs w:val="28"/>
        </w:rPr>
        <w:t>omparisons</w:t>
      </w:r>
    </w:p>
    <w:p w14:paraId="582AF108" w14:textId="1184662D" w:rsidR="0031711B" w:rsidRPr="00EF098E" w:rsidRDefault="00D028C4" w:rsidP="00EB3E2B">
      <w:pPr>
        <w:spacing w:after="0"/>
        <w:rPr>
          <w:rFonts w:cstheme="minorHAnsi"/>
        </w:rPr>
      </w:pPr>
      <w:r>
        <w:t>This Practice</w:t>
      </w:r>
      <w:r w:rsidR="00C07020">
        <w:t xml:space="preserve"> involves </w:t>
      </w:r>
      <w:r w:rsidR="0016510C">
        <w:t>developing insight into the nature of language and culture to interact with cultural competence</w:t>
      </w:r>
      <w:r w:rsidRPr="00D028C4">
        <w:t>.</w:t>
      </w:r>
      <w:r>
        <w:t xml:space="preserve"> </w:t>
      </w:r>
      <w:r w:rsidR="00E05EFB" w:rsidRPr="00D96526">
        <w:rPr>
          <w:rFonts w:cstheme="minorHAnsi"/>
        </w:rPr>
        <w:t xml:space="preserve">In </w:t>
      </w:r>
      <w:r>
        <w:rPr>
          <w:rFonts w:cstheme="minorHAnsi"/>
        </w:rPr>
        <w:t>this Practice</w:t>
      </w:r>
      <w:r w:rsidR="00E05EFB" w:rsidRPr="00D96526">
        <w:rPr>
          <w:rFonts w:cstheme="minorHAnsi"/>
        </w:rPr>
        <w:t xml:space="preserve">, </w:t>
      </w:r>
      <w:r w:rsidR="0007576F" w:rsidRPr="0007576F">
        <w:rPr>
          <w:rFonts w:cstheme="minorHAnsi"/>
        </w:rPr>
        <w:t>students</w:t>
      </w:r>
      <w:r w:rsidRPr="00D028C4">
        <w:t xml:space="preserve"> </w:t>
      </w:r>
      <w:r w:rsidR="0016510C">
        <w:t>recognize and analyze similarities, differences, interconnectedness, and interactions in target-language cultures and the language itself</w:t>
      </w:r>
      <w:r w:rsidR="00BF095B">
        <w:t xml:space="preserve"> and make comparisons of the cultures and language studied and their own</w:t>
      </w:r>
      <w:r>
        <w:rPr>
          <w:rFonts w:cstheme="minorHAnsi"/>
        </w:rPr>
        <w:t>.</w:t>
      </w:r>
      <w:r w:rsidR="0007576F">
        <w:rPr>
          <w:rFonts w:cstheme="minorHAnsi"/>
        </w:rPr>
        <w:t xml:space="preserve"> </w:t>
      </w:r>
      <w:r w:rsidR="00D96526">
        <w:t xml:space="preserve">Proficiency in </w:t>
      </w:r>
      <w:r w:rsidR="00BF095B">
        <w:t>Comparisons</w:t>
      </w:r>
      <w:r>
        <w:t xml:space="preserve"> </w:t>
      </w:r>
      <w:r w:rsidR="0007576F" w:rsidRPr="0007576F">
        <w:t xml:space="preserve">encourages students to respect and uphold the value of all cultures and </w:t>
      </w:r>
      <w:r w:rsidR="00DD0B72">
        <w:t xml:space="preserve">embrace the different types </w:t>
      </w:r>
      <w:r w:rsidR="007E5180">
        <w:t xml:space="preserve">and </w:t>
      </w:r>
      <w:r w:rsidR="00DD0B72">
        <w:t>forms of language used throughout the world</w:t>
      </w:r>
      <w:r w:rsidR="00D96526">
        <w:t xml:space="preserve">, helps </w:t>
      </w:r>
      <w:r w:rsidR="0016510C">
        <w:t>improve students’ overall linguistic awareness, cultural competency, and literacy development across languages</w:t>
      </w:r>
      <w:r w:rsidR="00D96526">
        <w:t xml:space="preserve">, and supports students in </w:t>
      </w:r>
      <w:r>
        <w:t>effectively communicating in the target language</w:t>
      </w:r>
      <w:r w:rsidR="00A8130B">
        <w:t xml:space="preserve"> </w:t>
      </w:r>
      <w:r w:rsidR="008E646C">
        <w:t>and</w:t>
      </w:r>
      <w:r w:rsidR="00A8130B">
        <w:t xml:space="preserve"> participating in their communities.</w:t>
      </w:r>
    </w:p>
    <w:p w14:paraId="4BC7CA21" w14:textId="25D6885F" w:rsidR="0031711B" w:rsidRDefault="00565CC5" w:rsidP="00EB3E2B">
      <w:pPr>
        <w:spacing w:after="0"/>
        <w:rPr>
          <w:rFonts w:ascii="Georgia" w:hAnsi="Georgia"/>
          <w:color w:val="0C7580"/>
          <w:sz w:val="28"/>
          <w:szCs w:val="28"/>
        </w:rPr>
      </w:pPr>
      <w:r>
        <w:rPr>
          <w:rFonts w:ascii="Georgia" w:hAnsi="Georgia"/>
          <w:color w:val="0C7580"/>
          <w:sz w:val="28"/>
          <w:szCs w:val="28"/>
        </w:rPr>
        <w:t xml:space="preserve">  </w:t>
      </w:r>
    </w:p>
    <w:p w14:paraId="49801E4D" w14:textId="5CD97C09" w:rsidR="0031711B" w:rsidRDefault="00D028C4" w:rsidP="00EB3E2B">
      <w:pPr>
        <w:spacing w:after="0"/>
        <w:rPr>
          <w:rFonts w:ascii="Georgia" w:hAnsi="Georgia"/>
          <w:color w:val="0C7580"/>
          <w:sz w:val="28"/>
          <w:szCs w:val="28"/>
        </w:rPr>
      </w:pPr>
      <w:r>
        <w:rPr>
          <w:rFonts w:ascii="Georgia" w:hAnsi="Georgia"/>
          <w:color w:val="0C7580"/>
          <w:sz w:val="28"/>
          <w:szCs w:val="28"/>
        </w:rPr>
        <w:t>C</w:t>
      </w:r>
      <w:r w:rsidR="0016510C">
        <w:rPr>
          <w:rFonts w:ascii="Georgia" w:hAnsi="Georgia"/>
          <w:color w:val="0C7580"/>
          <w:sz w:val="28"/>
          <w:szCs w:val="28"/>
        </w:rPr>
        <w:t>omparisons</w:t>
      </w:r>
      <w:r w:rsidR="00251FDA">
        <w:rPr>
          <w:rFonts w:ascii="Georgia" w:hAnsi="Georgia"/>
          <w:color w:val="0C7580"/>
          <w:sz w:val="28"/>
          <w:szCs w:val="28"/>
        </w:rPr>
        <w:t xml:space="preserve"> Standards</w:t>
      </w:r>
    </w:p>
    <w:p w14:paraId="49B9BA6C" w14:textId="74F9B90B" w:rsidR="00497BA5" w:rsidRDefault="002A7CD1" w:rsidP="00EF098E">
      <w:pPr>
        <w:spacing w:after="0"/>
      </w:pPr>
      <w:r>
        <w:rPr>
          <w:rFonts w:cstheme="minorHAnsi"/>
        </w:rPr>
        <w:t>The</w:t>
      </w:r>
      <w:r w:rsidR="00D96526">
        <w:rPr>
          <w:rFonts w:cstheme="minorHAnsi"/>
        </w:rPr>
        <w:t xml:space="preserve"> Massachusetts World Languages Standards for </w:t>
      </w:r>
      <w:r w:rsidR="00D028C4">
        <w:rPr>
          <w:rFonts w:cstheme="minorHAnsi"/>
        </w:rPr>
        <w:t>C</w:t>
      </w:r>
      <w:r w:rsidR="0016510C">
        <w:rPr>
          <w:rFonts w:cstheme="minorHAnsi"/>
        </w:rPr>
        <w:t>omparisons</w:t>
      </w:r>
      <w:r w:rsidR="00D96526">
        <w:rPr>
          <w:rFonts w:cstheme="minorHAnsi"/>
        </w:rPr>
        <w:t xml:space="preserve"> </w:t>
      </w:r>
      <w:r>
        <w:rPr>
          <w:rFonts w:cstheme="minorHAnsi"/>
        </w:rPr>
        <w:t>describe</w:t>
      </w:r>
      <w:r w:rsidR="00D96526">
        <w:rPr>
          <w:rFonts w:cstheme="minorHAnsi"/>
        </w:rPr>
        <w:t xml:space="preserve"> </w:t>
      </w:r>
      <w:r w:rsidR="00D96526">
        <w:t>the skills that students can demonstrate at different levels of proficiency</w:t>
      </w:r>
      <w:r w:rsidR="00D028C4">
        <w:t xml:space="preserve"> in C</w:t>
      </w:r>
      <w:r w:rsidR="0016510C">
        <w:t>omparisons</w:t>
      </w:r>
      <w:r w:rsidR="00D96526">
        <w:t xml:space="preserve">. </w:t>
      </w:r>
      <w:r w:rsidR="00CF309C">
        <w:t xml:space="preserve">The </w:t>
      </w:r>
      <w:r w:rsidR="00D028C4">
        <w:t>C</w:t>
      </w:r>
      <w:r w:rsidR="0016510C">
        <w:t>omparisons</w:t>
      </w:r>
      <w:r w:rsidR="00CF309C">
        <w:t xml:space="preserve"> Standard at each proficiency level</w:t>
      </w:r>
      <w:r w:rsidR="00D96526">
        <w:t xml:space="preserve"> contains between </w:t>
      </w:r>
      <w:r w:rsidR="0016510C">
        <w:t>five</w:t>
      </w:r>
      <w:r w:rsidR="00D96526">
        <w:t xml:space="preserve"> and </w:t>
      </w:r>
      <w:r w:rsidR="0016510C">
        <w:t>six</w:t>
      </w:r>
      <w:r w:rsidR="00D028C4">
        <w:t xml:space="preserve"> dif</w:t>
      </w:r>
      <w:r w:rsidR="00D96526">
        <w:t xml:space="preserve">ferent </w:t>
      </w:r>
      <w:r w:rsidR="00EE67BE">
        <w:t>F</w:t>
      </w:r>
      <w:r w:rsidR="0017786B">
        <w:t>unctions</w:t>
      </w:r>
      <w:r w:rsidR="00D96526">
        <w:t xml:space="preserve">, </w:t>
      </w:r>
      <w:r w:rsidR="0016510C">
        <w:t xml:space="preserve">with Functions related to cultures </w:t>
      </w:r>
      <w:r w:rsidR="00D96526" w:rsidRPr="00D96526">
        <w:t xml:space="preserve">numbered from </w:t>
      </w:r>
      <w:r w:rsidR="0016510C">
        <w:t xml:space="preserve">6.a.1 to 6.a.3 and Functions related to languages numbered 6.b.1 to 6.b.3. </w:t>
      </w:r>
      <w:r w:rsidR="00D96526">
        <w:t xml:space="preserve">The chart below shows how </w:t>
      </w:r>
      <w:r w:rsidR="00E05EFB">
        <w:t>F</w:t>
      </w:r>
      <w:r>
        <w:t xml:space="preserve">unctions </w:t>
      </w:r>
      <w:r w:rsidR="00D96526">
        <w:t xml:space="preserve">progress across proficiency levels within the </w:t>
      </w:r>
      <w:r w:rsidR="00D01DC0">
        <w:t>C</w:t>
      </w:r>
      <w:r w:rsidR="0016510C">
        <w:t>omparisons</w:t>
      </w:r>
      <w:r w:rsidR="00D96526">
        <w:t xml:space="preserve"> Standard</w:t>
      </w:r>
      <w:r w:rsidR="00843774">
        <w:t>s</w:t>
      </w:r>
      <w:r w:rsidR="00D96526">
        <w:t>.</w:t>
      </w:r>
      <w:r>
        <w:t xml:space="preserve"> </w:t>
      </w:r>
      <w:bookmarkStart w:id="0" w:name="_Hlk95913389"/>
      <w:r>
        <w:t xml:space="preserve">Check marks in a new row indicate </w:t>
      </w:r>
      <w:r w:rsidR="00E05EFB">
        <w:t>F</w:t>
      </w:r>
      <w:r>
        <w:t>unctions that emerge at higher proficiency levels and check marks with a plus sign indicate new, more rigorous features of a previously acquired</w:t>
      </w:r>
      <w:r w:rsidR="00E05EFB">
        <w:t xml:space="preserve"> F</w:t>
      </w:r>
      <w:r>
        <w:t>unction.</w:t>
      </w:r>
      <w:bookmarkEnd w:id="0"/>
    </w:p>
    <w:p w14:paraId="33A54953" w14:textId="79309FF2" w:rsidR="00960ABF" w:rsidRDefault="00960ABF" w:rsidP="0031711B">
      <w:pPr>
        <w:spacing w:after="0"/>
        <w:rPr>
          <w:rFonts w:ascii="Georgia" w:hAnsi="Georgia"/>
          <w:color w:val="0C7580"/>
          <w:sz w:val="28"/>
          <w:szCs w:val="28"/>
        </w:rPr>
      </w:pPr>
    </w:p>
    <w:tbl>
      <w:tblPr>
        <w:tblW w:w="6650" w:type="dxa"/>
        <w:jc w:val="center"/>
        <w:tblCellMar>
          <w:left w:w="0" w:type="dxa"/>
          <w:right w:w="0" w:type="dxa"/>
        </w:tblCellMar>
        <w:tblLook w:val="0420" w:firstRow="1" w:lastRow="0" w:firstColumn="0" w:lastColumn="0" w:noHBand="0" w:noVBand="1"/>
      </w:tblPr>
      <w:tblGrid>
        <w:gridCol w:w="572"/>
        <w:gridCol w:w="598"/>
        <w:gridCol w:w="628"/>
        <w:gridCol w:w="621"/>
        <w:gridCol w:w="606"/>
        <w:gridCol w:w="616"/>
        <w:gridCol w:w="621"/>
        <w:gridCol w:w="613"/>
        <w:gridCol w:w="626"/>
        <w:gridCol w:w="621"/>
        <w:gridCol w:w="528"/>
      </w:tblGrid>
      <w:tr w:rsidR="00D235B3" w:rsidRPr="00D235B3" w14:paraId="224470E8" w14:textId="77777777" w:rsidTr="00607175">
        <w:trPr>
          <w:jc w:val="center"/>
        </w:trPr>
        <w:tc>
          <w:tcPr>
            <w:tcW w:w="572"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7A3A14A9" w14:textId="77777777" w:rsidR="00D235B3" w:rsidRPr="00D235B3" w:rsidRDefault="00D235B3" w:rsidP="00B33FF8">
            <w:pPr>
              <w:spacing w:after="0"/>
              <w:rPr>
                <w:rFonts w:cstheme="minorHAnsi"/>
              </w:rPr>
            </w:pPr>
          </w:p>
        </w:tc>
        <w:tc>
          <w:tcPr>
            <w:tcW w:w="598"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21377F66" w14:textId="77777777" w:rsidR="00D235B3" w:rsidRPr="00D235B3" w:rsidRDefault="00D235B3" w:rsidP="00B33FF8">
            <w:pPr>
              <w:spacing w:after="0"/>
              <w:rPr>
                <w:rFonts w:cstheme="minorHAnsi"/>
              </w:rPr>
            </w:pPr>
            <w:r w:rsidRPr="00D235B3">
              <w:rPr>
                <w:rFonts w:ascii="Calibri" w:hAnsi="Calibri" w:cs="Calibri"/>
                <w:kern w:val="24"/>
              </w:rPr>
              <w:t>NL</w:t>
            </w:r>
          </w:p>
        </w:tc>
        <w:tc>
          <w:tcPr>
            <w:tcW w:w="628"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691F2406" w14:textId="77777777" w:rsidR="00D235B3" w:rsidRPr="00D235B3" w:rsidRDefault="00D235B3" w:rsidP="00B33FF8">
            <w:pPr>
              <w:spacing w:after="0"/>
              <w:rPr>
                <w:rFonts w:cstheme="minorHAnsi"/>
              </w:rPr>
            </w:pPr>
            <w:r w:rsidRPr="00D235B3">
              <w:rPr>
                <w:rFonts w:ascii="Calibri" w:hAnsi="Calibri" w:cs="Calibri"/>
                <w:kern w:val="24"/>
              </w:rPr>
              <w:t>NM</w:t>
            </w:r>
          </w:p>
        </w:tc>
        <w:tc>
          <w:tcPr>
            <w:tcW w:w="621"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6AB5EE51" w14:textId="77777777" w:rsidR="00D235B3" w:rsidRPr="00D235B3" w:rsidRDefault="00D235B3" w:rsidP="00B33FF8">
            <w:pPr>
              <w:spacing w:after="0"/>
              <w:rPr>
                <w:rFonts w:cstheme="minorHAnsi"/>
              </w:rPr>
            </w:pPr>
            <w:r w:rsidRPr="00D235B3">
              <w:rPr>
                <w:rFonts w:ascii="Calibri" w:hAnsi="Calibri" w:cs="Calibri"/>
                <w:kern w:val="24"/>
              </w:rPr>
              <w:t>NH</w:t>
            </w:r>
          </w:p>
        </w:tc>
        <w:tc>
          <w:tcPr>
            <w:tcW w:w="606"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60848818" w14:textId="77777777" w:rsidR="00D235B3" w:rsidRPr="00D235B3" w:rsidRDefault="00D235B3" w:rsidP="00B33FF8">
            <w:pPr>
              <w:spacing w:after="0"/>
              <w:rPr>
                <w:rFonts w:cstheme="minorHAnsi"/>
              </w:rPr>
            </w:pPr>
            <w:r w:rsidRPr="00D235B3">
              <w:rPr>
                <w:rFonts w:ascii="Calibri" w:hAnsi="Calibri" w:cs="Calibri"/>
                <w:kern w:val="24"/>
              </w:rPr>
              <w:t>IL</w:t>
            </w:r>
          </w:p>
        </w:tc>
        <w:tc>
          <w:tcPr>
            <w:tcW w:w="616"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5765E56C" w14:textId="77777777" w:rsidR="00D235B3" w:rsidRPr="00D235B3" w:rsidRDefault="00D235B3" w:rsidP="00B33FF8">
            <w:pPr>
              <w:spacing w:after="0"/>
              <w:rPr>
                <w:rFonts w:cstheme="minorHAnsi"/>
              </w:rPr>
            </w:pPr>
            <w:r w:rsidRPr="00D235B3">
              <w:rPr>
                <w:rFonts w:ascii="Calibri" w:hAnsi="Calibri" w:cs="Calibri"/>
                <w:kern w:val="24"/>
              </w:rPr>
              <w:t>IM</w:t>
            </w:r>
          </w:p>
        </w:tc>
        <w:tc>
          <w:tcPr>
            <w:tcW w:w="621"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7B1F3EDE" w14:textId="77777777" w:rsidR="00D235B3" w:rsidRPr="00D235B3" w:rsidRDefault="00D235B3" w:rsidP="00B33FF8">
            <w:pPr>
              <w:spacing w:after="0"/>
              <w:rPr>
                <w:rFonts w:cstheme="minorHAnsi"/>
              </w:rPr>
            </w:pPr>
            <w:r w:rsidRPr="00D235B3">
              <w:rPr>
                <w:rFonts w:ascii="Calibri" w:hAnsi="Calibri" w:cs="Calibri"/>
                <w:kern w:val="24"/>
              </w:rPr>
              <w:t>IH</w:t>
            </w:r>
          </w:p>
        </w:tc>
        <w:tc>
          <w:tcPr>
            <w:tcW w:w="613"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78BBB44B" w14:textId="77777777" w:rsidR="00D235B3" w:rsidRPr="00D235B3" w:rsidRDefault="00D235B3" w:rsidP="00B33FF8">
            <w:pPr>
              <w:spacing w:after="0"/>
              <w:rPr>
                <w:rFonts w:cstheme="minorHAnsi"/>
              </w:rPr>
            </w:pPr>
            <w:r w:rsidRPr="00D235B3">
              <w:rPr>
                <w:rFonts w:ascii="Calibri" w:hAnsi="Calibri" w:cs="Calibri"/>
                <w:kern w:val="24"/>
              </w:rPr>
              <w:t>AL</w:t>
            </w:r>
          </w:p>
        </w:tc>
        <w:tc>
          <w:tcPr>
            <w:tcW w:w="626"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5400A5F1" w14:textId="77777777" w:rsidR="00D235B3" w:rsidRPr="00D235B3" w:rsidRDefault="00D235B3" w:rsidP="00B33FF8">
            <w:pPr>
              <w:spacing w:after="0"/>
              <w:rPr>
                <w:rFonts w:cstheme="minorHAnsi"/>
              </w:rPr>
            </w:pPr>
            <w:r w:rsidRPr="00D235B3">
              <w:rPr>
                <w:rFonts w:ascii="Calibri" w:hAnsi="Calibri" w:cs="Calibri"/>
                <w:kern w:val="24"/>
              </w:rPr>
              <w:t>AM</w:t>
            </w:r>
          </w:p>
        </w:tc>
        <w:tc>
          <w:tcPr>
            <w:tcW w:w="621"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37EB02C4" w14:textId="77777777" w:rsidR="00D235B3" w:rsidRPr="00D235B3" w:rsidRDefault="00D235B3" w:rsidP="00B33FF8">
            <w:pPr>
              <w:spacing w:after="0"/>
              <w:rPr>
                <w:rFonts w:cstheme="minorHAnsi"/>
              </w:rPr>
            </w:pPr>
            <w:r w:rsidRPr="00D235B3">
              <w:rPr>
                <w:rFonts w:ascii="Calibri" w:hAnsi="Calibri" w:cs="Calibri"/>
                <w:kern w:val="24"/>
              </w:rPr>
              <w:t>AH</w:t>
            </w:r>
          </w:p>
        </w:tc>
        <w:tc>
          <w:tcPr>
            <w:tcW w:w="528" w:type="dxa"/>
            <w:tcBorders>
              <w:top w:val="single" w:sz="8" w:space="0" w:color="FFFFFF"/>
              <w:left w:val="single" w:sz="8" w:space="0" w:color="FFFFFF"/>
              <w:bottom w:val="single" w:sz="24" w:space="0" w:color="FFFFFF"/>
              <w:right w:val="single" w:sz="8" w:space="0" w:color="FFFFFF"/>
            </w:tcBorders>
            <w:shd w:val="clear" w:color="auto" w:fill="BDDADF"/>
            <w:tcMar>
              <w:top w:w="72" w:type="dxa"/>
              <w:left w:w="144" w:type="dxa"/>
              <w:bottom w:w="72" w:type="dxa"/>
              <w:right w:w="144" w:type="dxa"/>
            </w:tcMar>
            <w:vAlign w:val="center"/>
            <w:hideMark/>
          </w:tcPr>
          <w:p w14:paraId="4DD5E87A" w14:textId="77777777" w:rsidR="00D235B3" w:rsidRPr="00D235B3" w:rsidRDefault="00D235B3" w:rsidP="00B33FF8">
            <w:pPr>
              <w:spacing w:after="0"/>
              <w:rPr>
                <w:rFonts w:cstheme="minorHAnsi"/>
              </w:rPr>
            </w:pPr>
            <w:r w:rsidRPr="00D235B3">
              <w:rPr>
                <w:rFonts w:ascii="Calibri" w:hAnsi="Calibri" w:cs="Calibri"/>
                <w:kern w:val="24"/>
              </w:rPr>
              <w:t>S</w:t>
            </w:r>
          </w:p>
        </w:tc>
      </w:tr>
      <w:tr w:rsidR="00D235B3" w:rsidRPr="00D235B3" w14:paraId="6372E33A" w14:textId="77777777" w:rsidTr="00607175">
        <w:trPr>
          <w:jc w:val="center"/>
        </w:trPr>
        <w:tc>
          <w:tcPr>
            <w:tcW w:w="572" w:type="dxa"/>
            <w:tcBorders>
              <w:top w:val="single" w:sz="24"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vAlign w:val="center"/>
            <w:hideMark/>
          </w:tcPr>
          <w:p w14:paraId="36AC2CEE" w14:textId="77777777" w:rsidR="00D235B3" w:rsidRPr="00D235B3" w:rsidRDefault="00D235B3" w:rsidP="00B33FF8">
            <w:pPr>
              <w:spacing w:after="0"/>
              <w:rPr>
                <w:rFonts w:cstheme="minorHAnsi"/>
              </w:rPr>
            </w:pPr>
            <w:r w:rsidRPr="00D235B3">
              <w:rPr>
                <w:rFonts w:ascii="Calibri" w:hAnsi="Calibri" w:cs="Calibri"/>
                <w:kern w:val="24"/>
              </w:rPr>
              <w:t>a.1</w:t>
            </w:r>
          </w:p>
        </w:tc>
        <w:tc>
          <w:tcPr>
            <w:tcW w:w="598"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center"/>
            <w:hideMark/>
          </w:tcPr>
          <w:p w14:paraId="0644663B"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28"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center"/>
            <w:hideMark/>
          </w:tcPr>
          <w:p w14:paraId="091288A7"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center"/>
            <w:hideMark/>
          </w:tcPr>
          <w:p w14:paraId="27113062"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r w:rsidRPr="00D235B3">
              <w:rPr>
                <w:rFonts w:eastAsiaTheme="minorEastAsia" w:hAnsi="Arial"/>
                <w:kern w:val="24"/>
              </w:rPr>
              <w:t>+</w:t>
            </w:r>
          </w:p>
        </w:tc>
        <w:tc>
          <w:tcPr>
            <w:tcW w:w="606"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center"/>
            <w:hideMark/>
          </w:tcPr>
          <w:p w14:paraId="5979DE8A"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16"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center"/>
            <w:hideMark/>
          </w:tcPr>
          <w:p w14:paraId="335B4427"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center"/>
            <w:hideMark/>
          </w:tcPr>
          <w:p w14:paraId="4F5254D9"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r w:rsidRPr="00D235B3">
              <w:rPr>
                <w:rFonts w:eastAsiaTheme="minorEastAsia" w:hAnsi="Arial"/>
                <w:kern w:val="24"/>
              </w:rPr>
              <w:t>+</w:t>
            </w:r>
          </w:p>
        </w:tc>
        <w:tc>
          <w:tcPr>
            <w:tcW w:w="613"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center"/>
            <w:hideMark/>
          </w:tcPr>
          <w:p w14:paraId="248DEA04"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26"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center"/>
            <w:hideMark/>
          </w:tcPr>
          <w:p w14:paraId="7357657B"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center"/>
            <w:hideMark/>
          </w:tcPr>
          <w:p w14:paraId="7ADD0B34"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528" w:type="dxa"/>
            <w:tcBorders>
              <w:top w:val="single" w:sz="24"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center"/>
            <w:hideMark/>
          </w:tcPr>
          <w:p w14:paraId="0D03BCE9"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r>
      <w:tr w:rsidR="00D235B3" w:rsidRPr="00D235B3" w14:paraId="7B57F866" w14:textId="77777777" w:rsidTr="00607175">
        <w:trPr>
          <w:jc w:val="center"/>
        </w:trPr>
        <w:tc>
          <w:tcPr>
            <w:tcW w:w="572"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vAlign w:val="center"/>
            <w:hideMark/>
          </w:tcPr>
          <w:p w14:paraId="498404D5" w14:textId="77777777" w:rsidR="00D235B3" w:rsidRPr="00D235B3" w:rsidRDefault="00D235B3" w:rsidP="00B33FF8">
            <w:pPr>
              <w:spacing w:after="0"/>
              <w:rPr>
                <w:rFonts w:cstheme="minorHAnsi"/>
              </w:rPr>
            </w:pPr>
            <w:r w:rsidRPr="00D235B3">
              <w:rPr>
                <w:rFonts w:ascii="Calibri" w:hAnsi="Calibri" w:cs="Calibri"/>
                <w:kern w:val="24"/>
              </w:rPr>
              <w:t>a.2</w:t>
            </w:r>
          </w:p>
        </w:tc>
        <w:tc>
          <w:tcPr>
            <w:tcW w:w="598"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vAlign w:val="bottom"/>
            <w:hideMark/>
          </w:tcPr>
          <w:p w14:paraId="68BA3445"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28"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vAlign w:val="center"/>
            <w:hideMark/>
          </w:tcPr>
          <w:p w14:paraId="4A74338D"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vAlign w:val="center"/>
            <w:hideMark/>
          </w:tcPr>
          <w:p w14:paraId="66EA850F"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r w:rsidRPr="00D235B3">
              <w:rPr>
                <w:rFonts w:eastAsiaTheme="minorEastAsia" w:hAnsi="Arial"/>
                <w:kern w:val="24"/>
              </w:rPr>
              <w:t>+</w:t>
            </w:r>
          </w:p>
        </w:tc>
        <w:tc>
          <w:tcPr>
            <w:tcW w:w="606"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vAlign w:val="center"/>
            <w:hideMark/>
          </w:tcPr>
          <w:p w14:paraId="4DFF6C50"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16"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vAlign w:val="center"/>
            <w:hideMark/>
          </w:tcPr>
          <w:p w14:paraId="5AEB0710"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vAlign w:val="center"/>
            <w:hideMark/>
          </w:tcPr>
          <w:p w14:paraId="057ACE07"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r w:rsidRPr="00D235B3">
              <w:rPr>
                <w:rFonts w:eastAsiaTheme="minorEastAsia" w:hAnsi="Arial"/>
                <w:kern w:val="24"/>
              </w:rPr>
              <w:t>+</w:t>
            </w:r>
          </w:p>
        </w:tc>
        <w:tc>
          <w:tcPr>
            <w:tcW w:w="613"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vAlign w:val="center"/>
            <w:hideMark/>
          </w:tcPr>
          <w:p w14:paraId="533E9485"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26"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vAlign w:val="center"/>
            <w:hideMark/>
          </w:tcPr>
          <w:p w14:paraId="22D49214"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vAlign w:val="center"/>
            <w:hideMark/>
          </w:tcPr>
          <w:p w14:paraId="4FF4C1FC"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r w:rsidRPr="00D235B3">
              <w:rPr>
                <w:rFonts w:eastAsiaTheme="minorEastAsia" w:hAnsi="Arial"/>
                <w:kern w:val="24"/>
              </w:rPr>
              <w:t>+</w:t>
            </w:r>
          </w:p>
        </w:tc>
        <w:tc>
          <w:tcPr>
            <w:tcW w:w="528" w:type="dxa"/>
            <w:tcBorders>
              <w:top w:val="single" w:sz="8" w:space="0" w:color="FFFFFF"/>
              <w:left w:val="single" w:sz="8" w:space="0" w:color="FFFFFF"/>
              <w:bottom w:val="single" w:sz="8" w:space="0" w:color="FFFFFF"/>
              <w:right w:val="single" w:sz="8" w:space="0" w:color="FFFFFF"/>
            </w:tcBorders>
            <w:shd w:val="clear" w:color="auto" w:fill="E8E9EF"/>
            <w:tcMar>
              <w:top w:w="72" w:type="dxa"/>
              <w:left w:w="144" w:type="dxa"/>
              <w:bottom w:w="72" w:type="dxa"/>
              <w:right w:w="144" w:type="dxa"/>
            </w:tcMar>
            <w:vAlign w:val="center"/>
            <w:hideMark/>
          </w:tcPr>
          <w:p w14:paraId="7BC2CDA4"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r>
      <w:tr w:rsidR="00D235B3" w:rsidRPr="00D235B3" w14:paraId="4A0252E9" w14:textId="77777777" w:rsidTr="00607175">
        <w:trPr>
          <w:jc w:val="center"/>
        </w:trPr>
        <w:tc>
          <w:tcPr>
            <w:tcW w:w="572"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vAlign w:val="center"/>
            <w:hideMark/>
          </w:tcPr>
          <w:p w14:paraId="78E14994" w14:textId="77777777" w:rsidR="00D235B3" w:rsidRPr="00D235B3" w:rsidRDefault="00D235B3" w:rsidP="00B33FF8">
            <w:pPr>
              <w:spacing w:after="0"/>
              <w:rPr>
                <w:rFonts w:cstheme="minorHAnsi"/>
              </w:rPr>
            </w:pPr>
            <w:r w:rsidRPr="00D235B3">
              <w:rPr>
                <w:rFonts w:ascii="Calibri" w:hAnsi="Calibri" w:cs="Calibri"/>
                <w:kern w:val="24"/>
              </w:rPr>
              <w:t>a.3</w:t>
            </w:r>
          </w:p>
        </w:tc>
        <w:tc>
          <w:tcPr>
            <w:tcW w:w="59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hideMark/>
          </w:tcPr>
          <w:p w14:paraId="75D09B96" w14:textId="77777777" w:rsidR="00D235B3" w:rsidRPr="00D235B3" w:rsidRDefault="00D235B3" w:rsidP="00B33FF8">
            <w:pPr>
              <w:spacing w:after="0"/>
              <w:rPr>
                <w:rFonts w:cstheme="minorHAnsi"/>
              </w:rPr>
            </w:pPr>
          </w:p>
        </w:tc>
        <w:tc>
          <w:tcPr>
            <w:tcW w:w="62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hideMark/>
          </w:tcPr>
          <w:p w14:paraId="5EEDCE30" w14:textId="77777777" w:rsidR="00D235B3" w:rsidRPr="00D235B3" w:rsidRDefault="00D235B3" w:rsidP="00B33FF8">
            <w:pPr>
              <w:spacing w:after="0"/>
              <w:rPr>
                <w:rFonts w:cstheme="minorHAnsi"/>
              </w:rPr>
            </w:pP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hideMark/>
          </w:tcPr>
          <w:p w14:paraId="640BFBA6" w14:textId="77777777" w:rsidR="00D235B3" w:rsidRPr="00D235B3" w:rsidRDefault="00D235B3" w:rsidP="00B33FF8">
            <w:pPr>
              <w:spacing w:after="0"/>
              <w:rPr>
                <w:rFonts w:cstheme="minorHAnsi"/>
              </w:rPr>
            </w:pPr>
          </w:p>
        </w:tc>
        <w:tc>
          <w:tcPr>
            <w:tcW w:w="60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hideMark/>
          </w:tcPr>
          <w:p w14:paraId="3AC204F1" w14:textId="77777777" w:rsidR="00D235B3" w:rsidRPr="00D235B3" w:rsidRDefault="00D235B3" w:rsidP="00B33FF8">
            <w:pPr>
              <w:spacing w:after="0"/>
              <w:rPr>
                <w:rFonts w:cstheme="minorHAnsi"/>
              </w:rPr>
            </w:pPr>
          </w:p>
        </w:tc>
        <w:tc>
          <w:tcPr>
            <w:tcW w:w="61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hideMark/>
          </w:tcPr>
          <w:p w14:paraId="40447222" w14:textId="77777777" w:rsidR="00D235B3" w:rsidRPr="00D235B3" w:rsidRDefault="00D235B3" w:rsidP="00B33FF8">
            <w:pPr>
              <w:spacing w:after="0"/>
              <w:rPr>
                <w:rFonts w:cstheme="minorHAnsi"/>
              </w:rPr>
            </w:pP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hideMark/>
          </w:tcPr>
          <w:p w14:paraId="1CDB615D" w14:textId="77777777" w:rsidR="00D235B3" w:rsidRPr="00D235B3" w:rsidRDefault="00D235B3" w:rsidP="00B33FF8">
            <w:pPr>
              <w:spacing w:after="0"/>
              <w:rPr>
                <w:rFonts w:cstheme="minorHAnsi"/>
              </w:rPr>
            </w:pPr>
          </w:p>
        </w:tc>
        <w:tc>
          <w:tcPr>
            <w:tcW w:w="6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hideMark/>
          </w:tcPr>
          <w:p w14:paraId="2732EC8D" w14:textId="77777777" w:rsidR="00D235B3" w:rsidRPr="00D235B3" w:rsidRDefault="00D235B3" w:rsidP="00B33FF8">
            <w:pPr>
              <w:spacing w:after="0"/>
              <w:rPr>
                <w:rFonts w:cstheme="minorHAnsi"/>
              </w:rPr>
            </w:pPr>
          </w:p>
        </w:tc>
        <w:tc>
          <w:tcPr>
            <w:tcW w:w="62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hideMark/>
          </w:tcPr>
          <w:p w14:paraId="67A9A6CD" w14:textId="77777777" w:rsidR="00D235B3" w:rsidRPr="00D235B3" w:rsidRDefault="00D235B3" w:rsidP="00B33FF8">
            <w:pPr>
              <w:spacing w:after="0"/>
              <w:rPr>
                <w:rFonts w:cstheme="minorHAnsi"/>
              </w:rPr>
            </w:pP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hideMark/>
          </w:tcPr>
          <w:p w14:paraId="7270EE8C"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c>
          <w:tcPr>
            <w:tcW w:w="52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hideMark/>
          </w:tcPr>
          <w:p w14:paraId="717C5629" w14:textId="77777777" w:rsidR="00D235B3" w:rsidRPr="00D235B3" w:rsidRDefault="00D235B3" w:rsidP="00B33FF8">
            <w:pPr>
              <w:spacing w:after="0"/>
              <w:rPr>
                <w:rFonts w:cstheme="minorHAnsi"/>
              </w:rPr>
            </w:pPr>
            <w:r w:rsidRPr="00D235B3">
              <w:rPr>
                <w:rFonts w:ascii="Segoe UI Symbol" w:eastAsiaTheme="minorEastAsia" w:hAnsi="Segoe UI Symbol" w:cs="Segoe UI Symbol"/>
                <w:kern w:val="24"/>
              </w:rPr>
              <w:t>✓</w:t>
            </w:r>
          </w:p>
        </w:tc>
      </w:tr>
      <w:tr w:rsidR="00607175" w:rsidRPr="00D235B3" w14:paraId="0F9F1561" w14:textId="77777777" w:rsidTr="00607175">
        <w:trPr>
          <w:jc w:val="center"/>
        </w:trPr>
        <w:tc>
          <w:tcPr>
            <w:tcW w:w="572"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vAlign w:val="center"/>
          </w:tcPr>
          <w:p w14:paraId="5633A3C3" w14:textId="2634ABFA" w:rsidR="00607175" w:rsidRPr="00D235B3" w:rsidRDefault="00607175" w:rsidP="00607175">
            <w:pPr>
              <w:spacing w:after="0"/>
              <w:rPr>
                <w:rFonts w:ascii="Calibri" w:hAnsi="Calibri" w:cs="Calibri"/>
                <w:kern w:val="24"/>
              </w:rPr>
            </w:pPr>
            <w:r>
              <w:rPr>
                <w:rFonts w:ascii="Calibri" w:hAnsi="Calibri" w:cs="Calibri"/>
                <w:kern w:val="24"/>
              </w:rPr>
              <w:t>b.1</w:t>
            </w:r>
          </w:p>
        </w:tc>
        <w:tc>
          <w:tcPr>
            <w:tcW w:w="59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161E57FE" w14:textId="29D23835"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p>
        </w:tc>
        <w:tc>
          <w:tcPr>
            <w:tcW w:w="62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2522712F" w14:textId="410AC4D5"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355CDD9C" w14:textId="4DF4E4F0"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r>
              <w:rPr>
                <w:rFonts w:ascii="Segoe UI Symbol" w:eastAsiaTheme="minorEastAsia" w:hAnsi="Segoe UI Symbol" w:cs="Segoe UI Symbol"/>
                <w:kern w:val="24"/>
              </w:rPr>
              <w:t>+</w:t>
            </w:r>
          </w:p>
        </w:tc>
        <w:tc>
          <w:tcPr>
            <w:tcW w:w="60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46AE72BA" w14:textId="00CC6DFA"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p>
        </w:tc>
        <w:tc>
          <w:tcPr>
            <w:tcW w:w="61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2D74273B" w14:textId="4E572E7B"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5C11DE38" w14:textId="5BA3CA19"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r>
              <w:rPr>
                <w:rFonts w:ascii="Segoe UI Symbol" w:eastAsiaTheme="minorEastAsia" w:hAnsi="Segoe UI Symbol" w:cs="Segoe UI Symbol"/>
                <w:kern w:val="24"/>
              </w:rPr>
              <w:t>+</w:t>
            </w:r>
          </w:p>
        </w:tc>
        <w:tc>
          <w:tcPr>
            <w:tcW w:w="6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3486F7BD" w14:textId="4A99C6D5" w:rsidR="00607175" w:rsidRPr="00D235B3" w:rsidRDefault="00607175" w:rsidP="00607175">
            <w:pPr>
              <w:spacing w:after="0"/>
              <w:rPr>
                <w:rFonts w:cstheme="minorHAnsi"/>
              </w:rPr>
            </w:pPr>
            <w:r w:rsidRPr="007274CE">
              <w:rPr>
                <w:rFonts w:ascii="Segoe UI Symbol" w:eastAsiaTheme="minorEastAsia" w:hAnsi="Segoe UI Symbol" w:cs="Segoe UI Symbol"/>
                <w:kern w:val="24"/>
              </w:rPr>
              <w:t>✓</w:t>
            </w:r>
          </w:p>
        </w:tc>
        <w:tc>
          <w:tcPr>
            <w:tcW w:w="62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38DAEEFE" w14:textId="086DAAAE" w:rsidR="00607175" w:rsidRPr="00D235B3" w:rsidRDefault="00607175" w:rsidP="00607175">
            <w:pPr>
              <w:spacing w:after="0"/>
              <w:rPr>
                <w:rFonts w:cstheme="minorHAnsi"/>
              </w:rPr>
            </w:pPr>
            <w:r w:rsidRPr="007274CE">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420F5E3D" w14:textId="72398BC2" w:rsidR="00607175" w:rsidRPr="00D235B3" w:rsidRDefault="00607175" w:rsidP="00607175">
            <w:pPr>
              <w:spacing w:after="0"/>
              <w:rPr>
                <w:rFonts w:ascii="Segoe UI Symbol" w:eastAsiaTheme="minorEastAsia" w:hAnsi="Segoe UI Symbol" w:cs="Segoe UI Symbol"/>
                <w:kern w:val="24"/>
              </w:rPr>
            </w:pPr>
            <w:r w:rsidRPr="007274CE">
              <w:rPr>
                <w:rFonts w:ascii="Segoe UI Symbol" w:eastAsiaTheme="minorEastAsia" w:hAnsi="Segoe UI Symbol" w:cs="Segoe UI Symbol"/>
                <w:kern w:val="24"/>
              </w:rPr>
              <w:t>✓</w:t>
            </w:r>
          </w:p>
        </w:tc>
        <w:tc>
          <w:tcPr>
            <w:tcW w:w="52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629F2D70" w14:textId="24B3744F" w:rsidR="00607175" w:rsidRPr="00D235B3" w:rsidRDefault="00607175" w:rsidP="00607175">
            <w:pPr>
              <w:spacing w:after="0"/>
              <w:rPr>
                <w:rFonts w:ascii="Segoe UI Symbol" w:eastAsiaTheme="minorEastAsia" w:hAnsi="Segoe UI Symbol" w:cs="Segoe UI Symbol"/>
                <w:kern w:val="24"/>
              </w:rPr>
            </w:pPr>
            <w:r w:rsidRPr="007274CE">
              <w:rPr>
                <w:rFonts w:ascii="Segoe UI Symbol" w:eastAsiaTheme="minorEastAsia" w:hAnsi="Segoe UI Symbol" w:cs="Segoe UI Symbol"/>
                <w:kern w:val="24"/>
              </w:rPr>
              <w:t>✓</w:t>
            </w:r>
          </w:p>
        </w:tc>
      </w:tr>
      <w:tr w:rsidR="00607175" w:rsidRPr="00D235B3" w14:paraId="674D8CC6" w14:textId="77777777" w:rsidTr="002D0D6A">
        <w:trPr>
          <w:jc w:val="center"/>
        </w:trPr>
        <w:tc>
          <w:tcPr>
            <w:tcW w:w="572"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vAlign w:val="center"/>
          </w:tcPr>
          <w:p w14:paraId="6503EF18" w14:textId="5893894C" w:rsidR="00607175" w:rsidRPr="00D235B3" w:rsidRDefault="00607175" w:rsidP="00607175">
            <w:pPr>
              <w:spacing w:after="0"/>
              <w:rPr>
                <w:rFonts w:ascii="Calibri" w:hAnsi="Calibri" w:cs="Calibri"/>
                <w:kern w:val="24"/>
              </w:rPr>
            </w:pPr>
            <w:r>
              <w:rPr>
                <w:rFonts w:ascii="Calibri" w:hAnsi="Calibri" w:cs="Calibri"/>
                <w:kern w:val="24"/>
              </w:rPr>
              <w:t>b.2</w:t>
            </w:r>
          </w:p>
        </w:tc>
        <w:tc>
          <w:tcPr>
            <w:tcW w:w="59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62F86926" w14:textId="00C30BB8"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p>
        </w:tc>
        <w:tc>
          <w:tcPr>
            <w:tcW w:w="62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6EE6B330" w14:textId="552DF745"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23753738" w14:textId="46FFBA88"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r>
              <w:rPr>
                <w:rFonts w:ascii="Segoe UI Symbol" w:eastAsiaTheme="minorEastAsia" w:hAnsi="Segoe UI Symbol" w:cs="Segoe UI Symbol"/>
                <w:kern w:val="24"/>
              </w:rPr>
              <w:t>+</w:t>
            </w:r>
          </w:p>
        </w:tc>
        <w:tc>
          <w:tcPr>
            <w:tcW w:w="60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62D41FB5" w14:textId="3DA3C206"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p>
        </w:tc>
        <w:tc>
          <w:tcPr>
            <w:tcW w:w="61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7ED13DB7" w14:textId="019F02DF"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3C3982F4" w14:textId="358D00FE" w:rsidR="00607175" w:rsidRPr="00D235B3" w:rsidRDefault="00607175" w:rsidP="00607175">
            <w:pPr>
              <w:spacing w:after="0"/>
              <w:rPr>
                <w:rFonts w:cstheme="minorHAnsi"/>
              </w:rPr>
            </w:pPr>
            <w:r w:rsidRPr="0053104D">
              <w:rPr>
                <w:rFonts w:ascii="Segoe UI Symbol" w:eastAsiaTheme="minorEastAsia" w:hAnsi="Segoe UI Symbol" w:cs="Segoe UI Symbol"/>
                <w:kern w:val="24"/>
              </w:rPr>
              <w:t>✓</w:t>
            </w:r>
            <w:r>
              <w:rPr>
                <w:rFonts w:ascii="Segoe UI Symbol" w:eastAsiaTheme="minorEastAsia" w:hAnsi="Segoe UI Symbol" w:cs="Segoe UI Symbol"/>
                <w:kern w:val="24"/>
              </w:rPr>
              <w:t>+</w:t>
            </w:r>
          </w:p>
        </w:tc>
        <w:tc>
          <w:tcPr>
            <w:tcW w:w="6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05618CA8" w14:textId="20E280D8" w:rsidR="00607175" w:rsidRPr="00D235B3" w:rsidRDefault="00607175" w:rsidP="00607175">
            <w:pPr>
              <w:spacing w:after="0"/>
              <w:rPr>
                <w:rFonts w:cstheme="minorHAnsi"/>
              </w:rPr>
            </w:pPr>
            <w:r w:rsidRPr="0053104D">
              <w:rPr>
                <w:rFonts w:ascii="Segoe UI Symbol" w:eastAsiaTheme="minorEastAsia" w:hAnsi="Segoe UI Symbol" w:cs="Segoe UI Symbol"/>
                <w:kern w:val="24"/>
              </w:rPr>
              <w:t>✓</w:t>
            </w:r>
          </w:p>
        </w:tc>
        <w:tc>
          <w:tcPr>
            <w:tcW w:w="62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0A5DBD7C" w14:textId="2C7590E6" w:rsidR="00607175" w:rsidRPr="00D235B3" w:rsidRDefault="00607175" w:rsidP="00607175">
            <w:pPr>
              <w:spacing w:after="0"/>
              <w:rPr>
                <w:rFonts w:cstheme="minorHAnsi"/>
              </w:rPr>
            </w:pPr>
            <w:r w:rsidRPr="0053104D">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493AF738" w14:textId="2D214D51" w:rsidR="00607175" w:rsidRPr="00D235B3" w:rsidRDefault="00607175" w:rsidP="00607175">
            <w:pPr>
              <w:spacing w:after="0"/>
              <w:rPr>
                <w:rFonts w:ascii="Segoe UI Symbol" w:eastAsiaTheme="minorEastAsia" w:hAnsi="Segoe UI Symbol" w:cs="Segoe UI Symbol"/>
                <w:kern w:val="24"/>
              </w:rPr>
            </w:pPr>
            <w:r w:rsidRPr="0053104D">
              <w:rPr>
                <w:rFonts w:ascii="Segoe UI Symbol" w:eastAsiaTheme="minorEastAsia" w:hAnsi="Segoe UI Symbol" w:cs="Segoe UI Symbol"/>
                <w:kern w:val="24"/>
              </w:rPr>
              <w:t>✓</w:t>
            </w:r>
            <w:r>
              <w:rPr>
                <w:rFonts w:ascii="Segoe UI Symbol" w:eastAsiaTheme="minorEastAsia" w:hAnsi="Segoe UI Symbol" w:cs="Segoe UI Symbol"/>
                <w:kern w:val="24"/>
              </w:rPr>
              <w:t>+</w:t>
            </w:r>
          </w:p>
        </w:tc>
        <w:tc>
          <w:tcPr>
            <w:tcW w:w="52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762AE985" w14:textId="2098036A" w:rsidR="00607175" w:rsidRPr="00D235B3" w:rsidRDefault="00607175" w:rsidP="00607175">
            <w:pPr>
              <w:spacing w:after="0"/>
              <w:rPr>
                <w:rFonts w:ascii="Segoe UI Symbol" w:eastAsiaTheme="minorEastAsia" w:hAnsi="Segoe UI Symbol" w:cs="Segoe UI Symbol"/>
                <w:kern w:val="24"/>
              </w:rPr>
            </w:pPr>
            <w:r w:rsidRPr="0053104D">
              <w:rPr>
                <w:rFonts w:ascii="Segoe UI Symbol" w:eastAsiaTheme="minorEastAsia" w:hAnsi="Segoe UI Symbol" w:cs="Segoe UI Symbol"/>
                <w:kern w:val="24"/>
              </w:rPr>
              <w:t>✓</w:t>
            </w:r>
          </w:p>
        </w:tc>
      </w:tr>
      <w:tr w:rsidR="00607175" w:rsidRPr="00D235B3" w14:paraId="24CC1EFE" w14:textId="77777777" w:rsidTr="00394486">
        <w:trPr>
          <w:jc w:val="center"/>
        </w:trPr>
        <w:tc>
          <w:tcPr>
            <w:tcW w:w="572" w:type="dxa"/>
            <w:tcBorders>
              <w:top w:val="single" w:sz="8" w:space="0" w:color="FFFFFF"/>
              <w:left w:val="single" w:sz="8" w:space="0" w:color="FFFFFF"/>
              <w:bottom w:val="single" w:sz="8" w:space="0" w:color="FFFFFF"/>
              <w:right w:val="single" w:sz="8" w:space="0" w:color="FFFFFF"/>
            </w:tcBorders>
            <w:shd w:val="clear" w:color="auto" w:fill="BDDADF"/>
            <w:tcMar>
              <w:top w:w="72" w:type="dxa"/>
              <w:left w:w="144" w:type="dxa"/>
              <w:bottom w:w="72" w:type="dxa"/>
              <w:right w:w="144" w:type="dxa"/>
            </w:tcMar>
            <w:vAlign w:val="center"/>
          </w:tcPr>
          <w:p w14:paraId="251E72B4" w14:textId="7756E5E2" w:rsidR="00607175" w:rsidRPr="00D235B3" w:rsidRDefault="00607175" w:rsidP="00607175">
            <w:pPr>
              <w:spacing w:after="0"/>
              <w:rPr>
                <w:rFonts w:ascii="Calibri" w:hAnsi="Calibri" w:cs="Calibri"/>
                <w:kern w:val="24"/>
              </w:rPr>
            </w:pPr>
            <w:r>
              <w:rPr>
                <w:rFonts w:ascii="Calibri" w:hAnsi="Calibri" w:cs="Calibri"/>
                <w:kern w:val="24"/>
              </w:rPr>
              <w:t>b.3</w:t>
            </w:r>
          </w:p>
        </w:tc>
        <w:tc>
          <w:tcPr>
            <w:tcW w:w="59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1C233703" w14:textId="55A549BD"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p>
        </w:tc>
        <w:tc>
          <w:tcPr>
            <w:tcW w:w="62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0E023CD8" w14:textId="5F73EE60" w:rsidR="00607175" w:rsidRPr="00D235B3" w:rsidRDefault="00607175" w:rsidP="00607175">
            <w:pPr>
              <w:spacing w:after="0"/>
              <w:rPr>
                <w:rFonts w:cstheme="minorHAnsi"/>
              </w:rPr>
            </w:pPr>
            <w:r w:rsidRPr="00D235B3">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06E4DA47" w14:textId="77777777" w:rsidR="00607175" w:rsidRPr="00D235B3" w:rsidRDefault="00607175" w:rsidP="00607175">
            <w:pPr>
              <w:spacing w:after="0"/>
              <w:rPr>
                <w:rFonts w:cstheme="minorHAnsi"/>
              </w:rPr>
            </w:pPr>
          </w:p>
        </w:tc>
        <w:tc>
          <w:tcPr>
            <w:tcW w:w="60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149684ED" w14:textId="77777777" w:rsidR="00607175" w:rsidRPr="00D235B3" w:rsidRDefault="00607175" w:rsidP="00607175">
            <w:pPr>
              <w:spacing w:after="0"/>
              <w:rPr>
                <w:rFonts w:cstheme="minorHAnsi"/>
              </w:rPr>
            </w:pPr>
          </w:p>
        </w:tc>
        <w:tc>
          <w:tcPr>
            <w:tcW w:w="61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vAlign w:val="bottom"/>
          </w:tcPr>
          <w:p w14:paraId="6D76353D" w14:textId="77777777" w:rsidR="00607175" w:rsidRPr="00D235B3" w:rsidRDefault="00607175" w:rsidP="00607175">
            <w:pPr>
              <w:spacing w:after="0"/>
              <w:rPr>
                <w:rFonts w:cstheme="minorHAnsi"/>
              </w:rPr>
            </w:pP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6AE54764" w14:textId="7D6BD6ED" w:rsidR="00607175" w:rsidRPr="00D235B3" w:rsidRDefault="00607175" w:rsidP="00607175">
            <w:pPr>
              <w:spacing w:after="0"/>
              <w:rPr>
                <w:rFonts w:cstheme="minorHAnsi"/>
              </w:rPr>
            </w:pPr>
            <w:r w:rsidRPr="00467979">
              <w:rPr>
                <w:rFonts w:ascii="Segoe UI Symbol" w:eastAsiaTheme="minorEastAsia" w:hAnsi="Segoe UI Symbol" w:cs="Segoe UI Symbol"/>
                <w:kern w:val="24"/>
              </w:rPr>
              <w:t>✓</w:t>
            </w:r>
            <w:r>
              <w:rPr>
                <w:rFonts w:ascii="Segoe UI Symbol" w:eastAsiaTheme="minorEastAsia" w:hAnsi="Segoe UI Symbol" w:cs="Segoe UI Symbol"/>
                <w:kern w:val="24"/>
              </w:rPr>
              <w:t>+</w:t>
            </w:r>
          </w:p>
        </w:tc>
        <w:tc>
          <w:tcPr>
            <w:tcW w:w="613"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78F0A642" w14:textId="19FDFCA4" w:rsidR="00607175" w:rsidRPr="00D235B3" w:rsidRDefault="00607175" w:rsidP="00607175">
            <w:pPr>
              <w:spacing w:after="0"/>
              <w:rPr>
                <w:rFonts w:cstheme="minorHAnsi"/>
              </w:rPr>
            </w:pPr>
            <w:r w:rsidRPr="00467979">
              <w:rPr>
                <w:rFonts w:ascii="Segoe UI Symbol" w:eastAsiaTheme="minorEastAsia" w:hAnsi="Segoe UI Symbol" w:cs="Segoe UI Symbol"/>
                <w:kern w:val="24"/>
              </w:rPr>
              <w:t>✓</w:t>
            </w:r>
          </w:p>
        </w:tc>
        <w:tc>
          <w:tcPr>
            <w:tcW w:w="626"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43273793" w14:textId="3FD1E87C" w:rsidR="00607175" w:rsidRPr="00D235B3" w:rsidRDefault="00607175" w:rsidP="00607175">
            <w:pPr>
              <w:spacing w:after="0"/>
              <w:rPr>
                <w:rFonts w:cstheme="minorHAnsi"/>
              </w:rPr>
            </w:pPr>
            <w:r w:rsidRPr="00467979">
              <w:rPr>
                <w:rFonts w:ascii="Segoe UI Symbol" w:eastAsiaTheme="minorEastAsia" w:hAnsi="Segoe UI Symbol" w:cs="Segoe UI Symbol"/>
                <w:kern w:val="24"/>
              </w:rPr>
              <w:t>✓</w:t>
            </w:r>
          </w:p>
        </w:tc>
        <w:tc>
          <w:tcPr>
            <w:tcW w:w="621"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528BD725" w14:textId="719FE2C8" w:rsidR="00607175" w:rsidRPr="00D235B3" w:rsidRDefault="00607175" w:rsidP="00607175">
            <w:pPr>
              <w:spacing w:after="0"/>
              <w:rPr>
                <w:rFonts w:ascii="Segoe UI Symbol" w:eastAsiaTheme="minorEastAsia" w:hAnsi="Segoe UI Symbol" w:cs="Segoe UI Symbol"/>
                <w:kern w:val="24"/>
              </w:rPr>
            </w:pPr>
            <w:r w:rsidRPr="00467979">
              <w:rPr>
                <w:rFonts w:ascii="Segoe UI Symbol" w:eastAsiaTheme="minorEastAsia" w:hAnsi="Segoe UI Symbol" w:cs="Segoe UI Symbol"/>
                <w:kern w:val="24"/>
              </w:rPr>
              <w:t>✓</w:t>
            </w:r>
            <w:r>
              <w:rPr>
                <w:rFonts w:ascii="Segoe UI Symbol" w:eastAsiaTheme="minorEastAsia" w:hAnsi="Segoe UI Symbol" w:cs="Segoe UI Symbol"/>
                <w:kern w:val="24"/>
              </w:rPr>
              <w:t>+</w:t>
            </w:r>
          </w:p>
        </w:tc>
        <w:tc>
          <w:tcPr>
            <w:tcW w:w="528" w:type="dxa"/>
            <w:tcBorders>
              <w:top w:val="single" w:sz="8" w:space="0" w:color="FFFFFF"/>
              <w:left w:val="single" w:sz="8" w:space="0" w:color="FFFFFF"/>
              <w:bottom w:val="single" w:sz="8" w:space="0" w:color="FFFFFF"/>
              <w:right w:val="single" w:sz="8" w:space="0" w:color="FFFFFF"/>
            </w:tcBorders>
            <w:shd w:val="clear" w:color="auto" w:fill="CDD1DD"/>
            <w:tcMar>
              <w:top w:w="72" w:type="dxa"/>
              <w:left w:w="144" w:type="dxa"/>
              <w:bottom w:w="72" w:type="dxa"/>
              <w:right w:w="144" w:type="dxa"/>
            </w:tcMar>
          </w:tcPr>
          <w:p w14:paraId="59C990FD" w14:textId="4A80E598" w:rsidR="00607175" w:rsidRPr="00D235B3" w:rsidRDefault="00607175" w:rsidP="00607175">
            <w:pPr>
              <w:spacing w:after="0"/>
              <w:rPr>
                <w:rFonts w:ascii="Segoe UI Symbol" w:eastAsiaTheme="minorEastAsia" w:hAnsi="Segoe UI Symbol" w:cs="Segoe UI Symbol"/>
                <w:kern w:val="24"/>
              </w:rPr>
            </w:pPr>
            <w:r w:rsidRPr="00467979">
              <w:rPr>
                <w:rFonts w:ascii="Segoe UI Symbol" w:eastAsiaTheme="minorEastAsia" w:hAnsi="Segoe UI Symbol" w:cs="Segoe UI Symbol"/>
                <w:kern w:val="24"/>
              </w:rPr>
              <w:t>✓</w:t>
            </w:r>
          </w:p>
        </w:tc>
      </w:tr>
    </w:tbl>
    <w:p w14:paraId="59750B29" w14:textId="77777777" w:rsidR="00D235B3" w:rsidRDefault="00D235B3" w:rsidP="0031711B">
      <w:pPr>
        <w:spacing w:after="0"/>
        <w:rPr>
          <w:rFonts w:ascii="Georgia" w:hAnsi="Georgia"/>
          <w:color w:val="0C7580"/>
          <w:sz w:val="28"/>
          <w:szCs w:val="28"/>
        </w:rPr>
      </w:pPr>
    </w:p>
    <w:p w14:paraId="17412EA1" w14:textId="5F0A928E" w:rsidR="0031711B" w:rsidRDefault="00251FDA" w:rsidP="0031711B">
      <w:pPr>
        <w:spacing w:after="0"/>
        <w:rPr>
          <w:rFonts w:ascii="Georgia" w:hAnsi="Georgia"/>
          <w:color w:val="0C7580"/>
          <w:sz w:val="28"/>
          <w:szCs w:val="28"/>
        </w:rPr>
      </w:pPr>
      <w:r>
        <w:rPr>
          <w:rFonts w:ascii="Georgia" w:hAnsi="Georgia"/>
          <w:color w:val="0C7580"/>
          <w:sz w:val="28"/>
          <w:szCs w:val="28"/>
        </w:rPr>
        <w:t>Addressing the Standards</w:t>
      </w:r>
    </w:p>
    <w:p w14:paraId="742E647F" w14:textId="6A0BDB77" w:rsidR="0003365C" w:rsidRDefault="004E612C" w:rsidP="00E05EFB">
      <w:pPr>
        <w:spacing w:after="0"/>
        <w:rPr>
          <w:rFonts w:cstheme="minorHAnsi"/>
        </w:rPr>
      </w:pPr>
      <w:r>
        <w:rPr>
          <w:rFonts w:cstheme="minorHAnsi"/>
        </w:rPr>
        <w:t xml:space="preserve">Recommendations </w:t>
      </w:r>
      <w:bookmarkStart w:id="1" w:name="_Hlk95913413"/>
      <w:r w:rsidR="002A7CD1">
        <w:rPr>
          <w:rFonts w:cstheme="minorHAnsi"/>
        </w:rPr>
        <w:t xml:space="preserve">to effectively address </w:t>
      </w:r>
      <w:r w:rsidR="008164A8">
        <w:rPr>
          <w:rFonts w:cstheme="minorHAnsi"/>
        </w:rPr>
        <w:t>the C</w:t>
      </w:r>
      <w:r w:rsidR="00370962">
        <w:rPr>
          <w:rFonts w:cstheme="minorHAnsi"/>
        </w:rPr>
        <w:t>omparisons</w:t>
      </w:r>
      <w:r w:rsidR="00411B55">
        <w:rPr>
          <w:rFonts w:cstheme="minorHAnsi"/>
        </w:rPr>
        <w:t xml:space="preserve"> </w:t>
      </w:r>
      <w:r w:rsidR="002A7CD1">
        <w:rPr>
          <w:rFonts w:cstheme="minorHAnsi"/>
        </w:rPr>
        <w:t xml:space="preserve">Standards </w:t>
      </w:r>
      <w:bookmarkEnd w:id="1"/>
      <w:r w:rsidR="00500976">
        <w:rPr>
          <w:rFonts w:cstheme="minorHAnsi"/>
        </w:rPr>
        <w:t xml:space="preserve">include </w:t>
      </w:r>
      <w:r w:rsidR="008164A8">
        <w:rPr>
          <w:rFonts w:cstheme="minorHAnsi"/>
        </w:rPr>
        <w:t>embedding C</w:t>
      </w:r>
      <w:r w:rsidR="00370962">
        <w:rPr>
          <w:rFonts w:cstheme="minorHAnsi"/>
        </w:rPr>
        <w:t>omparisons</w:t>
      </w:r>
      <w:r w:rsidR="008164A8">
        <w:rPr>
          <w:rFonts w:cstheme="minorHAnsi"/>
        </w:rPr>
        <w:t xml:space="preserve"> into </w:t>
      </w:r>
      <w:r w:rsidR="00500976">
        <w:rPr>
          <w:rFonts w:cstheme="minorHAnsi"/>
        </w:rPr>
        <w:t>unit goals/objectives</w:t>
      </w:r>
      <w:r w:rsidR="008164A8">
        <w:rPr>
          <w:rFonts w:cstheme="minorHAnsi"/>
        </w:rPr>
        <w:t>, summative assessment tasks, and learning activities and experiences</w:t>
      </w:r>
      <w:r w:rsidR="008C32E4">
        <w:rPr>
          <w:rFonts w:cstheme="minorHAnsi"/>
        </w:rPr>
        <w:t>, rather than teaching about Comparisons in isolation</w:t>
      </w:r>
      <w:r w:rsidR="008164A8">
        <w:rPr>
          <w:rFonts w:cstheme="minorHAnsi"/>
        </w:rPr>
        <w:t xml:space="preserve">. </w:t>
      </w:r>
      <w:r w:rsidR="003B166E">
        <w:rPr>
          <w:rFonts w:cstheme="minorHAnsi"/>
        </w:rPr>
        <w:t>When designing assessments and learning experiences</w:t>
      </w:r>
      <w:r w:rsidR="00370962">
        <w:rPr>
          <w:rFonts w:cstheme="minorHAnsi"/>
        </w:rPr>
        <w:t xml:space="preserve"> across the communicative modes</w:t>
      </w:r>
      <w:r w:rsidR="003B166E">
        <w:rPr>
          <w:rFonts w:cstheme="minorHAnsi"/>
        </w:rPr>
        <w:t>, educators should</w:t>
      </w:r>
      <w:r w:rsidR="006D772F">
        <w:rPr>
          <w:rFonts w:cstheme="minorHAnsi"/>
        </w:rPr>
        <w:t xml:space="preserve"> </w:t>
      </w:r>
      <w:r w:rsidR="00370962">
        <w:rPr>
          <w:rFonts w:cstheme="minorHAnsi"/>
        </w:rPr>
        <w:t>model an assets-based approach to making comparisons</w:t>
      </w:r>
      <w:r w:rsidR="0003365C">
        <w:rPr>
          <w:rFonts w:cstheme="minorHAnsi"/>
        </w:rPr>
        <w:t>,</w:t>
      </w:r>
      <w:r w:rsidR="00607175">
        <w:rPr>
          <w:rFonts w:cstheme="minorHAnsi"/>
        </w:rPr>
        <w:t xml:space="preserve"> </w:t>
      </w:r>
      <w:r w:rsidR="0003365C">
        <w:rPr>
          <w:rFonts w:cstheme="minorHAnsi"/>
        </w:rPr>
        <w:t>encourage students to independently discover linguistic and cultural similarities and differences through project-based or experiential learning</w:t>
      </w:r>
      <w:r w:rsidR="0024454C">
        <w:rPr>
          <w:rFonts w:cstheme="minorHAnsi"/>
        </w:rPr>
        <w:t>, and expose students to different varieties of the target language and different target-language cultures, as well as languages and cultures that students have a connection to beyond English and the target language</w:t>
      </w:r>
      <w:r w:rsidR="00607175">
        <w:rPr>
          <w:rFonts w:cstheme="minorHAnsi"/>
        </w:rPr>
        <w:t>.</w:t>
      </w:r>
      <w:r w:rsidR="006D772F">
        <w:rPr>
          <w:rFonts w:cstheme="minorHAnsi"/>
        </w:rPr>
        <w:t xml:space="preserve"> </w:t>
      </w:r>
      <w:r w:rsidR="003B166E">
        <w:rPr>
          <w:rFonts w:cstheme="minorHAnsi"/>
        </w:rPr>
        <w:t xml:space="preserve">To align with Massachusetts’ vision </w:t>
      </w:r>
      <w:r w:rsidR="003B166E">
        <w:rPr>
          <w:rFonts w:cstheme="minorHAnsi"/>
        </w:rPr>
        <w:lastRenderedPageBreak/>
        <w:t xml:space="preserve">for Deeper Learning, educators should provide students with opportunities to engage with </w:t>
      </w:r>
      <w:r w:rsidR="0003365C">
        <w:rPr>
          <w:rFonts w:cstheme="minorHAnsi"/>
        </w:rPr>
        <w:t xml:space="preserve">language and </w:t>
      </w:r>
      <w:r w:rsidR="0058119D">
        <w:rPr>
          <w:rFonts w:cstheme="minorHAnsi"/>
        </w:rPr>
        <w:t>cultural products, practices, and perspectives</w:t>
      </w:r>
      <w:r w:rsidR="003B166E">
        <w:rPr>
          <w:rFonts w:cstheme="minorHAnsi"/>
        </w:rPr>
        <w:t xml:space="preserve"> in a way that demonstrates </w:t>
      </w:r>
      <w:r w:rsidR="00425383">
        <w:rPr>
          <w:rFonts w:cstheme="minorHAnsi"/>
        </w:rPr>
        <w:t>M</w:t>
      </w:r>
      <w:r w:rsidR="003B166E">
        <w:rPr>
          <w:rFonts w:cstheme="minorHAnsi"/>
        </w:rPr>
        <w:t xml:space="preserve">astery, </w:t>
      </w:r>
      <w:r w:rsidR="00425383">
        <w:rPr>
          <w:rFonts w:cstheme="minorHAnsi"/>
        </w:rPr>
        <w:t>I</w:t>
      </w:r>
      <w:r w:rsidR="003B166E">
        <w:rPr>
          <w:rFonts w:cstheme="minorHAnsi"/>
        </w:rPr>
        <w:t xml:space="preserve">dentity, and </w:t>
      </w:r>
      <w:r w:rsidR="00425383">
        <w:rPr>
          <w:rFonts w:cstheme="minorHAnsi"/>
        </w:rPr>
        <w:t>C</w:t>
      </w:r>
      <w:r w:rsidR="003B166E">
        <w:rPr>
          <w:rFonts w:cstheme="minorHAnsi"/>
        </w:rPr>
        <w:t>reativity.</w:t>
      </w:r>
    </w:p>
    <w:p w14:paraId="27F43A5B" w14:textId="77777777" w:rsidR="00D235B3" w:rsidRDefault="00D235B3" w:rsidP="008E646C">
      <w:pPr>
        <w:spacing w:after="0"/>
        <w:rPr>
          <w:rFonts w:ascii="Georgia" w:hAnsi="Georgia"/>
          <w:color w:val="0C7580"/>
          <w:sz w:val="28"/>
          <w:szCs w:val="28"/>
        </w:rPr>
      </w:pPr>
    </w:p>
    <w:p w14:paraId="63D2C03E" w14:textId="190680FD" w:rsidR="00EE67BE" w:rsidRDefault="00EE67BE" w:rsidP="00843774">
      <w:pPr>
        <w:spacing w:after="0"/>
        <w:rPr>
          <w:rFonts w:ascii="Georgia" w:hAnsi="Georgia"/>
          <w:color w:val="0C7580"/>
          <w:sz w:val="28"/>
          <w:szCs w:val="28"/>
        </w:rPr>
      </w:pPr>
      <w:r>
        <w:rPr>
          <w:rFonts w:ascii="Georgia" w:hAnsi="Georgia"/>
          <w:color w:val="0C7580"/>
          <w:sz w:val="28"/>
          <w:szCs w:val="28"/>
        </w:rPr>
        <w:t>Two Lenses: Proficiency and Equity</w:t>
      </w:r>
    </w:p>
    <w:p w14:paraId="0C032DA6" w14:textId="167D1FFD" w:rsidR="00425383" w:rsidRPr="00CD407D" w:rsidRDefault="00425383" w:rsidP="00425383">
      <w:pPr>
        <w:spacing w:after="0"/>
      </w:pPr>
      <w:r>
        <w:t xml:space="preserve">Proficiency and equity serve as the foundation of the </w:t>
      </w:r>
      <w:r w:rsidR="006D772F">
        <w:t>C</w:t>
      </w:r>
      <w:r w:rsidR="0003365C">
        <w:t>omparisons</w:t>
      </w:r>
      <w:r>
        <w:t xml:space="preserve"> Standards. The</w:t>
      </w:r>
      <w:r w:rsidR="00843774">
        <w:t xml:space="preserve"> </w:t>
      </w:r>
      <w:r w:rsidR="00FA462B">
        <w:t>S</w:t>
      </w:r>
      <w:r w:rsidR="00843774">
        <w:t>tandards</w:t>
      </w:r>
      <w:r>
        <w:t xml:space="preserve"> are organized by proficiency level according to the ACTFL Proficiency Guidelines, and they </w:t>
      </w:r>
      <w:r w:rsidR="006D772F">
        <w:t xml:space="preserve">are addressed by </w:t>
      </w:r>
      <w:r w:rsidR="0003365C" w:rsidRPr="0003365C">
        <w:t>investigat</w:t>
      </w:r>
      <w:r w:rsidR="0003365C">
        <w:t>ing</w:t>
      </w:r>
      <w:r w:rsidR="0003365C" w:rsidRPr="0003365C">
        <w:t>, explain</w:t>
      </w:r>
      <w:r w:rsidR="0003365C">
        <w:t>ing</w:t>
      </w:r>
      <w:r w:rsidR="0003365C" w:rsidRPr="0003365C">
        <w:t>, and reflect</w:t>
      </w:r>
      <w:r w:rsidR="0003365C">
        <w:t>ing</w:t>
      </w:r>
      <w:r w:rsidR="0003365C" w:rsidRPr="0003365C">
        <w:t xml:space="preserve"> on the nature of language and the concept of culture through comparisons of the language and cultures studied and </w:t>
      </w:r>
      <w:r w:rsidR="0003365C">
        <w:t>students</w:t>
      </w:r>
      <w:r w:rsidR="004B5FAE">
        <w:t>’</w:t>
      </w:r>
      <w:r w:rsidR="0003365C">
        <w:t xml:space="preserve"> own languages and cultures</w:t>
      </w:r>
      <w:r>
        <w:t xml:space="preserve">. </w:t>
      </w:r>
      <w:r w:rsidR="00C673B0">
        <w:t xml:space="preserve">Specifically, they are designed to support students to use the target language to interpret authentic cultural products as well as to engage in conversations and presentations based on their new or deepened knowledge and understanding. </w:t>
      </w:r>
      <w:r>
        <w:t xml:space="preserve">In terms of equity, the </w:t>
      </w:r>
      <w:r w:rsidR="006D772F">
        <w:t>C</w:t>
      </w:r>
      <w:r w:rsidR="0003365C">
        <w:t>omparisons</w:t>
      </w:r>
      <w:r>
        <w:t xml:space="preserve"> Standards</w:t>
      </w:r>
      <w:r w:rsidRPr="00CD407D">
        <w:t xml:space="preserve"> center </w:t>
      </w:r>
      <w:r>
        <w:t xml:space="preserve">and affirm students’ </w:t>
      </w:r>
      <w:r w:rsidR="0003365C">
        <w:t>linguistic and</w:t>
      </w:r>
      <w:r w:rsidR="009F5D72">
        <w:t xml:space="preserve"> cultural behaviors</w:t>
      </w:r>
      <w:r>
        <w:t xml:space="preserve">; </w:t>
      </w:r>
      <w:r w:rsidR="00695254">
        <w:t xml:space="preserve">encourage students to </w:t>
      </w:r>
      <w:r w:rsidR="0003365C">
        <w:t xml:space="preserve">recognize and embrace different </w:t>
      </w:r>
      <w:r w:rsidR="004B5FAE">
        <w:t>languages</w:t>
      </w:r>
      <w:r w:rsidR="0024454C">
        <w:t xml:space="preserve">, </w:t>
      </w:r>
      <w:r w:rsidR="004B5FAE">
        <w:t>language varieties</w:t>
      </w:r>
      <w:r w:rsidR="0003365C">
        <w:t xml:space="preserve"> and forms of cultural expression</w:t>
      </w:r>
      <w:r w:rsidR="00695254">
        <w:t xml:space="preserve"> that</w:t>
      </w:r>
      <w:r>
        <w:t xml:space="preserve"> carry significance for them; </w:t>
      </w:r>
      <w:r w:rsidR="0024454C">
        <w:t xml:space="preserve">support students in recognizing and correcting stereotypes, systems, and privileges that harm members of different cultures; </w:t>
      </w:r>
      <w:r>
        <w:t xml:space="preserve">and </w:t>
      </w:r>
      <w:r w:rsidR="00695254">
        <w:t>promote a deeper understanding of and respect for diverse peoples, cultures, and communities.</w:t>
      </w:r>
    </w:p>
    <w:p w14:paraId="3AD26FA7" w14:textId="77777777" w:rsidR="00EE67BE" w:rsidRPr="0023643E" w:rsidRDefault="00EE67BE" w:rsidP="00425383">
      <w:pPr>
        <w:spacing w:after="0"/>
        <w:jc w:val="center"/>
        <w:rPr>
          <w:rFonts w:cstheme="minorHAnsi"/>
        </w:rPr>
      </w:pPr>
    </w:p>
    <w:p w14:paraId="32087648" w14:textId="4FC53F1F" w:rsidR="00A961C3" w:rsidRPr="0031711B" w:rsidRDefault="0031711B" w:rsidP="00A961C3">
      <w:pPr>
        <w:spacing w:after="0"/>
        <w:jc w:val="center"/>
        <w:rPr>
          <w:rFonts w:ascii="Georgia" w:hAnsi="Georgia"/>
          <w:color w:val="0C7580"/>
          <w:sz w:val="28"/>
          <w:szCs w:val="28"/>
        </w:rPr>
      </w:pPr>
      <w:r>
        <w:rPr>
          <w:rFonts w:ascii="Georgia" w:hAnsi="Georgia"/>
          <w:color w:val="0C7580"/>
          <w:sz w:val="28"/>
          <w:szCs w:val="28"/>
        </w:rPr>
        <w:t>Additional Resources</w:t>
      </w:r>
    </w:p>
    <w:p w14:paraId="7E9C4F3C" w14:textId="22A5DA63" w:rsidR="0031711B" w:rsidRPr="00F1096E" w:rsidRDefault="0031711B" w:rsidP="0031711B">
      <w:pPr>
        <w:spacing w:after="0"/>
        <w:rPr>
          <w:rFonts w:cstheme="minorHAnsi"/>
          <w:sz w:val="20"/>
          <w:szCs w:val="20"/>
        </w:rPr>
      </w:pPr>
      <w:r w:rsidRPr="00B813C0">
        <w:rPr>
          <w:rFonts w:cstheme="minorHAnsi"/>
          <w:b/>
          <w:bCs/>
          <w:noProof/>
          <w:sz w:val="20"/>
          <w:szCs w:val="20"/>
        </w:rPr>
        <mc:AlternateContent>
          <mc:Choice Requires="wps">
            <w:drawing>
              <wp:inline distT="0" distB="0" distL="0" distR="0" wp14:anchorId="0FBFAD72" wp14:editId="6AD312E9">
                <wp:extent cx="6804660" cy="314325"/>
                <wp:effectExtent l="0" t="0" r="0" b="9525"/>
                <wp:docPr id="4" name="Rectangle 4"/>
                <wp:cNvGraphicFramePr/>
                <a:graphic xmlns:a="http://schemas.openxmlformats.org/drawingml/2006/main">
                  <a:graphicData uri="http://schemas.microsoft.com/office/word/2010/wordprocessingShape">
                    <wps:wsp>
                      <wps:cNvSpPr/>
                      <wps:spPr>
                        <a:xfrm>
                          <a:off x="0" y="0"/>
                          <a:ext cx="6804660" cy="314325"/>
                        </a:xfrm>
                        <a:prstGeom prst="rect">
                          <a:avLst/>
                        </a:prstGeom>
                        <a:solidFill>
                          <a:srgbClr val="0C7580"/>
                        </a:solidFill>
                        <a:ln w="254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E8853E" w14:textId="48146022" w:rsidR="0031711B" w:rsidRPr="003E3A90" w:rsidRDefault="00F92AF4" w:rsidP="00A961C3">
                            <w:pPr>
                              <w:jc w:val="center"/>
                              <w:rPr>
                                <w:color w:val="FFFFFF" w:themeColor="background1"/>
                              </w:rPr>
                            </w:pPr>
                            <w:hyperlink r:id="rId12" w:history="1">
                              <w:r w:rsidR="00C16692" w:rsidRPr="003E3A90">
                                <w:rPr>
                                  <w:rStyle w:val="Hyperlink"/>
                                  <w:rFonts w:cstheme="minorHAnsi"/>
                                  <w:color w:val="FFFFFF" w:themeColor="background1"/>
                                </w:rPr>
                                <w:t xml:space="preserve">ACTFL Resource on </w:t>
                              </w:r>
                              <w:r w:rsidR="003E3A90" w:rsidRPr="003E3A90">
                                <w:rPr>
                                  <w:rStyle w:val="Hyperlink"/>
                                  <w:rFonts w:cstheme="minorHAnsi"/>
                                  <w:color w:val="FFFFFF" w:themeColor="background1"/>
                                </w:rPr>
                                <w:t>Integrating C</w:t>
                              </w:r>
                              <w:r w:rsidR="005E7351">
                                <w:rPr>
                                  <w:rStyle w:val="Hyperlink"/>
                                  <w:rFonts w:cstheme="minorHAnsi"/>
                                  <w:color w:val="FFFFFF" w:themeColor="background1"/>
                                </w:rPr>
                                <w:t>omparisons</w:t>
                              </w:r>
                              <w:r w:rsidR="003E3A90" w:rsidRPr="003E3A90">
                                <w:rPr>
                                  <w:rStyle w:val="Hyperlink"/>
                                  <w:rFonts w:cstheme="minorHAnsi"/>
                                  <w:color w:val="FFFFFF" w:themeColor="background1"/>
                                </w:rPr>
                                <w:t xml:space="preserve"> into Language Instruction</w:t>
                              </w:r>
                            </w:hyperlink>
                            <w:r w:rsidR="00C16692" w:rsidRPr="003E3A90">
                              <w:rPr>
                                <w:rFonts w:cstheme="minorHAnsi"/>
                                <w:color w:val="FFFFFF" w:themeColor="background1"/>
                              </w:rPr>
                              <w:t xml:space="preserve"> </w:t>
                            </w:r>
                            <w:r w:rsidR="003E3A90" w:rsidRPr="003E3A90">
                              <w:rPr>
                                <w:rFonts w:cstheme="minorHAnsi"/>
                                <w:color w:val="FFFFFF" w:themeColor="background1"/>
                              </w:rPr>
                              <w:t xml:space="preserve">• </w:t>
                            </w:r>
                            <w:hyperlink r:id="rId13" w:history="1">
                              <w:r w:rsidR="008564F8" w:rsidRPr="003E3A90">
                                <w:rPr>
                                  <w:rStyle w:val="Hyperlink"/>
                                  <w:rFonts w:cstheme="minorHAnsi"/>
                                  <w:color w:val="FFFFFF" w:themeColor="background1"/>
                                </w:rPr>
                                <w:t>Massachusetts Deeper Learning Initiative</w:t>
                              </w:r>
                            </w:hyperlink>
                            <w:r w:rsidR="008564F8" w:rsidRPr="003E3A90">
                              <w:rPr>
                                <w:rFonts w:cstheme="minorHAnsi"/>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BFAD72" id="Rectangle 4" o:spid="_x0000_s1027" style="width:535.8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" fillcolor="#0c7580" stroked="f" strokeweight="2pt">
                <v:textbox>
                  <w:txbxContent>
                    <w:p w14:paraId="06E8853E" w14:textId="48146022" w:rsidR="0031711B" w:rsidRPr="003E3A90" w:rsidRDefault="00F92AF4" w:rsidP="00A961C3">
                      <w:pPr>
                        <w:jc w:val="center"/>
                        <w:rPr>
                          <w:color w:val="FFFFFF" w:themeColor="background1"/>
                        </w:rPr>
                      </w:pPr>
                      <w:hyperlink r:id="rId14" w:history="1">
                        <w:r w:rsidR="00C16692" w:rsidRPr="003E3A90">
                          <w:rPr>
                            <w:rStyle w:val="Hyperlink"/>
                            <w:rFonts w:cstheme="minorHAnsi"/>
                            <w:color w:val="FFFFFF" w:themeColor="background1"/>
                          </w:rPr>
                          <w:t xml:space="preserve">ACTFL Resource on </w:t>
                        </w:r>
                        <w:r w:rsidR="003E3A90" w:rsidRPr="003E3A90">
                          <w:rPr>
                            <w:rStyle w:val="Hyperlink"/>
                            <w:rFonts w:cstheme="minorHAnsi"/>
                            <w:color w:val="FFFFFF" w:themeColor="background1"/>
                          </w:rPr>
                          <w:t>Integrating C</w:t>
                        </w:r>
                        <w:r w:rsidR="005E7351">
                          <w:rPr>
                            <w:rStyle w:val="Hyperlink"/>
                            <w:rFonts w:cstheme="minorHAnsi"/>
                            <w:color w:val="FFFFFF" w:themeColor="background1"/>
                          </w:rPr>
                          <w:t>omparisons</w:t>
                        </w:r>
                        <w:r w:rsidR="003E3A90" w:rsidRPr="003E3A90">
                          <w:rPr>
                            <w:rStyle w:val="Hyperlink"/>
                            <w:rFonts w:cstheme="minorHAnsi"/>
                            <w:color w:val="FFFFFF" w:themeColor="background1"/>
                          </w:rPr>
                          <w:t xml:space="preserve"> into Language Instruction</w:t>
                        </w:r>
                      </w:hyperlink>
                      <w:r w:rsidR="00C16692" w:rsidRPr="003E3A90">
                        <w:rPr>
                          <w:rFonts w:cstheme="minorHAnsi"/>
                          <w:color w:val="FFFFFF" w:themeColor="background1"/>
                        </w:rPr>
                        <w:t xml:space="preserve"> </w:t>
                      </w:r>
                      <w:r w:rsidR="003E3A90" w:rsidRPr="003E3A90">
                        <w:rPr>
                          <w:rFonts w:cstheme="minorHAnsi"/>
                          <w:color w:val="FFFFFF" w:themeColor="background1"/>
                        </w:rPr>
                        <w:t xml:space="preserve">• </w:t>
                      </w:r>
                      <w:hyperlink r:id="rId15" w:history="1">
                        <w:r w:rsidR="008564F8" w:rsidRPr="003E3A90">
                          <w:rPr>
                            <w:rStyle w:val="Hyperlink"/>
                            <w:rFonts w:cstheme="minorHAnsi"/>
                            <w:color w:val="FFFFFF" w:themeColor="background1"/>
                          </w:rPr>
                          <w:t>Massachusetts Deeper Learning Initiative</w:t>
                        </w:r>
                      </w:hyperlink>
                      <w:r w:rsidR="008564F8" w:rsidRPr="003E3A90">
                        <w:rPr>
                          <w:rFonts w:cstheme="minorHAnsi"/>
                          <w:color w:val="FFFFFF" w:themeColor="background1"/>
                        </w:rPr>
                        <w:t xml:space="preserve"> </w:t>
                      </w:r>
                    </w:p>
                  </w:txbxContent>
                </v:textbox>
                <w10:anchorlock/>
              </v:rect>
            </w:pict>
          </mc:Fallback>
        </mc:AlternateContent>
      </w:r>
    </w:p>
    <w:sectPr w:rsidR="0031711B" w:rsidRPr="00F1096E" w:rsidSect="00E05EFB">
      <w:headerReference w:type="default" r:id="rId16"/>
      <w:footerReference w:type="default" r:id="rId17"/>
      <w:headerReference w:type="first" r:id="rId18"/>
      <w:footerReference w:type="first" r:id="rId19"/>
      <w:pgSz w:w="12240" w:h="15840"/>
      <w:pgMar w:top="1440" w:right="720" w:bottom="1080" w:left="72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1CAB84" w14:textId="77777777" w:rsidR="000B2299" w:rsidRDefault="000B2299" w:rsidP="000636CE">
      <w:pPr>
        <w:spacing w:after="0" w:line="240" w:lineRule="auto"/>
      </w:pPr>
      <w:r>
        <w:separator/>
      </w:r>
    </w:p>
  </w:endnote>
  <w:endnote w:type="continuationSeparator" w:id="0">
    <w:p w14:paraId="09EF45F5" w14:textId="77777777" w:rsidR="000B2299" w:rsidRDefault="000B2299" w:rsidP="00063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951F1" w14:textId="2F2D592D" w:rsidR="00E4426A" w:rsidRDefault="00E4426A">
    <w:pPr>
      <w:pStyle w:val="Footer"/>
    </w:pP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F4080" w14:textId="20776013" w:rsidR="000636CE" w:rsidRDefault="000636CE">
    <w:pPr>
      <w:pStyle w:val="Footer"/>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39CE9" w14:textId="77777777" w:rsidR="000B2299" w:rsidRDefault="000B2299" w:rsidP="000636CE">
      <w:pPr>
        <w:spacing w:after="0" w:line="240" w:lineRule="auto"/>
      </w:pPr>
      <w:r>
        <w:separator/>
      </w:r>
    </w:p>
  </w:footnote>
  <w:footnote w:type="continuationSeparator" w:id="0">
    <w:p w14:paraId="4299D99F" w14:textId="77777777" w:rsidR="000B2299" w:rsidRDefault="000B2299" w:rsidP="000636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A6557" w14:textId="6821DE83" w:rsidR="00E4426A" w:rsidRDefault="00E4426A">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89714" w14:textId="42D6E4CB" w:rsidR="000636CE" w:rsidRDefault="000636CE">
    <w:pPr>
      <w:pStyle w:val="Header"/>
    </w:pPr>
    <w:r>
      <w:rPr>
        <w:noProof/>
      </w:rPr>
      <w:drawing>
        <wp:inline distT="0" distB="0" distL="0" distR="0" wp14:anchorId="503CBCE9" wp14:editId="1547461B">
          <wp:extent cx="1261872" cy="612648"/>
          <wp:effectExtent l="0" t="0" r="0" b="0"/>
          <wp:docPr id="6" name="Picture 6"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872" cy="612648"/>
                  </a:xfrm>
                  <a:prstGeom prst="rect">
                    <a:avLst/>
                  </a:prstGeom>
                  <a:noFill/>
                  <a:ln>
                    <a:noFill/>
                  </a:ln>
                </pic:spPr>
              </pic:pic>
            </a:graphicData>
          </a:graphic>
        </wp:inline>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0649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C986D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01E89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F2B3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21AE77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6C7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1C609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714B0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E844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214E0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1F12C5"/>
    <w:multiLevelType w:val="hybridMultilevel"/>
    <w:tmpl w:val="7E063E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0DF1D05"/>
    <w:multiLevelType w:val="hybridMultilevel"/>
    <w:tmpl w:val="0442D3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9924CDA"/>
    <w:multiLevelType w:val="hybridMultilevel"/>
    <w:tmpl w:val="0B96D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052FBC"/>
    <w:multiLevelType w:val="hybridMultilevel"/>
    <w:tmpl w:val="FFE0F26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4CC4C56"/>
    <w:multiLevelType w:val="hybridMultilevel"/>
    <w:tmpl w:val="7FF2E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940A9A"/>
    <w:multiLevelType w:val="hybridMultilevel"/>
    <w:tmpl w:val="496E6A88"/>
    <w:lvl w:ilvl="0" w:tplc="06E83846">
      <w:start w:val="1"/>
      <w:numFmt w:val="decimal"/>
      <w:lvlText w:val="%1."/>
      <w:lvlJc w:val="left"/>
      <w:pPr>
        <w:ind w:left="720" w:hanging="360"/>
      </w:pPr>
      <w:rPr>
        <w:rFonts w:hAnsi="Calibri" w:hint="default"/>
        <w:color w:val="FFFFFF" w:themeColor="ligh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F05615"/>
    <w:multiLevelType w:val="hybridMultilevel"/>
    <w:tmpl w:val="8A6CBE28"/>
    <w:lvl w:ilvl="0" w:tplc="AF5618E0">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1841B9"/>
    <w:multiLevelType w:val="hybridMultilevel"/>
    <w:tmpl w:val="7F94E74E"/>
    <w:lvl w:ilvl="0" w:tplc="39B2F44C">
      <w:start w:val="1"/>
      <w:numFmt w:val="bullet"/>
      <w:lvlText w:val=""/>
      <w:lvlJc w:val="left"/>
      <w:pPr>
        <w:ind w:left="360" w:hanging="360"/>
      </w:pPr>
      <w:rPr>
        <w:rFonts w:ascii="Wingdings" w:hAnsi="Wingdings" w:hint="default"/>
        <w:color w:val="0C75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14"/>
  </w:num>
  <w:num w:numId="3">
    <w:abstractNumId w:val="16"/>
  </w:num>
  <w:num w:numId="4">
    <w:abstractNumId w:val="15"/>
  </w:num>
  <w:num w:numId="5">
    <w:abstractNumId w:val="13"/>
  </w:num>
  <w:num w:numId="6">
    <w:abstractNumId w:val="10"/>
  </w:num>
  <w:num w:numId="7">
    <w:abstractNumId w:val="11"/>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B14"/>
    <w:rsid w:val="00005226"/>
    <w:rsid w:val="00011660"/>
    <w:rsid w:val="000135E8"/>
    <w:rsid w:val="00023CD8"/>
    <w:rsid w:val="0003365C"/>
    <w:rsid w:val="00044DEB"/>
    <w:rsid w:val="00054C2C"/>
    <w:rsid w:val="000568C3"/>
    <w:rsid w:val="000636CE"/>
    <w:rsid w:val="0007576F"/>
    <w:rsid w:val="00095F3A"/>
    <w:rsid w:val="000B2299"/>
    <w:rsid w:val="000C3AA4"/>
    <w:rsid w:val="000D4F28"/>
    <w:rsid w:val="000E1043"/>
    <w:rsid w:val="000F324E"/>
    <w:rsid w:val="0010008B"/>
    <w:rsid w:val="00101079"/>
    <w:rsid w:val="00103612"/>
    <w:rsid w:val="00114E5F"/>
    <w:rsid w:val="00134CA8"/>
    <w:rsid w:val="0015304C"/>
    <w:rsid w:val="00153F1B"/>
    <w:rsid w:val="00160119"/>
    <w:rsid w:val="0016510C"/>
    <w:rsid w:val="00166208"/>
    <w:rsid w:val="0017786B"/>
    <w:rsid w:val="001801F9"/>
    <w:rsid w:val="00196B9B"/>
    <w:rsid w:val="001A1750"/>
    <w:rsid w:val="001B0EFD"/>
    <w:rsid w:val="001D6154"/>
    <w:rsid w:val="001F4DA6"/>
    <w:rsid w:val="001F5C94"/>
    <w:rsid w:val="002108C2"/>
    <w:rsid w:val="0022302E"/>
    <w:rsid w:val="00225592"/>
    <w:rsid w:val="00235A13"/>
    <w:rsid w:val="0023643E"/>
    <w:rsid w:val="002404C9"/>
    <w:rsid w:val="0024454C"/>
    <w:rsid w:val="00251FDA"/>
    <w:rsid w:val="002526E4"/>
    <w:rsid w:val="00254B14"/>
    <w:rsid w:val="00267499"/>
    <w:rsid w:val="00285E84"/>
    <w:rsid w:val="00292D3D"/>
    <w:rsid w:val="002A7CD1"/>
    <w:rsid w:val="002D06DC"/>
    <w:rsid w:val="002D4ADA"/>
    <w:rsid w:val="002E06F4"/>
    <w:rsid w:val="002E5CD0"/>
    <w:rsid w:val="002F0C8F"/>
    <w:rsid w:val="0031711B"/>
    <w:rsid w:val="00332278"/>
    <w:rsid w:val="00335794"/>
    <w:rsid w:val="003400CE"/>
    <w:rsid w:val="00342DE7"/>
    <w:rsid w:val="00363D16"/>
    <w:rsid w:val="00370962"/>
    <w:rsid w:val="00375A57"/>
    <w:rsid w:val="003823D9"/>
    <w:rsid w:val="00382477"/>
    <w:rsid w:val="003B166E"/>
    <w:rsid w:val="003C6C75"/>
    <w:rsid w:val="003E3A90"/>
    <w:rsid w:val="003E49F2"/>
    <w:rsid w:val="00402FE7"/>
    <w:rsid w:val="004064D1"/>
    <w:rsid w:val="00411B55"/>
    <w:rsid w:val="00413018"/>
    <w:rsid w:val="00413610"/>
    <w:rsid w:val="00425383"/>
    <w:rsid w:val="00456678"/>
    <w:rsid w:val="00461002"/>
    <w:rsid w:val="0048030D"/>
    <w:rsid w:val="00483961"/>
    <w:rsid w:val="004929CB"/>
    <w:rsid w:val="004945CB"/>
    <w:rsid w:val="00497AB4"/>
    <w:rsid w:val="00497BA5"/>
    <w:rsid w:val="004B5FAE"/>
    <w:rsid w:val="004E2BCD"/>
    <w:rsid w:val="004E612C"/>
    <w:rsid w:val="004E6263"/>
    <w:rsid w:val="00500976"/>
    <w:rsid w:val="00503D58"/>
    <w:rsid w:val="00515812"/>
    <w:rsid w:val="005442EA"/>
    <w:rsid w:val="00565CC5"/>
    <w:rsid w:val="0058119D"/>
    <w:rsid w:val="005A6E52"/>
    <w:rsid w:val="005B0392"/>
    <w:rsid w:val="005D25F4"/>
    <w:rsid w:val="005E7351"/>
    <w:rsid w:val="00607175"/>
    <w:rsid w:val="006138AD"/>
    <w:rsid w:val="0062286C"/>
    <w:rsid w:val="0062742C"/>
    <w:rsid w:val="0067322F"/>
    <w:rsid w:val="00674118"/>
    <w:rsid w:val="00683790"/>
    <w:rsid w:val="00690BD3"/>
    <w:rsid w:val="00692AE8"/>
    <w:rsid w:val="00695254"/>
    <w:rsid w:val="006B1E41"/>
    <w:rsid w:val="006C2130"/>
    <w:rsid w:val="006D57D4"/>
    <w:rsid w:val="006D772F"/>
    <w:rsid w:val="006F5DFC"/>
    <w:rsid w:val="007263CE"/>
    <w:rsid w:val="0074536F"/>
    <w:rsid w:val="00757F4F"/>
    <w:rsid w:val="00770FB7"/>
    <w:rsid w:val="007B761A"/>
    <w:rsid w:val="007C5DBD"/>
    <w:rsid w:val="007E4C0C"/>
    <w:rsid w:val="007E5180"/>
    <w:rsid w:val="00804DFB"/>
    <w:rsid w:val="00815B5A"/>
    <w:rsid w:val="008164A8"/>
    <w:rsid w:val="008348B4"/>
    <w:rsid w:val="00843774"/>
    <w:rsid w:val="008564F8"/>
    <w:rsid w:val="00864B1E"/>
    <w:rsid w:val="00892DB0"/>
    <w:rsid w:val="008933E6"/>
    <w:rsid w:val="008C32E4"/>
    <w:rsid w:val="008E056C"/>
    <w:rsid w:val="008E646C"/>
    <w:rsid w:val="00900EFD"/>
    <w:rsid w:val="00932A8C"/>
    <w:rsid w:val="00945322"/>
    <w:rsid w:val="00960ABF"/>
    <w:rsid w:val="009665E1"/>
    <w:rsid w:val="009744BC"/>
    <w:rsid w:val="00987916"/>
    <w:rsid w:val="009B6CAB"/>
    <w:rsid w:val="009C4FB7"/>
    <w:rsid w:val="009D403A"/>
    <w:rsid w:val="009D6D88"/>
    <w:rsid w:val="009E4AA0"/>
    <w:rsid w:val="009F3826"/>
    <w:rsid w:val="009F38A6"/>
    <w:rsid w:val="009F5D72"/>
    <w:rsid w:val="00A155F0"/>
    <w:rsid w:val="00A318C9"/>
    <w:rsid w:val="00A35269"/>
    <w:rsid w:val="00A42B31"/>
    <w:rsid w:val="00A43FFC"/>
    <w:rsid w:val="00A65C91"/>
    <w:rsid w:val="00A8130B"/>
    <w:rsid w:val="00A961C3"/>
    <w:rsid w:val="00AB19FB"/>
    <w:rsid w:val="00AB58F1"/>
    <w:rsid w:val="00AC297C"/>
    <w:rsid w:val="00AD3A80"/>
    <w:rsid w:val="00AF222E"/>
    <w:rsid w:val="00AF66BA"/>
    <w:rsid w:val="00B006D5"/>
    <w:rsid w:val="00B0227D"/>
    <w:rsid w:val="00B07E33"/>
    <w:rsid w:val="00B17E48"/>
    <w:rsid w:val="00B62E85"/>
    <w:rsid w:val="00B813C0"/>
    <w:rsid w:val="00B96DCA"/>
    <w:rsid w:val="00B97163"/>
    <w:rsid w:val="00BB67BF"/>
    <w:rsid w:val="00BC2549"/>
    <w:rsid w:val="00BC4AFB"/>
    <w:rsid w:val="00BE4EE9"/>
    <w:rsid w:val="00BF095B"/>
    <w:rsid w:val="00C03F1B"/>
    <w:rsid w:val="00C07020"/>
    <w:rsid w:val="00C1481E"/>
    <w:rsid w:val="00C16692"/>
    <w:rsid w:val="00C32B0F"/>
    <w:rsid w:val="00C42DE7"/>
    <w:rsid w:val="00C65CA4"/>
    <w:rsid w:val="00C673B0"/>
    <w:rsid w:val="00C71929"/>
    <w:rsid w:val="00C729CC"/>
    <w:rsid w:val="00C804CD"/>
    <w:rsid w:val="00C90BB3"/>
    <w:rsid w:val="00CA2C27"/>
    <w:rsid w:val="00CD346E"/>
    <w:rsid w:val="00CD4134"/>
    <w:rsid w:val="00CF2B3A"/>
    <w:rsid w:val="00CF309C"/>
    <w:rsid w:val="00D01DC0"/>
    <w:rsid w:val="00D028C4"/>
    <w:rsid w:val="00D13FA6"/>
    <w:rsid w:val="00D235B3"/>
    <w:rsid w:val="00D374D5"/>
    <w:rsid w:val="00D42061"/>
    <w:rsid w:val="00D47002"/>
    <w:rsid w:val="00D552BE"/>
    <w:rsid w:val="00D727EC"/>
    <w:rsid w:val="00D8688C"/>
    <w:rsid w:val="00D96526"/>
    <w:rsid w:val="00D96F30"/>
    <w:rsid w:val="00DD0B72"/>
    <w:rsid w:val="00DE3523"/>
    <w:rsid w:val="00DF65F0"/>
    <w:rsid w:val="00E008F2"/>
    <w:rsid w:val="00E00CB2"/>
    <w:rsid w:val="00E05EFB"/>
    <w:rsid w:val="00E34FC8"/>
    <w:rsid w:val="00E4426A"/>
    <w:rsid w:val="00E5550C"/>
    <w:rsid w:val="00E57E8C"/>
    <w:rsid w:val="00E72085"/>
    <w:rsid w:val="00E721CE"/>
    <w:rsid w:val="00E955F7"/>
    <w:rsid w:val="00EB3E2B"/>
    <w:rsid w:val="00EE67BE"/>
    <w:rsid w:val="00EF098E"/>
    <w:rsid w:val="00EF64F0"/>
    <w:rsid w:val="00F1096E"/>
    <w:rsid w:val="00F34BA0"/>
    <w:rsid w:val="00F44945"/>
    <w:rsid w:val="00F53920"/>
    <w:rsid w:val="00F55671"/>
    <w:rsid w:val="00F92AF4"/>
    <w:rsid w:val="00F96465"/>
    <w:rsid w:val="00FA46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281B16"/>
  <w15:chartTrackingRefBased/>
  <w15:docId w15:val="{DC52BF14-F0C6-4B1A-849E-ACB345340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5F0"/>
  </w:style>
  <w:style w:type="paragraph" w:styleId="Heading1">
    <w:name w:val="heading 1"/>
    <w:basedOn w:val="Normal"/>
    <w:next w:val="Normal"/>
    <w:link w:val="Heading1Char"/>
    <w:uiPriority w:val="9"/>
    <w:qFormat/>
    <w:rsid w:val="00864B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36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36CE"/>
  </w:style>
  <w:style w:type="paragraph" w:styleId="Footer">
    <w:name w:val="footer"/>
    <w:basedOn w:val="Normal"/>
    <w:link w:val="FooterChar"/>
    <w:uiPriority w:val="99"/>
    <w:unhideWhenUsed/>
    <w:rsid w:val="00063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36CE"/>
  </w:style>
  <w:style w:type="paragraph" w:styleId="ListParagraph">
    <w:name w:val="List Paragraph"/>
    <w:basedOn w:val="Normal"/>
    <w:uiPriority w:val="34"/>
    <w:qFormat/>
    <w:rsid w:val="00E4426A"/>
    <w:pPr>
      <w:ind w:left="720"/>
      <w:contextualSpacing/>
    </w:pPr>
  </w:style>
  <w:style w:type="character" w:styleId="CommentReference">
    <w:name w:val="annotation reference"/>
    <w:basedOn w:val="DefaultParagraphFont"/>
    <w:uiPriority w:val="99"/>
    <w:semiHidden/>
    <w:unhideWhenUsed/>
    <w:rsid w:val="00456678"/>
    <w:rPr>
      <w:sz w:val="16"/>
      <w:szCs w:val="16"/>
    </w:rPr>
  </w:style>
  <w:style w:type="paragraph" w:styleId="CommentText">
    <w:name w:val="annotation text"/>
    <w:basedOn w:val="Normal"/>
    <w:link w:val="CommentTextChar"/>
    <w:uiPriority w:val="99"/>
    <w:unhideWhenUsed/>
    <w:rsid w:val="00456678"/>
    <w:pPr>
      <w:spacing w:line="240" w:lineRule="auto"/>
    </w:pPr>
    <w:rPr>
      <w:sz w:val="20"/>
      <w:szCs w:val="20"/>
    </w:rPr>
  </w:style>
  <w:style w:type="character" w:customStyle="1" w:styleId="CommentTextChar">
    <w:name w:val="Comment Text Char"/>
    <w:basedOn w:val="DefaultParagraphFont"/>
    <w:link w:val="CommentText"/>
    <w:uiPriority w:val="99"/>
    <w:rsid w:val="00456678"/>
    <w:rPr>
      <w:sz w:val="20"/>
      <w:szCs w:val="20"/>
    </w:rPr>
  </w:style>
  <w:style w:type="paragraph" w:styleId="CommentSubject">
    <w:name w:val="annotation subject"/>
    <w:basedOn w:val="CommentText"/>
    <w:next w:val="CommentText"/>
    <w:link w:val="CommentSubjectChar"/>
    <w:uiPriority w:val="99"/>
    <w:semiHidden/>
    <w:unhideWhenUsed/>
    <w:rsid w:val="00456678"/>
    <w:rPr>
      <w:b/>
      <w:bCs/>
    </w:rPr>
  </w:style>
  <w:style w:type="character" w:customStyle="1" w:styleId="CommentSubjectChar">
    <w:name w:val="Comment Subject Char"/>
    <w:basedOn w:val="CommentTextChar"/>
    <w:link w:val="CommentSubject"/>
    <w:uiPriority w:val="99"/>
    <w:semiHidden/>
    <w:rsid w:val="00456678"/>
    <w:rPr>
      <w:b/>
      <w:bCs/>
      <w:sz w:val="20"/>
      <w:szCs w:val="20"/>
    </w:rPr>
  </w:style>
  <w:style w:type="paragraph" w:styleId="BalloonText">
    <w:name w:val="Balloon Text"/>
    <w:basedOn w:val="Normal"/>
    <w:link w:val="BalloonTextChar"/>
    <w:uiPriority w:val="99"/>
    <w:semiHidden/>
    <w:unhideWhenUsed/>
    <w:rsid w:val="00456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678"/>
    <w:rPr>
      <w:rFonts w:ascii="Segoe UI" w:hAnsi="Segoe UI" w:cs="Segoe UI"/>
      <w:sz w:val="18"/>
      <w:szCs w:val="18"/>
    </w:rPr>
  </w:style>
  <w:style w:type="character" w:styleId="Hyperlink">
    <w:name w:val="Hyperlink"/>
    <w:basedOn w:val="DefaultParagraphFont"/>
    <w:uiPriority w:val="99"/>
    <w:unhideWhenUsed/>
    <w:rsid w:val="00285E84"/>
    <w:rPr>
      <w:color w:val="0563C1" w:themeColor="hyperlink"/>
      <w:u w:val="single"/>
    </w:rPr>
  </w:style>
  <w:style w:type="character" w:styleId="UnresolvedMention">
    <w:name w:val="Unresolved Mention"/>
    <w:basedOn w:val="DefaultParagraphFont"/>
    <w:uiPriority w:val="99"/>
    <w:semiHidden/>
    <w:unhideWhenUsed/>
    <w:rsid w:val="00285E84"/>
    <w:rPr>
      <w:color w:val="605E5C"/>
      <w:shd w:val="clear" w:color="auto" w:fill="E1DFDD"/>
    </w:rPr>
  </w:style>
  <w:style w:type="paragraph" w:styleId="Caption">
    <w:name w:val="caption"/>
    <w:basedOn w:val="Normal"/>
    <w:next w:val="Normal"/>
    <w:uiPriority w:val="35"/>
    <w:unhideWhenUsed/>
    <w:qFormat/>
    <w:rsid w:val="00B813C0"/>
    <w:pPr>
      <w:spacing w:after="200" w:line="240" w:lineRule="auto"/>
    </w:pPr>
    <w:rPr>
      <w:i/>
      <w:iCs/>
      <w:color w:val="44546A" w:themeColor="text2"/>
      <w:sz w:val="18"/>
      <w:szCs w:val="18"/>
    </w:rPr>
  </w:style>
  <w:style w:type="character" w:styleId="FollowedHyperlink">
    <w:name w:val="FollowedHyperlink"/>
    <w:basedOn w:val="DefaultParagraphFont"/>
    <w:uiPriority w:val="99"/>
    <w:unhideWhenUsed/>
    <w:rsid w:val="00DF65F0"/>
    <w:rPr>
      <w:color w:val="802B0C"/>
      <w:u w:val="single"/>
    </w:rPr>
  </w:style>
  <w:style w:type="character" w:customStyle="1" w:styleId="Heading1Char">
    <w:name w:val="Heading 1 Char"/>
    <w:basedOn w:val="DefaultParagraphFont"/>
    <w:link w:val="Heading1"/>
    <w:uiPriority w:val="9"/>
    <w:rsid w:val="00864B1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DF65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F0"/>
    <w:rPr>
      <w:sz w:val="20"/>
      <w:szCs w:val="20"/>
    </w:rPr>
  </w:style>
  <w:style w:type="character" w:styleId="FootnoteReference">
    <w:name w:val="footnote reference"/>
    <w:basedOn w:val="DefaultParagraphFont"/>
    <w:uiPriority w:val="99"/>
    <w:semiHidden/>
    <w:unhideWhenUsed/>
    <w:rsid w:val="00DF65F0"/>
    <w:rPr>
      <w:vertAlign w:val="superscript"/>
    </w:rPr>
  </w:style>
  <w:style w:type="paragraph" w:styleId="Revision">
    <w:name w:val="Revision"/>
    <w:hidden/>
    <w:uiPriority w:val="99"/>
    <w:semiHidden/>
    <w:rsid w:val="001601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813922">
      <w:bodyDiv w:val="1"/>
      <w:marLeft w:val="0"/>
      <w:marRight w:val="0"/>
      <w:marTop w:val="0"/>
      <w:marBottom w:val="0"/>
      <w:divBdr>
        <w:top w:val="none" w:sz="0" w:space="0" w:color="auto"/>
        <w:left w:val="none" w:sz="0" w:space="0" w:color="auto"/>
        <w:bottom w:val="none" w:sz="0" w:space="0" w:color="auto"/>
        <w:right w:val="none" w:sz="0" w:space="0" w:color="auto"/>
      </w:divBdr>
    </w:div>
    <w:div w:id="706219126">
      <w:bodyDiv w:val="1"/>
      <w:marLeft w:val="0"/>
      <w:marRight w:val="0"/>
      <w:marTop w:val="0"/>
      <w:marBottom w:val="0"/>
      <w:divBdr>
        <w:top w:val="none" w:sz="0" w:space="0" w:color="auto"/>
        <w:left w:val="none" w:sz="0" w:space="0" w:color="auto"/>
        <w:bottom w:val="none" w:sz="0" w:space="0" w:color="auto"/>
        <w:right w:val="none" w:sz="0" w:space="0" w:color="auto"/>
      </w:divBdr>
    </w:div>
    <w:div w:id="954022519">
      <w:bodyDiv w:val="1"/>
      <w:marLeft w:val="0"/>
      <w:marRight w:val="0"/>
      <w:marTop w:val="0"/>
      <w:marBottom w:val="0"/>
      <w:divBdr>
        <w:top w:val="none" w:sz="0" w:space="0" w:color="auto"/>
        <w:left w:val="none" w:sz="0" w:space="0" w:color="auto"/>
        <w:bottom w:val="none" w:sz="0" w:space="0" w:color="auto"/>
        <w:right w:val="none" w:sz="0" w:space="0" w:color="auto"/>
      </w:divBdr>
    </w:div>
    <w:div w:id="1315838623">
      <w:bodyDiv w:val="1"/>
      <w:marLeft w:val="0"/>
      <w:marRight w:val="0"/>
      <w:marTop w:val="0"/>
      <w:marBottom w:val="0"/>
      <w:divBdr>
        <w:top w:val="none" w:sz="0" w:space="0" w:color="auto"/>
        <w:left w:val="none" w:sz="0" w:space="0" w:color="auto"/>
        <w:bottom w:val="none" w:sz="0" w:space="0" w:color="auto"/>
        <w:right w:val="none" w:sz="0" w:space="0" w:color="auto"/>
      </w:divBdr>
    </w:div>
    <w:div w:id="1501041273">
      <w:bodyDiv w:val="1"/>
      <w:marLeft w:val="0"/>
      <w:marRight w:val="0"/>
      <w:marTop w:val="0"/>
      <w:marBottom w:val="0"/>
      <w:divBdr>
        <w:top w:val="none" w:sz="0" w:space="0" w:color="auto"/>
        <w:left w:val="none" w:sz="0" w:space="0" w:color="auto"/>
        <w:bottom w:val="none" w:sz="0" w:space="0" w:color="auto"/>
        <w:right w:val="none" w:sz="0" w:space="0" w:color="auto"/>
      </w:divBdr>
    </w:div>
    <w:div w:id="1545099769">
      <w:bodyDiv w:val="1"/>
      <w:marLeft w:val="0"/>
      <w:marRight w:val="0"/>
      <w:marTop w:val="0"/>
      <w:marBottom w:val="0"/>
      <w:divBdr>
        <w:top w:val="none" w:sz="0" w:space="0" w:color="auto"/>
        <w:left w:val="none" w:sz="0" w:space="0" w:color="auto"/>
        <w:bottom w:val="none" w:sz="0" w:space="0" w:color="auto"/>
        <w:right w:val="none" w:sz="0" w:space="0" w:color="auto"/>
      </w:divBdr>
    </w:div>
    <w:div w:id="1795245952">
      <w:bodyDiv w:val="1"/>
      <w:marLeft w:val="0"/>
      <w:marRight w:val="0"/>
      <w:marTop w:val="0"/>
      <w:marBottom w:val="0"/>
      <w:divBdr>
        <w:top w:val="none" w:sz="0" w:space="0" w:color="auto"/>
        <w:left w:val="none" w:sz="0" w:space="0" w:color="auto"/>
        <w:bottom w:val="none" w:sz="0" w:space="0" w:color="auto"/>
        <w:right w:val="none" w:sz="0" w:space="0" w:color="auto"/>
      </w:divBdr>
    </w:div>
    <w:div w:id="188386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oe.mass.edu/kaleidoscope/overview.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actfl.org/sites/default/files/publications/standards/Comparisons.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doe.mass.edu/kaleidoscope/overview.html"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ctfl.org/sites/default/files/publications/standards/Comparisons.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Cam07</b:Tag>
    <b:SourceType>JournalArticle</b:SourceType>
    <b:Guid>{4E6BE9EB-99A4-4641-AAF9-4F67F0EE772F}</b:Guid>
    <b:Author>
      <b:Author>
        <b:NameList>
          <b:Person>
            <b:Last>Campbell</b:Last>
            <b:First>C.</b:First>
          </b:Person>
          <b:Person>
            <b:Last>Duncan</b:Last>
            <b:First>G</b:First>
          </b:Person>
        </b:NameList>
      </b:Author>
    </b:Author>
    <b:Year>2007</b:Year>
    <b:Title>From theory to practice: General trends in foreign language teaching methodology and their influence on language assessment</b:Title>
    <b:JournalName>Language and Linguistics Compass</b:JournalName>
    <b:Volume>1</b:Volume>
    <b:Issue>6</b:Issue>
    <b:Pages>592-611</b:Pages>
    <b:RefOrder>4</b:RefOrder>
  </b:Source>
</b:Sourc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DESE-231-68993</_dlc_DocId>
    <_dlc_DocIdUrl xmlns="733efe1c-5bbe-4968-87dc-d400e65c879f">
      <Url>https://sharepoint.doemass.org/ese/webteam/cps/_layouts/DocIdRedir.aspx?ID=DESE-231-68993</Url>
      <Description>DESE-231-68993</Description>
    </_dlc_DocIdUrl>
  </documentManagement>
</p: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67A9823D-674C-4B16-86D3-2AD4C81C08B9}">
  <ds:schemaRefs>
    <ds:schemaRef ds:uri="http://schemas.openxmlformats.org/officeDocument/2006/bibliography"/>
  </ds:schemaRefs>
</ds:datastoreItem>
</file>

<file path=customXml/itemProps2.xml><?xml version="1.0" encoding="utf-8"?>
<ds:datastoreItem xmlns:ds="http://schemas.openxmlformats.org/officeDocument/2006/customXml" ds:itemID="{7BC3B521-BB99-44A3-B9B2-8079787CF640}">
  <ds:schemaRefs>
    <ds:schemaRef ds:uri="http://schemas.microsoft.com/sharepoint/events"/>
  </ds:schemaRefs>
</ds:datastoreItem>
</file>

<file path=customXml/itemProps3.xml><?xml version="1.0" encoding="utf-8"?>
<ds:datastoreItem xmlns:ds="http://schemas.openxmlformats.org/officeDocument/2006/customXml" ds:itemID="{430F3A11-A55A-48A3-9FD4-92432F202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03258-20B8-4AA4-942A-50D61E8D50B7}">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5479422E-3DAD-4FCC-BD74-B4AF0679D4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3347</Characters>
  <Application>Microsoft Office Word</Application>
  <DocSecurity>0</DocSecurity>
  <Lines>128</Lines>
  <Paragraphs>87</Paragraphs>
  <ScaleCrop>false</ScaleCrop>
  <HeadingPairs>
    <vt:vector size="2" baseType="variant">
      <vt:variant>
        <vt:lpstr>Title</vt:lpstr>
      </vt:variant>
      <vt:variant>
        <vt:i4>1</vt:i4>
      </vt:variant>
    </vt:vector>
  </HeadingPairs>
  <TitlesOfParts>
    <vt:vector size="1" baseType="lpstr">
      <vt:lpstr>WL Quick Reference Guide: Assessment</vt:lpstr>
    </vt:vector>
  </TitlesOfParts>
  <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 11 Summary</dc:title>
  <dc:subject/>
  <dc:creator>DESE</dc:creator>
  <cp:keywords/>
  <dc:description/>
  <cp:lastModifiedBy>Zou, Dong (EOE)</cp:lastModifiedBy>
  <cp:revision>3</cp:revision>
  <cp:lastPrinted>2020-12-16T16:02:00Z</cp:lastPrinted>
  <dcterms:created xsi:type="dcterms:W3CDTF">2022-05-05T20:30:00Z</dcterms:created>
  <dcterms:modified xsi:type="dcterms:W3CDTF">2022-08-01T17:54:00Z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1 2022</vt:lpwstr>
  </property>
</Properties>
</file>