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7441F76F" w:rsidR="0031711B" w:rsidRPr="00EF098E" w:rsidRDefault="0031711B" w:rsidP="00EF098E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900EFD">
        <w:rPr>
          <w:rFonts w:ascii="Georgia" w:hAnsi="Georgia"/>
          <w:color w:val="0C7580"/>
          <w:sz w:val="32"/>
          <w:szCs w:val="32"/>
        </w:rPr>
        <w:t>1</w:t>
      </w:r>
      <w:r w:rsidR="00111A02">
        <w:rPr>
          <w:rFonts w:ascii="Georgia" w:hAnsi="Georgia"/>
          <w:color w:val="0C7580"/>
          <w:sz w:val="32"/>
          <w:szCs w:val="32"/>
        </w:rPr>
        <w:t>4</w:t>
      </w:r>
      <w:r w:rsidR="00900EFD">
        <w:rPr>
          <w:rFonts w:ascii="Georgia" w:hAnsi="Georgia"/>
          <w:color w:val="0C7580"/>
          <w:sz w:val="32"/>
          <w:szCs w:val="32"/>
        </w:rPr>
        <w:t xml:space="preserve">: </w:t>
      </w:r>
      <w:r w:rsidR="00111A02">
        <w:rPr>
          <w:rFonts w:ascii="Georgia" w:hAnsi="Georgia"/>
          <w:color w:val="0C7580"/>
          <w:sz w:val="32"/>
          <w:szCs w:val="32"/>
        </w:rPr>
        <w:t>Communities</w:t>
      </w:r>
      <w:r w:rsidR="00251FDA">
        <w:rPr>
          <w:rFonts w:ascii="Georgia" w:hAnsi="Georgia"/>
          <w:color w:val="0C7580"/>
          <w:sz w:val="32"/>
          <w:szCs w:val="32"/>
        </w:rPr>
        <w:t xml:space="preserve"> Standards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7F484ECF">
                <wp:extent cx="6804660" cy="508958"/>
                <wp:effectExtent l="0" t="0" r="0" b="571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08958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1B5F6086" w:rsidR="000636CE" w:rsidRDefault="00EF098E" w:rsidP="0023643E">
                            <w:pPr>
                              <w:jc w:val="center"/>
                            </w:pPr>
                            <w:r>
                              <w:t xml:space="preserve">This module provides an overview </w:t>
                            </w:r>
                            <w:r w:rsidR="00251FDA">
                              <w:t xml:space="preserve">of </w:t>
                            </w:r>
                            <w:r w:rsidR="00D028C4">
                              <w:t xml:space="preserve">Practice </w:t>
                            </w:r>
                            <w:r w:rsidR="00111A02">
                              <w:t>8</w:t>
                            </w:r>
                            <w:r w:rsidR="00D028C4">
                              <w:t xml:space="preserve">: </w:t>
                            </w:r>
                            <w:r w:rsidR="00111A02">
                              <w:t>Communities</w:t>
                            </w:r>
                            <w:r>
                              <w:t>, discuss</w:t>
                            </w:r>
                            <w:r w:rsidR="00160119">
                              <w:t>es</w:t>
                            </w:r>
                            <w:r w:rsidR="00CF2B3A">
                              <w:t xml:space="preserve"> </w:t>
                            </w:r>
                            <w:r w:rsidR="00251FDA">
                              <w:t xml:space="preserve">the Massachusetts World Languages Standards for </w:t>
                            </w:r>
                            <w:r w:rsidR="00111A02">
                              <w:t>Communities</w:t>
                            </w:r>
                            <w:r w:rsidR="00CF2B3A">
                              <w:t>,</w:t>
                            </w:r>
                            <w:r w:rsidRPr="00EF098E">
                              <w:t xml:space="preserve"> and </w:t>
                            </w:r>
                            <w:r w:rsidR="00160119" w:rsidRPr="00EF098E">
                              <w:t>highlight</w:t>
                            </w:r>
                            <w:r w:rsidR="00160119">
                              <w:t xml:space="preserve">s </w:t>
                            </w:r>
                            <w:r w:rsidRPr="00EF098E">
                              <w:t xml:space="preserve">ways </w:t>
                            </w:r>
                            <w:r w:rsidR="00251FDA">
                              <w:t>to address the Standards</w:t>
                            </w:r>
                            <w:r w:rsidR="00497B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" fillcolor="#0c7580" stroked="f" strokeweight="2pt">
                <v:textbox>
                  <w:txbxContent>
                    <w:p w14:paraId="2C3B6029" w14:textId="1B5F6086" w:rsidR="000636CE" w:rsidRDefault="00EF098E" w:rsidP="0023643E">
                      <w:pPr>
                        <w:jc w:val="center"/>
                      </w:pPr>
                      <w:r>
                        <w:t xml:space="preserve">This module provides an overview </w:t>
                      </w:r>
                      <w:r w:rsidR="00251FDA">
                        <w:t xml:space="preserve">of </w:t>
                      </w:r>
                      <w:r w:rsidR="00D028C4">
                        <w:t xml:space="preserve">Practice </w:t>
                      </w:r>
                      <w:r w:rsidR="00111A02">
                        <w:t>8</w:t>
                      </w:r>
                      <w:r w:rsidR="00D028C4">
                        <w:t xml:space="preserve">: </w:t>
                      </w:r>
                      <w:r w:rsidR="00111A02">
                        <w:t>Communities</w:t>
                      </w:r>
                      <w:r>
                        <w:t>, discuss</w:t>
                      </w:r>
                      <w:r w:rsidR="00160119">
                        <w:t>es</w:t>
                      </w:r>
                      <w:r w:rsidR="00CF2B3A">
                        <w:t xml:space="preserve"> </w:t>
                      </w:r>
                      <w:r w:rsidR="00251FDA">
                        <w:t xml:space="preserve">the Massachusetts World Languages Standards for </w:t>
                      </w:r>
                      <w:r w:rsidR="00111A02">
                        <w:t>Communities</w:t>
                      </w:r>
                      <w:r w:rsidR="00CF2B3A">
                        <w:t>,</w:t>
                      </w:r>
                      <w:r w:rsidRPr="00EF098E">
                        <w:t xml:space="preserve"> and </w:t>
                      </w:r>
                      <w:r w:rsidR="00160119" w:rsidRPr="00EF098E">
                        <w:t>highlight</w:t>
                      </w:r>
                      <w:r w:rsidR="00160119">
                        <w:t xml:space="preserve">s </w:t>
                      </w:r>
                      <w:r w:rsidRPr="00EF098E">
                        <w:t xml:space="preserve">ways </w:t>
                      </w:r>
                      <w:r w:rsidR="00251FDA">
                        <w:t>to address the Standards</w:t>
                      </w:r>
                      <w:r w:rsidR="00497BA5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7BD403" w14:textId="77777777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BA85228" w14:textId="5E8FD41F" w:rsidR="000636CE" w:rsidRDefault="00D028C4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Practice </w:t>
      </w:r>
      <w:r w:rsidR="00111A02">
        <w:rPr>
          <w:rFonts w:ascii="Georgia" w:hAnsi="Georgia"/>
          <w:color w:val="0C7580"/>
          <w:sz w:val="28"/>
          <w:szCs w:val="28"/>
        </w:rPr>
        <w:t>8</w:t>
      </w:r>
      <w:r>
        <w:rPr>
          <w:rFonts w:ascii="Georgia" w:hAnsi="Georgia"/>
          <w:color w:val="0C7580"/>
          <w:sz w:val="28"/>
          <w:szCs w:val="28"/>
        </w:rPr>
        <w:t xml:space="preserve">: </w:t>
      </w:r>
      <w:r w:rsidR="00111A02">
        <w:rPr>
          <w:rFonts w:ascii="Georgia" w:hAnsi="Georgia"/>
          <w:color w:val="0C7580"/>
          <w:sz w:val="28"/>
          <w:szCs w:val="28"/>
        </w:rPr>
        <w:t>Communities</w:t>
      </w:r>
    </w:p>
    <w:p w14:paraId="582AF108" w14:textId="0554DA26" w:rsidR="0031711B" w:rsidRPr="00EF098E" w:rsidRDefault="00D028C4" w:rsidP="00EB3E2B">
      <w:pPr>
        <w:spacing w:after="0"/>
        <w:rPr>
          <w:rFonts w:cstheme="minorHAnsi"/>
        </w:rPr>
      </w:pPr>
      <w:r>
        <w:t>This Practice</w:t>
      </w:r>
      <w:r w:rsidR="00C07020">
        <w:t xml:space="preserve"> involves </w:t>
      </w:r>
      <w:r w:rsidR="00111A02" w:rsidRPr="00111A02">
        <w:t>interacting and communicating with intercultural competence and confidence to engage and responsibly collaborate with a variety of multilingual communities at home and around the world</w:t>
      </w:r>
      <w:r w:rsidRPr="00D028C4">
        <w:t>.</w:t>
      </w:r>
      <w:r>
        <w:t xml:space="preserve"> </w:t>
      </w:r>
      <w:r w:rsidR="00E05EFB" w:rsidRPr="00D96526">
        <w:rPr>
          <w:rFonts w:cstheme="minorHAnsi"/>
        </w:rPr>
        <w:t xml:space="preserve">In </w:t>
      </w:r>
      <w:r>
        <w:rPr>
          <w:rFonts w:cstheme="minorHAnsi"/>
        </w:rPr>
        <w:t>this Practice</w:t>
      </w:r>
      <w:r w:rsidR="00E05EFB" w:rsidRPr="00D96526">
        <w:rPr>
          <w:rFonts w:cstheme="minorHAnsi"/>
        </w:rPr>
        <w:t xml:space="preserve">, </w:t>
      </w:r>
      <w:r w:rsidR="00111A02" w:rsidRPr="00111A02">
        <w:rPr>
          <w:rFonts w:cstheme="minorHAnsi"/>
        </w:rPr>
        <w:t>students maintain engagement in the target-language community</w:t>
      </w:r>
      <w:r w:rsidR="00111A02">
        <w:rPr>
          <w:rFonts w:cstheme="minorHAnsi"/>
        </w:rPr>
        <w:t>, and they also set goals for and reflect on their use of the target language for enjoyment, enrichment, career advancement</w:t>
      </w:r>
      <w:r w:rsidR="00B032E5">
        <w:rPr>
          <w:rFonts w:cstheme="minorHAnsi"/>
        </w:rPr>
        <w:t>,</w:t>
      </w:r>
      <w:r w:rsidR="00111A02">
        <w:rPr>
          <w:rFonts w:cstheme="minorHAnsi"/>
        </w:rPr>
        <w:t xml:space="preserve"> and building diverse relationships</w:t>
      </w:r>
      <w:r>
        <w:rPr>
          <w:rFonts w:cstheme="minorHAnsi"/>
        </w:rPr>
        <w:t>.</w:t>
      </w:r>
      <w:r w:rsidR="0007576F">
        <w:rPr>
          <w:rFonts w:cstheme="minorHAnsi"/>
        </w:rPr>
        <w:t xml:space="preserve"> </w:t>
      </w:r>
      <w:r w:rsidR="00D96526">
        <w:t xml:space="preserve">Proficiency in </w:t>
      </w:r>
      <w:r w:rsidR="00111A02">
        <w:t>Communities</w:t>
      </w:r>
      <w:r>
        <w:t xml:space="preserve"> </w:t>
      </w:r>
      <w:r w:rsidR="00E8759D">
        <w:t xml:space="preserve">encourages students to </w:t>
      </w:r>
      <w:r w:rsidR="00111A02" w:rsidRPr="00111A02">
        <w:t>applying their language skills to practical uses outside of the classroom</w:t>
      </w:r>
      <w:r w:rsidR="00D96526">
        <w:t xml:space="preserve">, </w:t>
      </w:r>
      <w:r w:rsidR="00111A02" w:rsidRPr="00111A02">
        <w:t xml:space="preserve">motivates students to </w:t>
      </w:r>
      <w:r w:rsidR="00111A02">
        <w:t xml:space="preserve">become lifelong learners of the </w:t>
      </w:r>
      <w:r w:rsidR="00170847">
        <w:t xml:space="preserve">target </w:t>
      </w:r>
      <w:r w:rsidR="00111A02">
        <w:t>language</w:t>
      </w:r>
      <w:r w:rsidR="00D96526">
        <w:t xml:space="preserve">, and supports students in </w:t>
      </w:r>
      <w:r>
        <w:t>effectively communicating in the target language</w:t>
      </w:r>
      <w:r w:rsidR="00A8130B">
        <w:t xml:space="preserve"> </w:t>
      </w:r>
      <w:r w:rsidR="008E646C">
        <w:t>and</w:t>
      </w:r>
      <w:r w:rsidR="00A8130B">
        <w:t xml:space="preserve"> </w:t>
      </w:r>
      <w:r w:rsidR="00111A02" w:rsidRPr="00111A02">
        <w:t>interact</w:t>
      </w:r>
      <w:r w:rsidR="00111A02">
        <w:t>ing</w:t>
      </w:r>
      <w:r w:rsidR="00111A02" w:rsidRPr="00111A02">
        <w:t xml:space="preserve"> with and contribut</w:t>
      </w:r>
      <w:r w:rsidR="00111A02">
        <w:t>ing</w:t>
      </w:r>
      <w:r w:rsidR="00111A02" w:rsidRPr="00111A02">
        <w:t xml:space="preserve"> to diverse, multilingual communitie</w:t>
      </w:r>
      <w:r w:rsidR="00111A02">
        <w:t>s</w:t>
      </w:r>
      <w:r w:rsidR="00A8130B">
        <w:t>.</w:t>
      </w:r>
    </w:p>
    <w:p w14:paraId="4BC7CA21" w14:textId="25D6885F" w:rsidR="0031711B" w:rsidRDefault="00565CC5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  </w:t>
      </w:r>
    </w:p>
    <w:p w14:paraId="49801E4D" w14:textId="1DABDF41" w:rsidR="0031711B" w:rsidRDefault="00111A02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Communities</w:t>
      </w:r>
      <w:r w:rsidR="00251FDA">
        <w:rPr>
          <w:rFonts w:ascii="Georgia" w:hAnsi="Georgia"/>
          <w:color w:val="0C7580"/>
          <w:sz w:val="28"/>
          <w:szCs w:val="28"/>
        </w:rPr>
        <w:t xml:space="preserve"> Standards</w:t>
      </w:r>
    </w:p>
    <w:p w14:paraId="49B9BA6C" w14:textId="166A2779" w:rsidR="00497BA5" w:rsidRDefault="002A7CD1" w:rsidP="00EF098E">
      <w:pPr>
        <w:spacing w:after="0"/>
      </w:pPr>
      <w:r>
        <w:rPr>
          <w:rFonts w:cstheme="minorHAnsi"/>
        </w:rPr>
        <w:t>The</w:t>
      </w:r>
      <w:r w:rsidR="00D96526">
        <w:rPr>
          <w:rFonts w:cstheme="minorHAnsi"/>
        </w:rPr>
        <w:t xml:space="preserve"> Massachusetts World Languages Standards for </w:t>
      </w:r>
      <w:r w:rsidR="00111A02">
        <w:rPr>
          <w:rFonts w:cstheme="minorHAnsi"/>
        </w:rPr>
        <w:t>Communities</w:t>
      </w:r>
      <w:r w:rsidR="00D96526">
        <w:rPr>
          <w:rFonts w:cstheme="minorHAnsi"/>
        </w:rPr>
        <w:t xml:space="preserve"> </w:t>
      </w:r>
      <w:r>
        <w:rPr>
          <w:rFonts w:cstheme="minorHAnsi"/>
        </w:rPr>
        <w:t>describe</w:t>
      </w:r>
      <w:r w:rsidR="00D96526">
        <w:rPr>
          <w:rFonts w:cstheme="minorHAnsi"/>
        </w:rPr>
        <w:t xml:space="preserve"> </w:t>
      </w:r>
      <w:r w:rsidR="00D96526">
        <w:t>the skills that students can demonstrate at different levels of proficiency</w:t>
      </w:r>
      <w:r w:rsidR="00D028C4">
        <w:t xml:space="preserve"> in </w:t>
      </w:r>
      <w:r w:rsidR="00111A02">
        <w:t>Communities</w:t>
      </w:r>
      <w:r w:rsidR="00D96526">
        <w:t xml:space="preserve">. </w:t>
      </w:r>
      <w:r w:rsidR="00CF309C">
        <w:t xml:space="preserve">The </w:t>
      </w:r>
      <w:r w:rsidR="00111A02">
        <w:t>Communities</w:t>
      </w:r>
      <w:r w:rsidR="00CF309C">
        <w:t xml:space="preserve"> Standard at each proficiency level</w:t>
      </w:r>
      <w:r w:rsidR="00D96526">
        <w:t xml:space="preserve"> contains</w:t>
      </w:r>
      <w:r w:rsidR="00170847">
        <w:t xml:space="preserve"> six</w:t>
      </w:r>
      <w:r w:rsidR="00D96526">
        <w:t xml:space="preserve"> </w:t>
      </w:r>
      <w:r w:rsidR="00D028C4">
        <w:t>dif</w:t>
      </w:r>
      <w:r w:rsidR="00D96526">
        <w:t xml:space="preserve">ferent </w:t>
      </w:r>
      <w:r w:rsidR="00EE67BE">
        <w:t>F</w:t>
      </w:r>
      <w:r w:rsidR="0017786B">
        <w:t>unctions</w:t>
      </w:r>
      <w:r w:rsidR="00D96526">
        <w:t xml:space="preserve">, </w:t>
      </w:r>
      <w:r w:rsidR="00170847">
        <w:t>with Functions related to participating in diverse communities numbered 8.a.1 to 8.a.2 and Functions related to becoming lifelong learner numbered 8.b.1 to 8.b.4</w:t>
      </w:r>
      <w:r w:rsidR="00D96526" w:rsidRPr="00D96526">
        <w:t>.</w:t>
      </w:r>
      <w:r w:rsidR="00D96526">
        <w:t xml:space="preserve"> The chart below shows how </w:t>
      </w:r>
      <w:r w:rsidR="00E05EFB">
        <w:t>F</w:t>
      </w:r>
      <w:r>
        <w:t xml:space="preserve">unctions </w:t>
      </w:r>
      <w:r w:rsidR="00D96526">
        <w:t xml:space="preserve">progress across proficiency levels within the </w:t>
      </w:r>
      <w:r w:rsidR="00111A02">
        <w:t>Communities</w:t>
      </w:r>
      <w:r w:rsidR="00D96526">
        <w:t xml:space="preserve"> Standard</w:t>
      </w:r>
      <w:r w:rsidR="00843774">
        <w:t>s</w:t>
      </w:r>
      <w:bookmarkStart w:id="0" w:name="_Hlk95913389"/>
      <w:r w:rsidR="00FC6349">
        <w:t>, and c</w:t>
      </w:r>
      <w:r>
        <w:t>heck marks with a plus sign indicate new, more rigorous features of a previously acquired</w:t>
      </w:r>
      <w:r w:rsidR="00E05EFB">
        <w:t xml:space="preserve"> F</w:t>
      </w:r>
      <w:r>
        <w:t>unction.</w:t>
      </w:r>
      <w:bookmarkEnd w:id="0"/>
    </w:p>
    <w:p w14:paraId="4D58D179" w14:textId="77777777" w:rsidR="00A961C3" w:rsidRDefault="00A961C3" w:rsidP="00EF098E">
      <w:pPr>
        <w:spacing w:after="0"/>
      </w:pPr>
    </w:p>
    <w:tbl>
      <w:tblPr>
        <w:tblW w:w="66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72"/>
        <w:gridCol w:w="598"/>
        <w:gridCol w:w="628"/>
        <w:gridCol w:w="621"/>
        <w:gridCol w:w="606"/>
        <w:gridCol w:w="616"/>
        <w:gridCol w:w="621"/>
        <w:gridCol w:w="613"/>
        <w:gridCol w:w="626"/>
        <w:gridCol w:w="621"/>
        <w:gridCol w:w="528"/>
      </w:tblGrid>
      <w:tr w:rsidR="00EB20A4" w:rsidRPr="003C6C75" w14:paraId="2C444EBA" w14:textId="77777777" w:rsidTr="00170847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B3C70" w14:textId="77777777" w:rsidR="00EB20A4" w:rsidRPr="00EB20A4" w:rsidRDefault="00EB20A4" w:rsidP="00EB20A4">
            <w:pPr>
              <w:spacing w:after="0"/>
              <w:rPr>
                <w:rFonts w:cstheme="minorHAnsi"/>
              </w:rPr>
            </w:pP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A5042" w14:textId="45E96752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NL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5B6F7" w14:textId="3A922182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NM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8E40B" w14:textId="40C46501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NH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14A51" w14:textId="0E6A0265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IL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CFAD7" w14:textId="2C302AB0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IM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FD5C9" w14:textId="5D6F041B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IH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94507" w14:textId="450B1170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AL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A028C" w14:textId="68655FC9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AM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08902" w14:textId="0DF20EF4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AH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4C486" w14:textId="67BC6830" w:rsidR="00EB20A4" w:rsidRPr="00EB20A4" w:rsidRDefault="00EB20A4" w:rsidP="00EB20A4">
            <w:pPr>
              <w:spacing w:after="0"/>
              <w:rPr>
                <w:rFonts w:cstheme="minorHAnsi"/>
              </w:rPr>
            </w:pPr>
            <w:r w:rsidRPr="00EB20A4">
              <w:rPr>
                <w:rFonts w:cstheme="minorHAnsi"/>
                <w:kern w:val="24"/>
              </w:rPr>
              <w:t>S</w:t>
            </w:r>
          </w:p>
        </w:tc>
      </w:tr>
      <w:tr w:rsidR="00170847" w:rsidRPr="003C6C75" w14:paraId="7EE4A9FC" w14:textId="77777777" w:rsidTr="00170847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9BC01F" w14:textId="738752E4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t>a.1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265D73" w14:textId="44791B61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DBC5BD" w14:textId="56F90C95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DD003" w14:textId="4B6F7C5E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1A93A" w14:textId="02785458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A6015F" w14:textId="3AE6B26C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F512F" w14:textId="1F4A766F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A5057" w14:textId="677E492E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58F264" w14:textId="59203542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57EFE6" w14:textId="207417C1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39B10E9" w14:textId="00EEB9AB" w:rsidR="00170847" w:rsidRPr="00EB20A4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</w:tr>
      <w:tr w:rsidR="00170847" w:rsidRPr="003C6C75" w14:paraId="2A7FF918" w14:textId="77777777" w:rsidTr="00170847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5A259B" w14:textId="29326996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t>a.2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6164EF" w14:textId="18059728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69CC16" w14:textId="5C45015B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C748B9" w14:textId="069F6D08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3DCE27" w14:textId="3739D810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1A8C34" w14:textId="689C597D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817F28" w14:textId="2109DE0C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F7FA52" w14:textId="76098535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4AFEFF" w14:textId="7BE582F0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2542FF" w14:textId="73CE5CE7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87F99D" w14:textId="7440618F" w:rsidR="00170847" w:rsidRPr="008164A8" w:rsidRDefault="00170847" w:rsidP="00170847">
            <w:pPr>
              <w:spacing w:after="0"/>
              <w:rPr>
                <w:rFonts w:cstheme="minorHAnsi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</w:tr>
      <w:tr w:rsidR="00170847" w:rsidRPr="003C6C75" w14:paraId="7F3D53D3" w14:textId="77777777" w:rsidTr="00FC6349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D31757" w14:textId="64EBAA2D" w:rsidR="00170847" w:rsidRDefault="00170847" w:rsidP="00170847">
            <w:pPr>
              <w:spacing w:after="0"/>
              <w:rPr>
                <w:rFonts w:ascii="Calibri" w:hAnsi="Calibri" w:cs="Calibri"/>
                <w:color w:val="000000" w:themeColor="dark1"/>
                <w:kern w:val="24"/>
              </w:rPr>
            </w:pPr>
            <w:r w:rsidRPr="00FD6719">
              <w:t>b.1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33414B" w14:textId="3FEC6AAC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5CA82C" w14:textId="6BC518A8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8AC763A" w14:textId="034FCC83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406B89" w14:textId="27656B39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6A1FCB" w14:textId="78CF34EF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526AFD" w14:textId="402EB3C1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7DF4740" w14:textId="5AB2C190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BD25D6" w14:textId="16B891F9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615670" w14:textId="41C4BD12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3DDC68" w14:textId="33963D8C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</w:tr>
      <w:tr w:rsidR="00170847" w:rsidRPr="003C6C75" w14:paraId="5F660F92" w14:textId="77777777" w:rsidTr="00170847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00B65AD" w14:textId="25C3EDD1" w:rsidR="00170847" w:rsidRDefault="00170847" w:rsidP="00170847">
            <w:pPr>
              <w:spacing w:after="0"/>
              <w:rPr>
                <w:rFonts w:ascii="Calibri" w:hAnsi="Calibri" w:cs="Calibri"/>
                <w:color w:val="000000" w:themeColor="dark1"/>
                <w:kern w:val="24"/>
              </w:rPr>
            </w:pPr>
            <w:r w:rsidRPr="00FD6719">
              <w:t>b.2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4874D7" w14:textId="6887291D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6B73186" w14:textId="24413499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F3BE38" w14:textId="748B9D1B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D52A55" w14:textId="2B17189C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C5DD5E" w14:textId="3017DFA1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CA1480" w14:textId="1EEAFDDB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813290" w14:textId="38197048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7DA3C5" w14:textId="42F55D10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F006DF2" w14:textId="59FFFFA9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6AB4B" w14:textId="4CFFCFDC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</w:tr>
      <w:tr w:rsidR="00170847" w:rsidRPr="003C6C75" w14:paraId="09E78091" w14:textId="77777777" w:rsidTr="00FC6349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17D45B7" w14:textId="0CD6001E" w:rsidR="00170847" w:rsidRDefault="00170847" w:rsidP="00170847">
            <w:pPr>
              <w:spacing w:after="0"/>
              <w:rPr>
                <w:rFonts w:ascii="Calibri" w:hAnsi="Calibri" w:cs="Calibri"/>
                <w:color w:val="000000" w:themeColor="dark1"/>
                <w:kern w:val="24"/>
              </w:rPr>
            </w:pPr>
            <w:r w:rsidRPr="00FD6719">
              <w:t>b.3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E870DF" w14:textId="08CF4689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93EEA5C" w14:textId="12D19BC3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B1B2F9" w14:textId="0E513ED7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2BD559" w14:textId="5DE47E05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DA47778" w14:textId="21C35D56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82304" w14:textId="5EE065B6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B423ED" w14:textId="61AADD2B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D2FBE9" w14:textId="72F3A398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16F80E" w14:textId="07D7EA6B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  <w:r w:rsidRPr="00FD6719">
              <w:t>+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DED" w:themeFill="accent3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3705D4" w14:textId="0148C971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FD6719">
              <w:rPr>
                <w:rFonts w:ascii="Segoe UI Symbol" w:hAnsi="Segoe UI Symbol" w:cs="Segoe UI Symbol"/>
              </w:rPr>
              <w:t>✓</w:t>
            </w:r>
          </w:p>
        </w:tc>
      </w:tr>
      <w:tr w:rsidR="00170847" w:rsidRPr="003C6C75" w14:paraId="049721A5" w14:textId="77777777" w:rsidTr="00170847">
        <w:trPr>
          <w:jc w:val="center"/>
        </w:trPr>
        <w:tc>
          <w:tcPr>
            <w:tcW w:w="57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9AFC36" w14:textId="36842E5B" w:rsidR="00170847" w:rsidRDefault="00170847" w:rsidP="00170847">
            <w:pPr>
              <w:spacing w:after="0"/>
              <w:rPr>
                <w:rFonts w:ascii="Calibri" w:hAnsi="Calibri" w:cs="Calibri"/>
                <w:color w:val="000000" w:themeColor="dark1"/>
                <w:kern w:val="24"/>
              </w:rPr>
            </w:pPr>
            <w:r w:rsidRPr="00170847">
              <w:rPr>
                <w:rFonts w:cstheme="minorHAnsi"/>
              </w:rPr>
              <w:t>b.4</w:t>
            </w:r>
          </w:p>
        </w:tc>
        <w:tc>
          <w:tcPr>
            <w:tcW w:w="59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CA9821" w14:textId="07F31BC0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83B1536" w14:textId="147C3B31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A98FAE" w14:textId="7CF7813E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  <w:r w:rsidRPr="00170847">
              <w:rPr>
                <w:rFonts w:cstheme="minorHAnsi"/>
              </w:rPr>
              <w:t>+</w:t>
            </w:r>
          </w:p>
        </w:tc>
        <w:tc>
          <w:tcPr>
            <w:tcW w:w="6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CFA08F7" w14:textId="3E261B70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1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F369DDC" w14:textId="56F77187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D52C841" w14:textId="6DCB19B6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  <w:r w:rsidRPr="00170847">
              <w:rPr>
                <w:rFonts w:cstheme="minorHAnsi"/>
              </w:rPr>
              <w:t>+</w:t>
            </w:r>
          </w:p>
        </w:tc>
        <w:tc>
          <w:tcPr>
            <w:tcW w:w="61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BD93C74" w14:textId="23A65ADF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F11BFC" w14:textId="3FF8EB50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6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7CB7754" w14:textId="4B682EC8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  <w:tc>
          <w:tcPr>
            <w:tcW w:w="5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3AD90C2" w14:textId="76D79CDF" w:rsidR="00170847" w:rsidRPr="00EB20A4" w:rsidRDefault="00170847" w:rsidP="00170847">
            <w:pPr>
              <w:spacing w:after="0"/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</w:pPr>
            <w:r w:rsidRPr="00170847">
              <w:rPr>
                <w:rFonts w:ascii="Segoe UI Symbol" w:hAnsi="Segoe UI Symbol" w:cs="Segoe UI Symbol"/>
              </w:rPr>
              <w:t>✓</w:t>
            </w:r>
          </w:p>
        </w:tc>
      </w:tr>
    </w:tbl>
    <w:p w14:paraId="33A54953" w14:textId="77777777" w:rsidR="00960ABF" w:rsidRDefault="00960ABF" w:rsidP="0031711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17412EA1" w14:textId="5F0A928E" w:rsidR="0031711B" w:rsidRDefault="00251FDA" w:rsidP="0031711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Addressing the Standards</w:t>
      </w:r>
    </w:p>
    <w:p w14:paraId="1FFFD906" w14:textId="366A899A" w:rsidR="00A961C3" w:rsidRDefault="004E612C" w:rsidP="00E05EFB">
      <w:pPr>
        <w:spacing w:after="0"/>
        <w:rPr>
          <w:rFonts w:cstheme="minorHAnsi"/>
        </w:rPr>
      </w:pPr>
      <w:r>
        <w:rPr>
          <w:rFonts w:cstheme="minorHAnsi"/>
        </w:rPr>
        <w:t xml:space="preserve">Recommendations </w:t>
      </w:r>
      <w:bookmarkStart w:id="1" w:name="_Hlk95913413"/>
      <w:r w:rsidR="002A7CD1">
        <w:rPr>
          <w:rFonts w:cstheme="minorHAnsi"/>
        </w:rPr>
        <w:t xml:space="preserve">to effectively address </w:t>
      </w:r>
      <w:r w:rsidR="008164A8">
        <w:rPr>
          <w:rFonts w:cstheme="minorHAnsi"/>
        </w:rPr>
        <w:t xml:space="preserve">the </w:t>
      </w:r>
      <w:r w:rsidR="00111A02">
        <w:rPr>
          <w:rFonts w:cstheme="minorHAnsi"/>
        </w:rPr>
        <w:t>Communities</w:t>
      </w:r>
      <w:r w:rsidR="00411B55">
        <w:rPr>
          <w:rFonts w:cstheme="minorHAnsi"/>
        </w:rPr>
        <w:t xml:space="preserve"> </w:t>
      </w:r>
      <w:r w:rsidR="002A7CD1">
        <w:rPr>
          <w:rFonts w:cstheme="minorHAnsi"/>
        </w:rPr>
        <w:t xml:space="preserve">Standards </w:t>
      </w:r>
      <w:bookmarkEnd w:id="1"/>
      <w:r w:rsidR="00500976">
        <w:rPr>
          <w:rFonts w:cstheme="minorHAnsi"/>
        </w:rPr>
        <w:t xml:space="preserve">include </w:t>
      </w:r>
      <w:r w:rsidR="008164A8">
        <w:rPr>
          <w:rFonts w:cstheme="minorHAnsi"/>
        </w:rPr>
        <w:t xml:space="preserve">embedding </w:t>
      </w:r>
      <w:r w:rsidR="00111A02">
        <w:rPr>
          <w:rFonts w:cstheme="minorHAnsi"/>
        </w:rPr>
        <w:t>Communities</w:t>
      </w:r>
      <w:r w:rsidR="008164A8">
        <w:rPr>
          <w:rFonts w:cstheme="minorHAnsi"/>
        </w:rPr>
        <w:t xml:space="preserve"> into </w:t>
      </w:r>
      <w:r w:rsidR="00500976">
        <w:rPr>
          <w:rFonts w:cstheme="minorHAnsi"/>
        </w:rPr>
        <w:t>unit goals/objectives</w:t>
      </w:r>
      <w:r w:rsidR="008164A8">
        <w:rPr>
          <w:rFonts w:cstheme="minorHAnsi"/>
        </w:rPr>
        <w:t>, summative assessment tasks, and learning activities and experiences</w:t>
      </w:r>
      <w:r w:rsidR="007D6199">
        <w:rPr>
          <w:rFonts w:cstheme="minorHAnsi"/>
        </w:rPr>
        <w:t xml:space="preserve">, rather than </w:t>
      </w:r>
      <w:r w:rsidR="007D755F">
        <w:rPr>
          <w:rFonts w:cstheme="minorHAnsi"/>
        </w:rPr>
        <w:t xml:space="preserve">teaching about </w:t>
      </w:r>
      <w:r w:rsidR="00116F25">
        <w:rPr>
          <w:rFonts w:cstheme="minorHAnsi"/>
        </w:rPr>
        <w:t>C</w:t>
      </w:r>
      <w:r w:rsidR="00111A02">
        <w:rPr>
          <w:rFonts w:cstheme="minorHAnsi"/>
        </w:rPr>
        <w:t>ommunities</w:t>
      </w:r>
      <w:r w:rsidR="007D755F">
        <w:rPr>
          <w:rFonts w:cstheme="minorHAnsi"/>
        </w:rPr>
        <w:t xml:space="preserve"> in isolation; providing opportunities </w:t>
      </w:r>
      <w:r w:rsidR="00EB20A4">
        <w:rPr>
          <w:rFonts w:cstheme="minorHAnsi"/>
        </w:rPr>
        <w:t xml:space="preserve">for students to </w:t>
      </w:r>
      <w:r w:rsidR="00FC6349">
        <w:rPr>
          <w:rFonts w:cstheme="minorHAnsi"/>
        </w:rPr>
        <w:t>pursue their interests through the language</w:t>
      </w:r>
      <w:r w:rsidR="007D755F">
        <w:rPr>
          <w:rFonts w:cstheme="minorHAnsi"/>
        </w:rPr>
        <w:t xml:space="preserve">; </w:t>
      </w:r>
      <w:r w:rsidR="009F4469">
        <w:rPr>
          <w:rFonts w:cstheme="minorHAnsi"/>
        </w:rPr>
        <w:t>u</w:t>
      </w:r>
      <w:r w:rsidR="009F4469" w:rsidRPr="009F4469">
        <w:rPr>
          <w:rFonts w:cstheme="minorHAnsi"/>
        </w:rPr>
        <w:t>tilizing project-based or experiential learning in collaboration with members of the target community</w:t>
      </w:r>
      <w:r w:rsidR="005F464C">
        <w:rPr>
          <w:rFonts w:cstheme="minorHAnsi"/>
        </w:rPr>
        <w:t>; and providing time for reflection on growth and goals related to the language and culture.</w:t>
      </w:r>
      <w:r w:rsidR="008164A8">
        <w:rPr>
          <w:rFonts w:cstheme="minorHAnsi"/>
        </w:rPr>
        <w:t xml:space="preserve"> </w:t>
      </w:r>
      <w:r w:rsidR="003B166E">
        <w:rPr>
          <w:rFonts w:cstheme="minorHAnsi"/>
        </w:rPr>
        <w:t>When designing assessments and learning experiences</w:t>
      </w:r>
      <w:r w:rsidR="00FF0E6C">
        <w:rPr>
          <w:rFonts w:cstheme="minorHAnsi"/>
        </w:rPr>
        <w:t xml:space="preserve"> across the communicative modes</w:t>
      </w:r>
      <w:r w:rsidR="003B166E">
        <w:rPr>
          <w:rFonts w:cstheme="minorHAnsi"/>
        </w:rPr>
        <w:t>, educators should</w:t>
      </w:r>
      <w:r w:rsidR="006D772F">
        <w:rPr>
          <w:rFonts w:cstheme="minorHAnsi"/>
        </w:rPr>
        <w:t xml:space="preserve"> </w:t>
      </w:r>
      <w:r w:rsidR="00FC6349" w:rsidRPr="00FC6349">
        <w:rPr>
          <w:rFonts w:cstheme="minorHAnsi"/>
        </w:rPr>
        <w:t>design hands-on learning activities within and beyond the classroom</w:t>
      </w:r>
      <w:r w:rsidR="00774D4E">
        <w:rPr>
          <w:rFonts w:cstheme="minorHAnsi"/>
        </w:rPr>
        <w:t xml:space="preserve">; </w:t>
      </w:r>
      <w:r w:rsidR="00FC6349" w:rsidRPr="00FC6349">
        <w:rPr>
          <w:rFonts w:cstheme="minorHAnsi"/>
        </w:rPr>
        <w:t>leverage students’ existing connections to multilingual communities</w:t>
      </w:r>
      <w:r w:rsidR="00774D4E">
        <w:rPr>
          <w:rFonts w:cstheme="minorHAnsi"/>
        </w:rPr>
        <w:t xml:space="preserve">; and </w:t>
      </w:r>
      <w:r w:rsidR="00FC6349">
        <w:rPr>
          <w:rFonts w:cstheme="minorHAnsi"/>
        </w:rPr>
        <w:t>provide opportunities for self-assessment and reflection</w:t>
      </w:r>
      <w:r w:rsidR="00774D4E">
        <w:rPr>
          <w:rFonts w:cstheme="minorHAnsi"/>
        </w:rPr>
        <w:t>.</w:t>
      </w:r>
      <w:r w:rsidR="006D772F">
        <w:rPr>
          <w:rFonts w:cstheme="minorHAnsi"/>
        </w:rPr>
        <w:t xml:space="preserve"> </w:t>
      </w:r>
      <w:r w:rsidR="003B166E">
        <w:rPr>
          <w:rFonts w:cstheme="minorHAnsi"/>
        </w:rPr>
        <w:t xml:space="preserve">To align with Massachusetts’ vision for Deeper Learning, educators should provide students </w:t>
      </w:r>
      <w:r w:rsidR="003B166E">
        <w:rPr>
          <w:rFonts w:cstheme="minorHAnsi"/>
        </w:rPr>
        <w:lastRenderedPageBreak/>
        <w:t xml:space="preserve">with opportunities to </w:t>
      </w:r>
      <w:r w:rsidR="00FC6349">
        <w:rPr>
          <w:rFonts w:cstheme="minorHAnsi"/>
        </w:rPr>
        <w:t xml:space="preserve">engage with diverse communities and set language-learning goals </w:t>
      </w:r>
      <w:r w:rsidR="003B166E">
        <w:rPr>
          <w:rFonts w:cstheme="minorHAnsi"/>
        </w:rPr>
        <w:t xml:space="preserve">in a way that demonstrates </w:t>
      </w:r>
      <w:r w:rsidR="00425383">
        <w:rPr>
          <w:rFonts w:cstheme="minorHAnsi"/>
        </w:rPr>
        <w:t>M</w:t>
      </w:r>
      <w:r w:rsidR="003B166E">
        <w:rPr>
          <w:rFonts w:cstheme="minorHAnsi"/>
        </w:rPr>
        <w:t xml:space="preserve">astery, </w:t>
      </w:r>
      <w:r w:rsidR="00425383">
        <w:rPr>
          <w:rFonts w:cstheme="minorHAnsi"/>
        </w:rPr>
        <w:t>I</w:t>
      </w:r>
      <w:r w:rsidR="003B166E">
        <w:rPr>
          <w:rFonts w:cstheme="minorHAnsi"/>
        </w:rPr>
        <w:t xml:space="preserve">dentity, and </w:t>
      </w:r>
      <w:r w:rsidR="00425383">
        <w:rPr>
          <w:rFonts w:cstheme="minorHAnsi"/>
        </w:rPr>
        <w:t>C</w:t>
      </w:r>
      <w:r w:rsidR="003B166E">
        <w:rPr>
          <w:rFonts w:cstheme="minorHAnsi"/>
        </w:rPr>
        <w:t>reativity.</w:t>
      </w:r>
    </w:p>
    <w:p w14:paraId="298F2B2D" w14:textId="77777777" w:rsidR="00425383" w:rsidRDefault="00425383" w:rsidP="008E646C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63D2C03E" w14:textId="190680FD" w:rsidR="00EE67BE" w:rsidRDefault="00EE67BE" w:rsidP="00843774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Two Lenses: Proficiency and Equity</w:t>
      </w:r>
    </w:p>
    <w:p w14:paraId="0C032DA6" w14:textId="7A2437D9" w:rsidR="00425383" w:rsidRPr="00CD407D" w:rsidRDefault="00425383" w:rsidP="00425383">
      <w:pPr>
        <w:spacing w:after="0"/>
      </w:pPr>
      <w:r>
        <w:t xml:space="preserve">Proficiency and equity serve as the foundation of the </w:t>
      </w:r>
      <w:r w:rsidR="00111A02">
        <w:t>Communities</w:t>
      </w:r>
      <w:r>
        <w:t xml:space="preserve"> Standards. The</w:t>
      </w:r>
      <w:r w:rsidR="00843774">
        <w:t xml:space="preserve"> </w:t>
      </w:r>
      <w:r w:rsidR="00FA462B">
        <w:t>S</w:t>
      </w:r>
      <w:r w:rsidR="00843774">
        <w:t>tandards</w:t>
      </w:r>
      <w:r>
        <w:t xml:space="preserve"> are organized by proficiency level according to the ACTFL Proficiency Guidelines, and they </w:t>
      </w:r>
      <w:r w:rsidR="006D772F">
        <w:t xml:space="preserve">are addressed by </w:t>
      </w:r>
      <w:r w:rsidR="00FC6349">
        <w:t xml:space="preserve">supporting students in building connections to the </w:t>
      </w:r>
      <w:r w:rsidR="00812CB3">
        <w:t xml:space="preserve">target </w:t>
      </w:r>
      <w:r w:rsidR="00FC6349">
        <w:t xml:space="preserve">language and </w:t>
      </w:r>
      <w:r w:rsidR="00812CB3">
        <w:t xml:space="preserve">members of diverse, multilingual </w:t>
      </w:r>
      <w:r w:rsidR="00FC6349">
        <w:t>communit</w:t>
      </w:r>
      <w:r w:rsidR="00812CB3">
        <w:t>ies</w:t>
      </w:r>
      <w:r>
        <w:t xml:space="preserve">. </w:t>
      </w:r>
      <w:r w:rsidR="009E6F04">
        <w:t xml:space="preserve">Specifically, they are designed to support students to use the target language </w:t>
      </w:r>
      <w:r w:rsidR="00812CB3">
        <w:t>over the course of their lives to take action and address complex issues facing the community</w:t>
      </w:r>
      <w:r w:rsidR="009E6F04">
        <w:t xml:space="preserve">. </w:t>
      </w:r>
      <w:r>
        <w:t xml:space="preserve">In terms of equity, the </w:t>
      </w:r>
      <w:r w:rsidR="00111A02">
        <w:t>Communities</w:t>
      </w:r>
      <w:r>
        <w:t xml:space="preserve"> Standards</w:t>
      </w:r>
      <w:r w:rsidRPr="00CD407D">
        <w:t xml:space="preserve"> center </w:t>
      </w:r>
      <w:r>
        <w:t>and affirm students’ identities</w:t>
      </w:r>
      <w:r w:rsidR="009F5D72">
        <w:t xml:space="preserve"> and </w:t>
      </w:r>
      <w:r w:rsidR="006A591D">
        <w:t>interests</w:t>
      </w:r>
      <w:r>
        <w:t xml:space="preserve">; </w:t>
      </w:r>
      <w:r w:rsidR="00695254">
        <w:t>encourage students to</w:t>
      </w:r>
      <w:r w:rsidR="00812CB3">
        <w:t xml:space="preserve"> use </w:t>
      </w:r>
      <w:r w:rsidR="00B032E5">
        <w:t xml:space="preserve">the language </w:t>
      </w:r>
      <w:r w:rsidR="00812CB3">
        <w:t>in ways that</w:t>
      </w:r>
      <w:r>
        <w:t xml:space="preserve"> carry significance for them</w:t>
      </w:r>
      <w:r w:rsidR="00087AF1">
        <w:t xml:space="preserve"> and help them become lifelong learners</w:t>
      </w:r>
      <w:r>
        <w:t xml:space="preserve">; </w:t>
      </w:r>
      <w:r w:rsidR="003D3FBA">
        <w:t>and</w:t>
      </w:r>
      <w:r>
        <w:t xml:space="preserve"> </w:t>
      </w:r>
      <w:r w:rsidR="00695254">
        <w:t>promote a deeper understanding of</w:t>
      </w:r>
      <w:r w:rsidR="00812CB3">
        <w:t xml:space="preserve"> and relationship with</w:t>
      </w:r>
      <w:r w:rsidR="00695254">
        <w:t xml:space="preserve"> </w:t>
      </w:r>
      <w:r w:rsidR="00C746A6">
        <w:t>target-language communities</w:t>
      </w:r>
      <w:r w:rsidR="00087AF1">
        <w:t>, including local communities and heritage cultures, as well as the community of their peers</w:t>
      </w:r>
      <w:r w:rsidR="00695254">
        <w:t>.</w:t>
      </w:r>
    </w:p>
    <w:p w14:paraId="3AD26FA7" w14:textId="77777777" w:rsidR="00EE67BE" w:rsidRPr="0023643E" w:rsidRDefault="00EE67BE" w:rsidP="00425383">
      <w:pPr>
        <w:spacing w:after="0"/>
        <w:jc w:val="center"/>
        <w:rPr>
          <w:rFonts w:cstheme="minorHAnsi"/>
        </w:rPr>
      </w:pPr>
    </w:p>
    <w:p w14:paraId="32087648" w14:textId="4FC53F1F" w:rsidR="00A961C3" w:rsidRPr="0031711B" w:rsidRDefault="0031711B" w:rsidP="00A961C3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22A5DA63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7A43E45F">
                <wp:extent cx="6804660" cy="4762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4762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8853E" w14:textId="651D1359" w:rsidR="0031711B" w:rsidRPr="003E3A90" w:rsidRDefault="002B611F" w:rsidP="00A961C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2" w:history="1">
                              <w:r w:rsidR="00C16692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 xml:space="preserve">ACTFL Resource on </w:t>
                              </w:r>
                              <w:r w:rsidR="003E3A90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 xml:space="preserve">Integrating </w:t>
                              </w:r>
                              <w:r w:rsidR="00111A02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Communities</w:t>
                              </w:r>
                              <w:r w:rsidR="003E3A90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 xml:space="preserve"> into Language Instruction</w:t>
                              </w:r>
                            </w:hyperlink>
                            <w:r w:rsidR="00C16692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53920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3" w:history="1">
                              <w:r w:rsidR="008564F8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Massachusetts Deeper Learning Initiative</w:t>
                              </w:r>
                            </w:hyperlink>
                            <w:r w:rsidR="008564F8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3E3A90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3E3A90" w:rsidRPr="00812CB3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4" w:history="1">
                              <w:r w:rsidR="002E5B29">
                                <w:rPr>
                                  <w:rStyle w:val="Hyperlink"/>
                                  <w:color w:val="FFFFFF" w:themeColor="background1"/>
                                </w:rPr>
                                <w:t>National Foreign Language Resource Center Resources for Project-Based Language Learning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27" style="width:535.8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" fillcolor="#0c7580" stroked="f" strokeweight="2pt">
                <v:textbox>
                  <w:txbxContent>
                    <w:p w14:paraId="06E8853E" w14:textId="651D1359" w:rsidR="0031711B" w:rsidRPr="003E3A90" w:rsidRDefault="002B611F" w:rsidP="00A961C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15" w:history="1">
                        <w:r w:rsidR="00C16692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 xml:space="preserve">ACTFL Resource on </w:t>
                        </w:r>
                        <w:r w:rsidR="003E3A90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 xml:space="preserve">Integrating </w:t>
                        </w:r>
                        <w:r w:rsidR="00111A02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Communities</w:t>
                        </w:r>
                        <w:r w:rsidR="003E3A90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 xml:space="preserve"> into Language Instruction</w:t>
                        </w:r>
                      </w:hyperlink>
                      <w:r w:rsidR="00C16692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F53920" w:rsidRPr="003E3A90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16" w:history="1">
                        <w:r w:rsidR="008564F8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Massachusetts Deeper Learning Initiative</w:t>
                        </w:r>
                      </w:hyperlink>
                      <w:r w:rsidR="008564F8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3E3A90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3E3A90" w:rsidRPr="00812CB3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17" w:history="1">
                        <w:r w:rsidR="002E5B29">
                          <w:rPr>
                            <w:rStyle w:val="Hyperlink"/>
                            <w:color w:val="FFFFFF" w:themeColor="background1"/>
                          </w:rPr>
                          <w:t>National Foreign Language Resource Center Resources for Project-Based Language Learning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E05EFB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720" w:bottom="108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C9DF" w14:textId="77777777" w:rsidR="00C90BB3" w:rsidRDefault="00C90BB3" w:rsidP="000636CE">
      <w:pPr>
        <w:spacing w:after="0" w:line="240" w:lineRule="auto"/>
      </w:pPr>
      <w:r>
        <w:separator/>
      </w:r>
    </w:p>
  </w:endnote>
  <w:endnote w:type="continuationSeparator" w:id="0">
    <w:p w14:paraId="155187AC" w14:textId="77777777" w:rsidR="00C90BB3" w:rsidRDefault="00C90BB3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B917" w14:textId="77777777" w:rsidR="00C90BB3" w:rsidRDefault="00C90BB3" w:rsidP="000636CE">
      <w:pPr>
        <w:spacing w:after="0" w:line="240" w:lineRule="auto"/>
      </w:pPr>
      <w:r>
        <w:separator/>
      </w:r>
    </w:p>
  </w:footnote>
  <w:footnote w:type="continuationSeparator" w:id="0">
    <w:p w14:paraId="2D88AB7E" w14:textId="77777777" w:rsidR="00C90BB3" w:rsidRDefault="00C90BB3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1660"/>
    <w:rsid w:val="000135E8"/>
    <w:rsid w:val="00023CD8"/>
    <w:rsid w:val="00044DEB"/>
    <w:rsid w:val="00054C2C"/>
    <w:rsid w:val="000568C3"/>
    <w:rsid w:val="000636CE"/>
    <w:rsid w:val="0007576F"/>
    <w:rsid w:val="00087AF1"/>
    <w:rsid w:val="00095F3A"/>
    <w:rsid w:val="000C3AA4"/>
    <w:rsid w:val="000D4F28"/>
    <w:rsid w:val="000E1043"/>
    <w:rsid w:val="000F324E"/>
    <w:rsid w:val="0010008B"/>
    <w:rsid w:val="00101079"/>
    <w:rsid w:val="00103612"/>
    <w:rsid w:val="00111A02"/>
    <w:rsid w:val="00114E5F"/>
    <w:rsid w:val="00116F25"/>
    <w:rsid w:val="00134CA8"/>
    <w:rsid w:val="0015304C"/>
    <w:rsid w:val="00153F1B"/>
    <w:rsid w:val="00160119"/>
    <w:rsid w:val="00166208"/>
    <w:rsid w:val="00170847"/>
    <w:rsid w:val="0017786B"/>
    <w:rsid w:val="001801F9"/>
    <w:rsid w:val="00180DA0"/>
    <w:rsid w:val="00196B9B"/>
    <w:rsid w:val="001A1750"/>
    <w:rsid w:val="001B0EFD"/>
    <w:rsid w:val="001F4DA6"/>
    <w:rsid w:val="001F5C94"/>
    <w:rsid w:val="002108C2"/>
    <w:rsid w:val="0022302E"/>
    <w:rsid w:val="00225592"/>
    <w:rsid w:val="00235A13"/>
    <w:rsid w:val="0023643E"/>
    <w:rsid w:val="002404C9"/>
    <w:rsid w:val="00251FDA"/>
    <w:rsid w:val="002526E4"/>
    <w:rsid w:val="00254B14"/>
    <w:rsid w:val="00267499"/>
    <w:rsid w:val="00285E84"/>
    <w:rsid w:val="00292D3D"/>
    <w:rsid w:val="002A7CD1"/>
    <w:rsid w:val="002B611F"/>
    <w:rsid w:val="002D06DC"/>
    <w:rsid w:val="002D4ADA"/>
    <w:rsid w:val="002E06F4"/>
    <w:rsid w:val="002E5B29"/>
    <w:rsid w:val="002E5CD0"/>
    <w:rsid w:val="0031711B"/>
    <w:rsid w:val="00332278"/>
    <w:rsid w:val="00335794"/>
    <w:rsid w:val="003400CE"/>
    <w:rsid w:val="00342DE7"/>
    <w:rsid w:val="00363D16"/>
    <w:rsid w:val="00375A57"/>
    <w:rsid w:val="003823D9"/>
    <w:rsid w:val="00382477"/>
    <w:rsid w:val="003B166E"/>
    <w:rsid w:val="003C6C75"/>
    <w:rsid w:val="003D3FBA"/>
    <w:rsid w:val="003E3A90"/>
    <w:rsid w:val="003E49F2"/>
    <w:rsid w:val="00402FE7"/>
    <w:rsid w:val="004064D1"/>
    <w:rsid w:val="00411B55"/>
    <w:rsid w:val="00413018"/>
    <w:rsid w:val="00413610"/>
    <w:rsid w:val="00425383"/>
    <w:rsid w:val="00456678"/>
    <w:rsid w:val="00461002"/>
    <w:rsid w:val="0048030D"/>
    <w:rsid w:val="00483961"/>
    <w:rsid w:val="004929CB"/>
    <w:rsid w:val="004945CB"/>
    <w:rsid w:val="00497AB4"/>
    <w:rsid w:val="00497BA5"/>
    <w:rsid w:val="004E2BCD"/>
    <w:rsid w:val="004E612C"/>
    <w:rsid w:val="004E6263"/>
    <w:rsid w:val="00500976"/>
    <w:rsid w:val="00503D58"/>
    <w:rsid w:val="00515812"/>
    <w:rsid w:val="005442EA"/>
    <w:rsid w:val="00565CC5"/>
    <w:rsid w:val="0058119D"/>
    <w:rsid w:val="005A6E52"/>
    <w:rsid w:val="005B0392"/>
    <w:rsid w:val="005D25F4"/>
    <w:rsid w:val="005F464C"/>
    <w:rsid w:val="006138AD"/>
    <w:rsid w:val="0062286C"/>
    <w:rsid w:val="0062742C"/>
    <w:rsid w:val="0067322F"/>
    <w:rsid w:val="00674118"/>
    <w:rsid w:val="00683790"/>
    <w:rsid w:val="00690BD3"/>
    <w:rsid w:val="00692AE8"/>
    <w:rsid w:val="00695254"/>
    <w:rsid w:val="006A591D"/>
    <w:rsid w:val="006B1E41"/>
    <w:rsid w:val="006C2130"/>
    <w:rsid w:val="006D57D4"/>
    <w:rsid w:val="006D772F"/>
    <w:rsid w:val="006F5DFC"/>
    <w:rsid w:val="007263CE"/>
    <w:rsid w:val="0074536F"/>
    <w:rsid w:val="00757F4F"/>
    <w:rsid w:val="00770FB7"/>
    <w:rsid w:val="00774D4E"/>
    <w:rsid w:val="007B761A"/>
    <w:rsid w:val="007C5DBD"/>
    <w:rsid w:val="007D6199"/>
    <w:rsid w:val="007D755F"/>
    <w:rsid w:val="007E4C0C"/>
    <w:rsid w:val="00804DFB"/>
    <w:rsid w:val="00812CB3"/>
    <w:rsid w:val="00815B5A"/>
    <w:rsid w:val="008164A8"/>
    <w:rsid w:val="008164B0"/>
    <w:rsid w:val="008348B4"/>
    <w:rsid w:val="00843774"/>
    <w:rsid w:val="008564F8"/>
    <w:rsid w:val="00864B1E"/>
    <w:rsid w:val="00892DB0"/>
    <w:rsid w:val="008933E6"/>
    <w:rsid w:val="008E056C"/>
    <w:rsid w:val="008E646C"/>
    <w:rsid w:val="00900EFD"/>
    <w:rsid w:val="00932A8C"/>
    <w:rsid w:val="00945322"/>
    <w:rsid w:val="00960ABF"/>
    <w:rsid w:val="009665E1"/>
    <w:rsid w:val="009744BC"/>
    <w:rsid w:val="00987916"/>
    <w:rsid w:val="009B129F"/>
    <w:rsid w:val="009B6CAB"/>
    <w:rsid w:val="009C4FB7"/>
    <w:rsid w:val="009D403A"/>
    <w:rsid w:val="009D6D88"/>
    <w:rsid w:val="009E4AA0"/>
    <w:rsid w:val="009E6F04"/>
    <w:rsid w:val="009F3826"/>
    <w:rsid w:val="009F38A6"/>
    <w:rsid w:val="009F4469"/>
    <w:rsid w:val="009F5D72"/>
    <w:rsid w:val="00A155F0"/>
    <w:rsid w:val="00A318C9"/>
    <w:rsid w:val="00A35269"/>
    <w:rsid w:val="00A42B31"/>
    <w:rsid w:val="00A43FFC"/>
    <w:rsid w:val="00A65C91"/>
    <w:rsid w:val="00A8130B"/>
    <w:rsid w:val="00A961C3"/>
    <w:rsid w:val="00AB19FB"/>
    <w:rsid w:val="00AB58F1"/>
    <w:rsid w:val="00AC297C"/>
    <w:rsid w:val="00AD3A80"/>
    <w:rsid w:val="00AF222E"/>
    <w:rsid w:val="00AF66BA"/>
    <w:rsid w:val="00B006D5"/>
    <w:rsid w:val="00B0227D"/>
    <w:rsid w:val="00B032E5"/>
    <w:rsid w:val="00B07E33"/>
    <w:rsid w:val="00B17E48"/>
    <w:rsid w:val="00B62E85"/>
    <w:rsid w:val="00B813C0"/>
    <w:rsid w:val="00B96DCA"/>
    <w:rsid w:val="00B97163"/>
    <w:rsid w:val="00BB67BF"/>
    <w:rsid w:val="00BC2549"/>
    <w:rsid w:val="00BE4EE9"/>
    <w:rsid w:val="00C03F1B"/>
    <w:rsid w:val="00C07020"/>
    <w:rsid w:val="00C12EC1"/>
    <w:rsid w:val="00C1481E"/>
    <w:rsid w:val="00C16692"/>
    <w:rsid w:val="00C32B0F"/>
    <w:rsid w:val="00C42DE7"/>
    <w:rsid w:val="00C65CA4"/>
    <w:rsid w:val="00C67C43"/>
    <w:rsid w:val="00C71929"/>
    <w:rsid w:val="00C729CC"/>
    <w:rsid w:val="00C746A6"/>
    <w:rsid w:val="00C804CD"/>
    <w:rsid w:val="00C90BB3"/>
    <w:rsid w:val="00CA2C27"/>
    <w:rsid w:val="00CD346E"/>
    <w:rsid w:val="00CD4134"/>
    <w:rsid w:val="00CF2B3A"/>
    <w:rsid w:val="00CF309C"/>
    <w:rsid w:val="00D01DC0"/>
    <w:rsid w:val="00D028C4"/>
    <w:rsid w:val="00D13FA6"/>
    <w:rsid w:val="00D374D5"/>
    <w:rsid w:val="00D47002"/>
    <w:rsid w:val="00D552BE"/>
    <w:rsid w:val="00D727EC"/>
    <w:rsid w:val="00D8688C"/>
    <w:rsid w:val="00D96526"/>
    <w:rsid w:val="00D96F30"/>
    <w:rsid w:val="00DE3523"/>
    <w:rsid w:val="00DF65F0"/>
    <w:rsid w:val="00E008F2"/>
    <w:rsid w:val="00E00CB2"/>
    <w:rsid w:val="00E05EFB"/>
    <w:rsid w:val="00E34FC8"/>
    <w:rsid w:val="00E4426A"/>
    <w:rsid w:val="00E5550C"/>
    <w:rsid w:val="00E57E8C"/>
    <w:rsid w:val="00E72085"/>
    <w:rsid w:val="00E721CE"/>
    <w:rsid w:val="00E8759D"/>
    <w:rsid w:val="00E955F7"/>
    <w:rsid w:val="00EB20A4"/>
    <w:rsid w:val="00EB3E2B"/>
    <w:rsid w:val="00EE67BE"/>
    <w:rsid w:val="00EF098E"/>
    <w:rsid w:val="00EF64F0"/>
    <w:rsid w:val="00F1096E"/>
    <w:rsid w:val="00F34BA0"/>
    <w:rsid w:val="00F44945"/>
    <w:rsid w:val="00F53920"/>
    <w:rsid w:val="00F55671"/>
    <w:rsid w:val="00F96465"/>
    <w:rsid w:val="00FA462B"/>
    <w:rsid w:val="00FC6349"/>
    <w:rsid w:val="00FD7C3E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Revision">
    <w:name w:val="Revision"/>
    <w:hidden/>
    <w:uiPriority w:val="99"/>
    <w:semiHidden/>
    <w:rsid w:val="0016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oe.mass.edu/kaleidoscope/overview.htm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actfl.org/sites/default/files/publications/standards/Communities.pdf" TargetMode="External"/><Relationship Id="rId17" Type="http://schemas.openxmlformats.org/officeDocument/2006/relationships/hyperlink" Target="https://nflrc.hawaii.edu/projects/view/2014a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kaleidoscope/overview.html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actfl.org/sites/default/files/publications/standards/Communities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nflrc.hawaii.edu/projects/view/2014a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Props1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556</Words>
  <Characters>3181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14 Summary</dc:title>
  <dc:subject/>
  <dc:creator>DESE</dc:creator>
  <cp:keywords/>
  <dc:description/>
  <cp:lastModifiedBy>Zou, Dong (EOE)</cp:lastModifiedBy>
  <cp:revision>4</cp:revision>
  <cp:lastPrinted>2020-12-16T16:02:00Z</cp:lastPrinted>
  <dcterms:created xsi:type="dcterms:W3CDTF">2022-06-03T16:08:00Z</dcterms:created>
  <dcterms:modified xsi:type="dcterms:W3CDTF">2022-08-01T17:54:00Z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2022</vt:lpwstr>
  </property>
</Properties>
</file>