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A15F" w14:textId="0A5A27D1" w:rsidR="0031711B" w:rsidRDefault="0031711B" w:rsidP="00647C77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>Module 2: The Framework Through the Lens of Proficiency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22D13A17">
                <wp:extent cx="6804660" cy="548640"/>
                <wp:effectExtent l="0" t="0" r="0" b="381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4864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31494040" w:rsidR="000636CE" w:rsidRDefault="00FA7A2D" w:rsidP="00286D54">
                            <w:r>
                              <w:t>This module provides an overview of the Framework through the lens of proficiency</w:t>
                            </w:r>
                            <w:r w:rsidR="00286D54">
                              <w:t xml:space="preserve">, discussing </w:t>
                            </w:r>
                            <w:r w:rsidR="00286D54" w:rsidRPr="00286D54">
                              <w:t>proficiency-based approaches to language teaching and highlight</w:t>
                            </w:r>
                            <w:r w:rsidR="00286D54">
                              <w:t>ing</w:t>
                            </w:r>
                            <w:r w:rsidR="00286D54" w:rsidRPr="00286D54">
                              <w:t xml:space="preserve"> ways in which proficiency is addressed through the Framework.</w:t>
                            </w:r>
                          </w:p>
                          <w:p w14:paraId="1AE9DAEE" w14:textId="77777777" w:rsidR="00286D54" w:rsidRDefault="00286D54" w:rsidP="00FA7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" fillcolor="#0c7580" stroked="f" strokeweight="2pt">
                <v:textbox>
                  <w:txbxContent>
                    <w:p w14:paraId="2C3B6029" w14:textId="31494040" w:rsidR="000636CE" w:rsidRDefault="00FA7A2D" w:rsidP="00286D54">
                      <w:r>
                        <w:t>This module provides an overview of the Framework through the lens of proficiency</w:t>
                      </w:r>
                      <w:r w:rsidR="00286D54">
                        <w:t xml:space="preserve">, discussing </w:t>
                      </w:r>
                      <w:r w:rsidR="00286D54" w:rsidRPr="00286D54">
                        <w:t>proficiency-based approaches to language teaching and highlight</w:t>
                      </w:r>
                      <w:r w:rsidR="00286D54">
                        <w:t>ing</w:t>
                      </w:r>
                      <w:r w:rsidR="00286D54" w:rsidRPr="00286D54">
                        <w:t xml:space="preserve"> ways in which proficiency is addressed through the Framework.</w:t>
                      </w:r>
                    </w:p>
                    <w:p w14:paraId="1AE9DAEE" w14:textId="77777777" w:rsidR="00286D54" w:rsidRDefault="00286D54" w:rsidP="00FA7A2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2502F9" w14:textId="77777777" w:rsidR="00286D54" w:rsidRDefault="00286D54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BA85228" w14:textId="7E5BC86D" w:rsidR="000636CE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Proficiency</w:t>
      </w:r>
    </w:p>
    <w:p w14:paraId="4BC7CA21" w14:textId="1406A302" w:rsidR="0031711B" w:rsidRDefault="00E766A2" w:rsidP="00EB3E2B">
      <w:pPr>
        <w:spacing w:after="0"/>
        <w:rPr>
          <w:rFonts w:cstheme="minorHAnsi"/>
        </w:rPr>
      </w:pPr>
      <w:r w:rsidRPr="00E766A2">
        <w:rPr>
          <w:noProof/>
        </w:rPr>
        <w:drawing>
          <wp:anchor distT="0" distB="0" distL="114300" distR="114300" simplePos="0" relativeHeight="251658240" behindDoc="1" locked="0" layoutInCell="1" allowOverlap="1" wp14:anchorId="02A9E576" wp14:editId="58954211">
            <wp:simplePos x="0" y="0"/>
            <wp:positionH relativeFrom="column">
              <wp:posOffset>3956050</wp:posOffset>
            </wp:positionH>
            <wp:positionV relativeFrom="paragraph">
              <wp:posOffset>43180</wp:posOffset>
            </wp:positionV>
            <wp:extent cx="2816225" cy="2100580"/>
            <wp:effectExtent l="38100" t="38100" r="41275" b="3302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100580"/>
                    </a:xfrm>
                    <a:prstGeom prst="rect">
                      <a:avLst/>
                    </a:prstGeom>
                    <a:ln w="28575">
                      <a:solidFill>
                        <a:srgbClr val="0C758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D54">
        <w:rPr>
          <w:rFonts w:cstheme="minorHAnsi"/>
        </w:rPr>
        <w:t>Th</w:t>
      </w:r>
      <w:r w:rsidR="00E5433E">
        <w:rPr>
          <w:rFonts w:cstheme="minorHAnsi"/>
        </w:rPr>
        <w:t>is part o</w:t>
      </w:r>
      <w:r w:rsidR="00286D54">
        <w:rPr>
          <w:rFonts w:cstheme="minorHAnsi"/>
        </w:rPr>
        <w:t xml:space="preserve">f the module defines proficiency and explains why it is important for world language education. </w:t>
      </w:r>
      <w:r w:rsidR="00286D54" w:rsidRPr="00286D54">
        <w:rPr>
          <w:rFonts w:cstheme="minorHAnsi"/>
        </w:rPr>
        <w:t>World language proficiency is defined as the ability to use a language in real-world situations in spontaneous</w:t>
      </w:r>
      <w:r w:rsidR="00286D54">
        <w:rPr>
          <w:rFonts w:cstheme="minorHAnsi"/>
        </w:rPr>
        <w:t xml:space="preserve">, </w:t>
      </w:r>
      <w:r w:rsidR="00286D54" w:rsidRPr="00286D54">
        <w:rPr>
          <w:rFonts w:cstheme="minorHAnsi"/>
        </w:rPr>
        <w:t>non-rehearsed context</w:t>
      </w:r>
      <w:r w:rsidR="00286D54">
        <w:rPr>
          <w:rFonts w:cstheme="minorHAnsi"/>
        </w:rPr>
        <w:t>s</w:t>
      </w:r>
      <w:r w:rsidR="001242D9">
        <w:rPr>
          <w:rFonts w:cstheme="minorHAnsi"/>
        </w:rPr>
        <w:t xml:space="preserve">, and </w:t>
      </w:r>
      <w:r w:rsidR="00286D54" w:rsidRPr="00286D54">
        <w:rPr>
          <w:rFonts w:cstheme="minorHAnsi"/>
        </w:rPr>
        <w:t xml:space="preserve">learners are </w:t>
      </w:r>
      <w:r w:rsidR="001242D9">
        <w:rPr>
          <w:rFonts w:cstheme="minorHAnsi"/>
        </w:rPr>
        <w:t xml:space="preserve">also </w:t>
      </w:r>
      <w:r w:rsidR="00286D54" w:rsidRPr="00286D54">
        <w:rPr>
          <w:rFonts w:cstheme="minorHAnsi"/>
        </w:rPr>
        <w:t xml:space="preserve">expected to acquire cultural proficiency to effectively communicate in the language and interact with target-language cultures in an increasingly </w:t>
      </w:r>
      <w:r w:rsidR="00AA09F0">
        <w:rPr>
          <w:rFonts w:cstheme="minorHAnsi"/>
        </w:rPr>
        <w:t xml:space="preserve">interconnected </w:t>
      </w:r>
      <w:r w:rsidR="00286D54" w:rsidRPr="00286D54">
        <w:rPr>
          <w:rFonts w:cstheme="minorHAnsi"/>
        </w:rPr>
        <w:t>world.</w:t>
      </w:r>
      <w:r w:rsidR="00286D54">
        <w:rPr>
          <w:rFonts w:cstheme="minorHAnsi"/>
        </w:rPr>
        <w:t xml:space="preserve"> Proficiency in more than one language </w:t>
      </w:r>
      <w:r w:rsidR="00A923B4">
        <w:rPr>
          <w:rFonts w:cstheme="minorHAnsi"/>
        </w:rPr>
        <w:t xml:space="preserve">has </w:t>
      </w:r>
      <w:r w:rsidR="00063258">
        <w:rPr>
          <w:rFonts w:cstheme="minorHAnsi"/>
        </w:rPr>
        <w:t xml:space="preserve">multiple cognitive benefits </w:t>
      </w:r>
      <w:r w:rsidR="00A923B4">
        <w:rPr>
          <w:rFonts w:cstheme="minorHAnsi"/>
        </w:rPr>
        <w:t xml:space="preserve">and it helps students gain important insights into peoples, cultures, and communities that allow them to critically and empathetically view and respond to the world around them. </w:t>
      </w:r>
      <w:r w:rsidR="00063258">
        <w:rPr>
          <w:rFonts w:cstheme="minorHAnsi"/>
        </w:rPr>
        <w:t>Students</w:t>
      </w:r>
      <w:r w:rsidR="00A923B4">
        <w:rPr>
          <w:rFonts w:cstheme="minorHAnsi"/>
        </w:rPr>
        <w:t xml:space="preserve"> acquire proficiency </w:t>
      </w:r>
      <w:r w:rsidR="00AA0DC1">
        <w:rPr>
          <w:rFonts w:cstheme="minorHAnsi"/>
        </w:rPr>
        <w:t>primarily by engaging with comprehensible input</w:t>
      </w:r>
      <w:r w:rsidR="005C08A8">
        <w:rPr>
          <w:rFonts w:cstheme="minorHAnsi"/>
        </w:rPr>
        <w:t xml:space="preserve">. </w:t>
      </w:r>
      <w:r w:rsidR="004859BB">
        <w:rPr>
          <w:rFonts w:cstheme="minorHAnsi"/>
        </w:rPr>
        <w:t xml:space="preserve">Learners acquire proficiency in </w:t>
      </w:r>
      <w:r w:rsidR="00A923B4">
        <w:rPr>
          <w:rFonts w:cstheme="minorHAnsi"/>
        </w:rPr>
        <w:t xml:space="preserve">different ways and at different rates depending on a variety of factors, </w:t>
      </w:r>
      <w:r w:rsidR="00A923B4" w:rsidRPr="00A923B4">
        <w:rPr>
          <w:rFonts w:cstheme="minorHAnsi"/>
        </w:rPr>
        <w:t xml:space="preserve">including (but not limited to) students’ age and grade levels, the type of language program offered, the nearness and familiarity of the language, </w:t>
      </w:r>
      <w:r w:rsidR="00063258">
        <w:rPr>
          <w:rFonts w:cstheme="minorHAnsi"/>
        </w:rPr>
        <w:t xml:space="preserve">and </w:t>
      </w:r>
      <w:r w:rsidR="00A923B4" w:rsidRPr="00A923B4">
        <w:rPr>
          <w:rFonts w:cstheme="minorHAnsi"/>
        </w:rPr>
        <w:t>the amount of time students have been interacting with the language</w:t>
      </w:r>
      <w:r w:rsidR="00063258">
        <w:rPr>
          <w:rFonts w:cstheme="minorHAnsi"/>
        </w:rPr>
        <w:t>.</w:t>
      </w:r>
      <w:r w:rsidRPr="00E766A2">
        <w:rPr>
          <w:noProof/>
        </w:rPr>
        <w:t xml:space="preserve"> </w:t>
      </w:r>
    </w:p>
    <w:p w14:paraId="5194FC82" w14:textId="77777777" w:rsidR="00A923B4" w:rsidRPr="00A923B4" w:rsidRDefault="00A923B4" w:rsidP="00EB3E2B">
      <w:pPr>
        <w:spacing w:after="0"/>
        <w:rPr>
          <w:rFonts w:cstheme="minorHAnsi"/>
        </w:rPr>
      </w:pPr>
    </w:p>
    <w:p w14:paraId="49801E4D" w14:textId="660647F8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Proficiency-Based Language Teaching</w:t>
      </w:r>
    </w:p>
    <w:p w14:paraId="43E9C748" w14:textId="740122CE" w:rsidR="0031711B" w:rsidRPr="008B45AB" w:rsidRDefault="00A078B5" w:rsidP="0028648A">
      <w:pPr>
        <w:spacing w:after="0"/>
        <w:rPr>
          <w:rFonts w:cstheme="minorHAnsi"/>
        </w:rPr>
      </w:pPr>
      <w:r>
        <w:rPr>
          <w:rFonts w:cstheme="minorHAnsi"/>
        </w:rPr>
        <w:t>Th</w:t>
      </w:r>
      <w:r w:rsidR="00E5433E">
        <w:rPr>
          <w:rFonts w:cstheme="minorHAnsi"/>
        </w:rPr>
        <w:t>is</w:t>
      </w:r>
      <w:r>
        <w:rPr>
          <w:rFonts w:cstheme="minorHAnsi"/>
        </w:rPr>
        <w:t xml:space="preserve"> part of the module provides information about how you can use proficiency to guide instruction. </w:t>
      </w:r>
      <w:r w:rsidR="00A923B4" w:rsidRPr="00A923B4">
        <w:rPr>
          <w:rFonts w:cstheme="minorHAnsi"/>
        </w:rPr>
        <w:t xml:space="preserve">Proficiency-based language teaching is a framework for language teaching. It is not a methodology, as you can and should use various instructional methods and activities that are best suited to your </w:t>
      </w:r>
      <w:r w:rsidR="00A923B4">
        <w:rPr>
          <w:rFonts w:cstheme="minorHAnsi"/>
        </w:rPr>
        <w:t>teaching style, your students, and your classroom</w:t>
      </w:r>
      <w:r w:rsidR="00A923B4" w:rsidRPr="00A923B4">
        <w:rPr>
          <w:rFonts w:cstheme="minorHAnsi"/>
        </w:rPr>
        <w:t>. This a</w:t>
      </w:r>
      <w:r w:rsidR="008B45AB">
        <w:rPr>
          <w:rFonts w:cstheme="minorHAnsi"/>
        </w:rPr>
        <w:t>daptive, student-centered a</w:t>
      </w:r>
      <w:r w:rsidR="00A923B4" w:rsidRPr="00A923B4">
        <w:rPr>
          <w:rFonts w:cstheme="minorHAnsi"/>
        </w:rPr>
        <w:t>pproach to language teaching is a way of framing language learning with the overall goal of our students being able to communicate meaningfully and appropriately for real-life purposes</w:t>
      </w:r>
      <w:r w:rsidR="008B45AB">
        <w:rPr>
          <w:rFonts w:cstheme="minorHAnsi"/>
        </w:rPr>
        <w:t xml:space="preserve">. </w:t>
      </w:r>
      <w:r w:rsidR="00E5433E">
        <w:rPr>
          <w:rFonts w:cstheme="minorHAnsi"/>
        </w:rPr>
        <w:t xml:space="preserve">To </w:t>
      </w:r>
      <w:r w:rsidR="00A923B4">
        <w:rPr>
          <w:rFonts w:cstheme="minorHAnsi"/>
        </w:rPr>
        <w:t>use this approach</w:t>
      </w:r>
      <w:r w:rsidR="008B45AB">
        <w:rPr>
          <w:rFonts w:cstheme="minorHAnsi"/>
        </w:rPr>
        <w:t xml:space="preserve">, </w:t>
      </w:r>
      <w:r w:rsidR="008B45AB" w:rsidRPr="008B45AB">
        <w:rPr>
          <w:rFonts w:cstheme="minorHAnsi"/>
        </w:rPr>
        <w:t xml:space="preserve">it is important to get to know your students, create appropriate goals, </w:t>
      </w:r>
      <w:r w:rsidR="00E5433E">
        <w:rPr>
          <w:rFonts w:cstheme="minorHAnsi"/>
        </w:rPr>
        <w:t xml:space="preserve">and </w:t>
      </w:r>
      <w:r w:rsidR="008B45AB" w:rsidRPr="008B45AB">
        <w:rPr>
          <w:rFonts w:cstheme="minorHAnsi"/>
        </w:rPr>
        <w:t xml:space="preserve">assess </w:t>
      </w:r>
      <w:r w:rsidR="0028648A">
        <w:rPr>
          <w:rFonts w:cstheme="minorHAnsi"/>
        </w:rPr>
        <w:t xml:space="preserve">your </w:t>
      </w:r>
      <w:r w:rsidR="008B45AB" w:rsidRPr="008B45AB">
        <w:rPr>
          <w:rFonts w:cstheme="minorHAnsi"/>
        </w:rPr>
        <w:t>students over time.</w:t>
      </w:r>
      <w:r w:rsidR="0028648A">
        <w:rPr>
          <w:rFonts w:cstheme="minorHAnsi"/>
        </w:rPr>
        <w:t xml:space="preserve"> High-leverage teaching practices, commonly referred to as the ACTFL Core Practices, are </w:t>
      </w:r>
      <w:r w:rsidR="00E5433E">
        <w:rPr>
          <w:rFonts w:cstheme="minorHAnsi"/>
        </w:rPr>
        <w:t>recommended</w:t>
      </w:r>
      <w:r w:rsidR="00E766A2">
        <w:rPr>
          <w:rFonts w:cstheme="minorHAnsi"/>
        </w:rPr>
        <w:t>.</w:t>
      </w:r>
    </w:p>
    <w:p w14:paraId="40093CD9" w14:textId="3D702AF9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17412EA1" w14:textId="7A0201D6" w:rsidR="0031711B" w:rsidRDefault="0031711B" w:rsidP="0031711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Proficiency and the Framewor</w:t>
      </w:r>
      <w:r w:rsidR="00F1096E">
        <w:rPr>
          <w:rFonts w:ascii="Georgia" w:hAnsi="Georgia"/>
          <w:color w:val="0C7580"/>
          <w:sz w:val="28"/>
          <w:szCs w:val="28"/>
        </w:rPr>
        <w:t>k</w:t>
      </w:r>
    </w:p>
    <w:p w14:paraId="319BCF24" w14:textId="17F347BB" w:rsidR="00E766A2" w:rsidRDefault="008B45AB" w:rsidP="0031711B">
      <w:pPr>
        <w:spacing w:after="0"/>
        <w:rPr>
          <w:rFonts w:cstheme="minorHAnsi"/>
        </w:rPr>
      </w:pPr>
      <w:r w:rsidRPr="008B45AB">
        <w:rPr>
          <w:rFonts w:cstheme="minorHAnsi"/>
        </w:rPr>
        <w:t>Th</w:t>
      </w:r>
      <w:r w:rsidR="00E5433E">
        <w:rPr>
          <w:rFonts w:cstheme="minorHAnsi"/>
        </w:rPr>
        <w:t>is p</w:t>
      </w:r>
      <w:r w:rsidR="00A078B5">
        <w:rPr>
          <w:rFonts w:cstheme="minorHAnsi"/>
        </w:rPr>
        <w:t>art of the module explains how the</w:t>
      </w:r>
      <w:r w:rsidRPr="008B45AB">
        <w:rPr>
          <w:rFonts w:cstheme="minorHAnsi"/>
        </w:rPr>
        <w:t xml:space="preserve"> Framework supports proficiency-based language teaching by </w:t>
      </w:r>
      <w:r w:rsidR="00CA0BD2">
        <w:rPr>
          <w:rFonts w:cstheme="minorHAnsi"/>
        </w:rPr>
        <w:t xml:space="preserve">providing standards </w:t>
      </w:r>
      <w:r w:rsidRPr="008B45AB">
        <w:rPr>
          <w:rFonts w:cstheme="minorHAnsi"/>
        </w:rPr>
        <w:t xml:space="preserve">aligned to the national ACTFL standards and proficiency </w:t>
      </w:r>
      <w:r w:rsidR="00E766A2" w:rsidRPr="008B45AB">
        <w:rPr>
          <w:rFonts w:cstheme="minorHAnsi"/>
        </w:rPr>
        <w:t>levels and</w:t>
      </w:r>
      <w:r w:rsidRPr="008B45AB">
        <w:rPr>
          <w:rFonts w:cstheme="minorHAnsi"/>
        </w:rPr>
        <w:t xml:space="preserve"> supporting districts to design programs in which students meet or exceed the high levels of proficiency to obtain the Massachusetts Seal of Biliteracy.</w:t>
      </w:r>
      <w:r>
        <w:rPr>
          <w:rFonts w:cstheme="minorHAnsi"/>
        </w:rPr>
        <w:t xml:space="preserve"> Specific supports include recommended topics for different proficiency levels, a list of high-leverage teaching practices, and guidance on determining proficiency outcomes for different types of courses.</w:t>
      </w:r>
    </w:p>
    <w:p w14:paraId="6B13945E" w14:textId="77777777" w:rsidR="00B72335" w:rsidRPr="0028648A" w:rsidRDefault="00B72335" w:rsidP="0031711B">
      <w:pPr>
        <w:spacing w:after="0"/>
        <w:rPr>
          <w:rFonts w:cstheme="minorHAnsi"/>
        </w:rPr>
      </w:pPr>
    </w:p>
    <w:p w14:paraId="07CA4150" w14:textId="62F8101C" w:rsidR="0031711B" w:rsidRPr="0031711B" w:rsidRDefault="0031711B" w:rsidP="0031711B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144FD903" w:rsidR="0031711B" w:rsidRPr="00F1096E" w:rsidRDefault="008B45A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5644F56C" wp14:editId="509F4D1A">
                <wp:extent cx="6711950" cy="7048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7048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A7C15" w14:textId="7943DB8A" w:rsidR="005C7DB5" w:rsidRPr="00E5433E" w:rsidRDefault="006D0597" w:rsidP="001C0E5C">
                            <w:pPr>
                              <w:spacing w:after="0" w:line="240" w:lineRule="auto"/>
                              <w:jc w:val="center"/>
                            </w:pPr>
                            <w:hyperlink r:id="rId13" w:history="1">
                              <w:r w:rsidR="005C7DB5" w:rsidRPr="00E5433E">
                                <w:rPr>
                                  <w:rStyle w:val="Hyperlink"/>
                                  <w:color w:val="auto"/>
                                </w:rPr>
                                <w:t>ACTFL Core Practices</w:t>
                              </w:r>
                            </w:hyperlink>
                            <w:r w:rsidR="001242D9">
                              <w:t xml:space="preserve"> </w:t>
                            </w:r>
                            <w:r w:rsidR="001242D9">
                              <w:rPr>
                                <w:rFonts w:cstheme="minorHAnsi"/>
                              </w:rPr>
                              <w:t>•</w:t>
                            </w:r>
                            <w:r w:rsidR="005C7DB5" w:rsidRPr="00E5433E">
                              <w:t xml:space="preserve"> </w:t>
                            </w:r>
                            <w:hyperlink r:id="rId14" w:history="1">
                              <w:r w:rsidR="005C7DB5" w:rsidRPr="00E5433E">
                                <w:rPr>
                                  <w:rStyle w:val="Hyperlink"/>
                                  <w:color w:val="auto"/>
                                </w:rPr>
                                <w:t>ACTFL Performance Descriptors</w:t>
                              </w:r>
                            </w:hyperlink>
                            <w:r w:rsidR="001242D9">
                              <w:t xml:space="preserve"> </w:t>
                            </w:r>
                            <w:r w:rsidR="004B4280">
                              <w:rPr>
                                <w:rFonts w:cstheme="minorHAnsi"/>
                              </w:rPr>
                              <w:t xml:space="preserve">• </w:t>
                            </w:r>
                            <w:hyperlink r:id="rId15" w:history="1">
                              <w:r w:rsidR="008B45AB" w:rsidRPr="00E5433E">
                                <w:rPr>
                                  <w:rStyle w:val="Hyperlink"/>
                                  <w:color w:val="auto"/>
                                </w:rPr>
                                <w:t>ACTFL Proficiency Guidelines</w:t>
                              </w:r>
                            </w:hyperlink>
                            <w:r w:rsidR="001242D9">
                              <w:t xml:space="preserve"> </w:t>
                            </w:r>
                            <w:r w:rsidR="001242D9">
                              <w:rPr>
                                <w:rFonts w:cstheme="minorHAnsi"/>
                              </w:rPr>
                              <w:t>•</w:t>
                            </w:r>
                            <w:r w:rsidR="005C7DB5" w:rsidRPr="00E5433E">
                              <w:t xml:space="preserve"> </w:t>
                            </w:r>
                            <w:hyperlink r:id="rId16" w:history="1">
                              <w:r w:rsidR="005C7DB5" w:rsidRPr="00E5433E">
                                <w:rPr>
                                  <w:rStyle w:val="Hyperlink"/>
                                  <w:color w:val="auto"/>
                                </w:rPr>
                                <w:t>NCSSFL-ACTFL Can-Do Statements</w:t>
                              </w:r>
                            </w:hyperlink>
                            <w:r w:rsidR="001242D9">
                              <w:t xml:space="preserve"> </w:t>
                            </w:r>
                            <w:r w:rsidR="001242D9">
                              <w:rPr>
                                <w:rFonts w:cstheme="minorHAnsi"/>
                              </w:rPr>
                              <w:t>•</w:t>
                            </w:r>
                            <w:r w:rsidR="0028648A" w:rsidRPr="00E5433E">
                              <w:t xml:space="preserve"> </w:t>
                            </w:r>
                            <w:hyperlink r:id="rId17" w:history="1">
                              <w:r w:rsidR="005C7DB5" w:rsidRPr="00E5433E">
                                <w:rPr>
                                  <w:rStyle w:val="Hyperlink"/>
                                  <w:color w:val="auto"/>
                                </w:rPr>
                                <w:t>CARLA P</w:t>
                              </w:r>
                              <w:r w:rsidR="003C49EA">
                                <w:rPr>
                                  <w:rStyle w:val="Hyperlink"/>
                                  <w:color w:val="auto"/>
                                </w:rPr>
                                <w:t>roficiency-Oriented Language Instruction and Assessment</w:t>
                              </w:r>
                              <w:r w:rsidR="005C7DB5" w:rsidRPr="00E5433E">
                                <w:rPr>
                                  <w:rStyle w:val="Hyperlink"/>
                                  <w:color w:val="auto"/>
                                </w:rPr>
                                <w:t xml:space="preserve"> Handbook</w:t>
                              </w:r>
                            </w:hyperlink>
                            <w:r w:rsidR="001242D9">
                              <w:t xml:space="preserve"> </w:t>
                            </w:r>
                            <w:r w:rsidR="001242D9">
                              <w:rPr>
                                <w:rFonts w:cstheme="minorHAnsi"/>
                              </w:rPr>
                              <w:t>•</w:t>
                            </w:r>
                            <w:r w:rsidR="0028648A" w:rsidRPr="00E5433E">
                              <w:t xml:space="preserve"> </w:t>
                            </w:r>
                            <w:hyperlink r:id="rId18" w:history="1">
                              <w:r w:rsidR="00B72335" w:rsidRPr="00B72335">
                                <w:rPr>
                                  <w:rStyle w:val="Hyperlink"/>
                                  <w:color w:val="FFFFFF" w:themeColor="background1"/>
                                </w:rPr>
                                <w:t>MaFLA Programming</w:t>
                              </w:r>
                            </w:hyperlink>
                            <w:r w:rsidR="00B72335" w:rsidRPr="00B7233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72335">
                              <w:rPr>
                                <w:rFonts w:cstheme="minorHAnsi"/>
                              </w:rPr>
                              <w:t>•</w:t>
                            </w:r>
                            <w:r w:rsidR="00B72335">
                              <w:t xml:space="preserve"> </w:t>
                            </w:r>
                            <w:hyperlink r:id="rId19" w:history="1">
                              <w:r w:rsidR="0028648A" w:rsidRPr="00E5433E">
                                <w:rPr>
                                  <w:rStyle w:val="Hyperlink"/>
                                  <w:color w:val="auto"/>
                                </w:rPr>
                                <w:t>Massachusetts World Languages Curriculum Framework</w:t>
                              </w:r>
                            </w:hyperlink>
                            <w:r w:rsidR="003A6257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  <w:r w:rsidR="003A6257">
                              <w:rPr>
                                <w:rFonts w:cstheme="minorHAnsi"/>
                              </w:rPr>
                              <w:t>•</w:t>
                            </w:r>
                            <w:r w:rsidR="003A6257" w:rsidRPr="00744B44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  <w:hyperlink r:id="rId20" w:history="1">
                              <w:r w:rsidR="003A6257" w:rsidRPr="00744B44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Massachusetts World Languages Leadership Network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4F56C" id="Rectangle 1" o:spid="_x0000_s1027" style="width:528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" fillcolor="#0c7580" stroked="f" strokeweight="2pt">
                <v:textbox>
                  <w:txbxContent>
                    <w:p w14:paraId="4DCA7C15" w14:textId="7943DB8A" w:rsidR="005C7DB5" w:rsidRPr="00E5433E" w:rsidRDefault="006D0597" w:rsidP="001C0E5C">
                      <w:pPr>
                        <w:spacing w:after="0" w:line="240" w:lineRule="auto"/>
                        <w:jc w:val="center"/>
                      </w:pPr>
                      <w:hyperlink r:id="rId21" w:history="1">
                        <w:r w:rsidR="005C7DB5" w:rsidRPr="00E5433E">
                          <w:rPr>
                            <w:rStyle w:val="Hyperlink"/>
                            <w:color w:val="auto"/>
                          </w:rPr>
                          <w:t>ACTFL Core Practices</w:t>
                        </w:r>
                      </w:hyperlink>
                      <w:r w:rsidR="001242D9">
                        <w:t xml:space="preserve"> </w:t>
                      </w:r>
                      <w:r w:rsidR="001242D9">
                        <w:rPr>
                          <w:rFonts w:cstheme="minorHAnsi"/>
                        </w:rPr>
                        <w:t>•</w:t>
                      </w:r>
                      <w:r w:rsidR="005C7DB5" w:rsidRPr="00E5433E">
                        <w:t xml:space="preserve"> </w:t>
                      </w:r>
                      <w:hyperlink r:id="rId22" w:history="1">
                        <w:r w:rsidR="005C7DB5" w:rsidRPr="00E5433E">
                          <w:rPr>
                            <w:rStyle w:val="Hyperlink"/>
                            <w:color w:val="auto"/>
                          </w:rPr>
                          <w:t>ACTFL Performance Descriptors</w:t>
                        </w:r>
                      </w:hyperlink>
                      <w:r w:rsidR="001242D9">
                        <w:t xml:space="preserve"> </w:t>
                      </w:r>
                      <w:r w:rsidR="004B4280">
                        <w:rPr>
                          <w:rFonts w:cstheme="minorHAnsi"/>
                        </w:rPr>
                        <w:t xml:space="preserve">• </w:t>
                      </w:r>
                      <w:hyperlink r:id="rId23" w:history="1">
                        <w:r w:rsidR="008B45AB" w:rsidRPr="00E5433E">
                          <w:rPr>
                            <w:rStyle w:val="Hyperlink"/>
                            <w:color w:val="auto"/>
                          </w:rPr>
                          <w:t>ACTFL Proficiency Guidelines</w:t>
                        </w:r>
                      </w:hyperlink>
                      <w:r w:rsidR="001242D9">
                        <w:t xml:space="preserve"> </w:t>
                      </w:r>
                      <w:r w:rsidR="001242D9">
                        <w:rPr>
                          <w:rFonts w:cstheme="minorHAnsi"/>
                        </w:rPr>
                        <w:t>•</w:t>
                      </w:r>
                      <w:r w:rsidR="005C7DB5" w:rsidRPr="00E5433E">
                        <w:t xml:space="preserve"> </w:t>
                      </w:r>
                      <w:hyperlink r:id="rId24" w:history="1">
                        <w:r w:rsidR="005C7DB5" w:rsidRPr="00E5433E">
                          <w:rPr>
                            <w:rStyle w:val="Hyperlink"/>
                            <w:color w:val="auto"/>
                          </w:rPr>
                          <w:t>NCSSFL-ACTFL Can-Do Statements</w:t>
                        </w:r>
                      </w:hyperlink>
                      <w:r w:rsidR="001242D9">
                        <w:t xml:space="preserve"> </w:t>
                      </w:r>
                      <w:r w:rsidR="001242D9">
                        <w:rPr>
                          <w:rFonts w:cstheme="minorHAnsi"/>
                        </w:rPr>
                        <w:t>•</w:t>
                      </w:r>
                      <w:r w:rsidR="0028648A" w:rsidRPr="00E5433E">
                        <w:t xml:space="preserve"> </w:t>
                      </w:r>
                      <w:hyperlink r:id="rId25" w:history="1">
                        <w:r w:rsidR="005C7DB5" w:rsidRPr="00E5433E">
                          <w:rPr>
                            <w:rStyle w:val="Hyperlink"/>
                            <w:color w:val="auto"/>
                          </w:rPr>
                          <w:t>CARLA P</w:t>
                        </w:r>
                        <w:r w:rsidR="003C49EA">
                          <w:rPr>
                            <w:rStyle w:val="Hyperlink"/>
                            <w:color w:val="auto"/>
                          </w:rPr>
                          <w:t>roficiency-Oriented Language Instruction and Assessment</w:t>
                        </w:r>
                        <w:r w:rsidR="005C7DB5" w:rsidRPr="00E5433E">
                          <w:rPr>
                            <w:rStyle w:val="Hyperlink"/>
                            <w:color w:val="auto"/>
                          </w:rPr>
                          <w:t xml:space="preserve"> Handbook</w:t>
                        </w:r>
                      </w:hyperlink>
                      <w:r w:rsidR="001242D9">
                        <w:t xml:space="preserve"> </w:t>
                      </w:r>
                      <w:r w:rsidR="001242D9">
                        <w:rPr>
                          <w:rFonts w:cstheme="minorHAnsi"/>
                        </w:rPr>
                        <w:t>•</w:t>
                      </w:r>
                      <w:r w:rsidR="0028648A" w:rsidRPr="00E5433E">
                        <w:t xml:space="preserve"> </w:t>
                      </w:r>
                      <w:hyperlink r:id="rId26" w:history="1">
                        <w:r w:rsidR="00B72335" w:rsidRPr="00B72335">
                          <w:rPr>
                            <w:rStyle w:val="Hyperlink"/>
                            <w:color w:val="FFFFFF" w:themeColor="background1"/>
                          </w:rPr>
                          <w:t>MaFLA Programming</w:t>
                        </w:r>
                      </w:hyperlink>
                      <w:r w:rsidR="00B72335" w:rsidRPr="00B72335">
                        <w:rPr>
                          <w:color w:val="FFFFFF" w:themeColor="background1"/>
                        </w:rPr>
                        <w:t xml:space="preserve"> </w:t>
                      </w:r>
                      <w:r w:rsidR="00B72335">
                        <w:rPr>
                          <w:rFonts w:cstheme="minorHAnsi"/>
                        </w:rPr>
                        <w:t>•</w:t>
                      </w:r>
                      <w:r w:rsidR="00B72335">
                        <w:t xml:space="preserve"> </w:t>
                      </w:r>
                      <w:hyperlink r:id="rId27" w:history="1">
                        <w:r w:rsidR="0028648A" w:rsidRPr="00E5433E">
                          <w:rPr>
                            <w:rStyle w:val="Hyperlink"/>
                            <w:color w:val="auto"/>
                          </w:rPr>
                          <w:t>Massachusetts World Languages Curriculum Framework</w:t>
                        </w:r>
                      </w:hyperlink>
                      <w:r w:rsidR="003A6257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  <w:r w:rsidR="003A6257">
                        <w:rPr>
                          <w:rFonts w:cstheme="minorHAnsi"/>
                        </w:rPr>
                        <w:t>•</w:t>
                      </w:r>
                      <w:r w:rsidR="003A6257" w:rsidRPr="00744B44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  <w:hyperlink r:id="rId28" w:history="1">
                        <w:r w:rsidR="003A6257" w:rsidRPr="00744B44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Massachusetts World Languages Leadership Network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C1481E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95A0" w14:textId="77777777" w:rsidR="006D0597" w:rsidRDefault="006D0597" w:rsidP="000636CE">
      <w:pPr>
        <w:spacing w:after="0" w:line="240" w:lineRule="auto"/>
      </w:pPr>
      <w:r>
        <w:separator/>
      </w:r>
    </w:p>
  </w:endnote>
  <w:endnote w:type="continuationSeparator" w:id="0">
    <w:p w14:paraId="463165F3" w14:textId="77777777" w:rsidR="006D0597" w:rsidRDefault="006D0597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558F9" w14:textId="77777777" w:rsidR="006D0597" w:rsidRDefault="006D0597" w:rsidP="000636CE">
      <w:pPr>
        <w:spacing w:after="0" w:line="240" w:lineRule="auto"/>
      </w:pPr>
      <w:r>
        <w:separator/>
      </w:r>
    </w:p>
  </w:footnote>
  <w:footnote w:type="continuationSeparator" w:id="0">
    <w:p w14:paraId="086D44A0" w14:textId="77777777" w:rsidR="006D0597" w:rsidRDefault="006D0597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23CD8"/>
    <w:rsid w:val="00054C2C"/>
    <w:rsid w:val="000568C3"/>
    <w:rsid w:val="00063258"/>
    <w:rsid w:val="000636CE"/>
    <w:rsid w:val="000C3AA4"/>
    <w:rsid w:val="000D4F28"/>
    <w:rsid w:val="000E1043"/>
    <w:rsid w:val="000F324E"/>
    <w:rsid w:val="0010008B"/>
    <w:rsid w:val="00103612"/>
    <w:rsid w:val="001242D9"/>
    <w:rsid w:val="0015304C"/>
    <w:rsid w:val="00166208"/>
    <w:rsid w:val="001801F9"/>
    <w:rsid w:val="00196B9B"/>
    <w:rsid w:val="001A1750"/>
    <w:rsid w:val="001B0EFD"/>
    <w:rsid w:val="001C0E5C"/>
    <w:rsid w:val="001F5C94"/>
    <w:rsid w:val="0022302E"/>
    <w:rsid w:val="00225592"/>
    <w:rsid w:val="002404C9"/>
    <w:rsid w:val="002526E4"/>
    <w:rsid w:val="00254B14"/>
    <w:rsid w:val="00285E84"/>
    <w:rsid w:val="0028648A"/>
    <w:rsid w:val="00286D54"/>
    <w:rsid w:val="00292D3D"/>
    <w:rsid w:val="002D4ADA"/>
    <w:rsid w:val="002E06F4"/>
    <w:rsid w:val="002E5CD0"/>
    <w:rsid w:val="0031711B"/>
    <w:rsid w:val="00332278"/>
    <w:rsid w:val="00335794"/>
    <w:rsid w:val="003400CE"/>
    <w:rsid w:val="00342DE7"/>
    <w:rsid w:val="003672AC"/>
    <w:rsid w:val="00375A57"/>
    <w:rsid w:val="003823D9"/>
    <w:rsid w:val="00382477"/>
    <w:rsid w:val="003A6257"/>
    <w:rsid w:val="003C49EA"/>
    <w:rsid w:val="003E49F2"/>
    <w:rsid w:val="00402FE7"/>
    <w:rsid w:val="004064D1"/>
    <w:rsid w:val="00413018"/>
    <w:rsid w:val="00413610"/>
    <w:rsid w:val="00456678"/>
    <w:rsid w:val="00461002"/>
    <w:rsid w:val="0048030D"/>
    <w:rsid w:val="00483961"/>
    <w:rsid w:val="004859BB"/>
    <w:rsid w:val="004945CB"/>
    <w:rsid w:val="004B4280"/>
    <w:rsid w:val="004E2BCD"/>
    <w:rsid w:val="004E6263"/>
    <w:rsid w:val="004E62D9"/>
    <w:rsid w:val="00503D58"/>
    <w:rsid w:val="00515812"/>
    <w:rsid w:val="005442EA"/>
    <w:rsid w:val="00576675"/>
    <w:rsid w:val="005A6E52"/>
    <w:rsid w:val="005B0392"/>
    <w:rsid w:val="005C08A8"/>
    <w:rsid w:val="005C7DB5"/>
    <w:rsid w:val="005D25F4"/>
    <w:rsid w:val="005F1073"/>
    <w:rsid w:val="006105A2"/>
    <w:rsid w:val="006138AD"/>
    <w:rsid w:val="0062286C"/>
    <w:rsid w:val="00647C77"/>
    <w:rsid w:val="0067322F"/>
    <w:rsid w:val="00690BD3"/>
    <w:rsid w:val="006B1E41"/>
    <w:rsid w:val="006C2130"/>
    <w:rsid w:val="006D0597"/>
    <w:rsid w:val="00744B44"/>
    <w:rsid w:val="0074536F"/>
    <w:rsid w:val="00770FB7"/>
    <w:rsid w:val="007937FA"/>
    <w:rsid w:val="007B761A"/>
    <w:rsid w:val="007C5DBD"/>
    <w:rsid w:val="007E4C0C"/>
    <w:rsid w:val="00815B5A"/>
    <w:rsid w:val="008348B4"/>
    <w:rsid w:val="00864B1E"/>
    <w:rsid w:val="008B45AB"/>
    <w:rsid w:val="008E056C"/>
    <w:rsid w:val="00932A8C"/>
    <w:rsid w:val="009665E1"/>
    <w:rsid w:val="009744BC"/>
    <w:rsid w:val="00987916"/>
    <w:rsid w:val="009B6CAB"/>
    <w:rsid w:val="009C4FB7"/>
    <w:rsid w:val="009D6D88"/>
    <w:rsid w:val="009E4AA0"/>
    <w:rsid w:val="009F3826"/>
    <w:rsid w:val="009F38A6"/>
    <w:rsid w:val="00A078B5"/>
    <w:rsid w:val="00A155F0"/>
    <w:rsid w:val="00A318C9"/>
    <w:rsid w:val="00A35269"/>
    <w:rsid w:val="00A42B31"/>
    <w:rsid w:val="00A65C91"/>
    <w:rsid w:val="00A923B4"/>
    <w:rsid w:val="00A96D6C"/>
    <w:rsid w:val="00AA09F0"/>
    <w:rsid w:val="00AA0DC1"/>
    <w:rsid w:val="00AC297C"/>
    <w:rsid w:val="00AD3A80"/>
    <w:rsid w:val="00AE156F"/>
    <w:rsid w:val="00AE3004"/>
    <w:rsid w:val="00AF222E"/>
    <w:rsid w:val="00AF66BA"/>
    <w:rsid w:val="00B006D5"/>
    <w:rsid w:val="00B07E33"/>
    <w:rsid w:val="00B17E48"/>
    <w:rsid w:val="00B62E85"/>
    <w:rsid w:val="00B72335"/>
    <w:rsid w:val="00B813C0"/>
    <w:rsid w:val="00B97163"/>
    <w:rsid w:val="00BC2549"/>
    <w:rsid w:val="00BE4EE9"/>
    <w:rsid w:val="00C03F1B"/>
    <w:rsid w:val="00C1481E"/>
    <w:rsid w:val="00C32B0F"/>
    <w:rsid w:val="00C42DE7"/>
    <w:rsid w:val="00C65CA4"/>
    <w:rsid w:val="00C71929"/>
    <w:rsid w:val="00C729CC"/>
    <w:rsid w:val="00C804CD"/>
    <w:rsid w:val="00CA0BD2"/>
    <w:rsid w:val="00CA2C27"/>
    <w:rsid w:val="00CD346E"/>
    <w:rsid w:val="00CD4134"/>
    <w:rsid w:val="00D13FA6"/>
    <w:rsid w:val="00D374D5"/>
    <w:rsid w:val="00D47002"/>
    <w:rsid w:val="00D552BE"/>
    <w:rsid w:val="00D727EC"/>
    <w:rsid w:val="00D8688C"/>
    <w:rsid w:val="00D96F30"/>
    <w:rsid w:val="00DE3523"/>
    <w:rsid w:val="00DF65F0"/>
    <w:rsid w:val="00E008F2"/>
    <w:rsid w:val="00E00CB2"/>
    <w:rsid w:val="00E4426A"/>
    <w:rsid w:val="00E5433E"/>
    <w:rsid w:val="00E5550C"/>
    <w:rsid w:val="00E57E8C"/>
    <w:rsid w:val="00E72085"/>
    <w:rsid w:val="00E766A2"/>
    <w:rsid w:val="00E955F7"/>
    <w:rsid w:val="00EB3E2B"/>
    <w:rsid w:val="00EF41AD"/>
    <w:rsid w:val="00EF64F0"/>
    <w:rsid w:val="00F1096E"/>
    <w:rsid w:val="00F34BA0"/>
    <w:rsid w:val="00F44945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Revision">
    <w:name w:val="Revision"/>
    <w:hidden/>
    <w:uiPriority w:val="99"/>
    <w:semiHidden/>
    <w:rsid w:val="00AE3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tfl.org/resources/guiding-principles-language-learning" TargetMode="External"/><Relationship Id="rId18" Type="http://schemas.openxmlformats.org/officeDocument/2006/relationships/hyperlink" Target="https://mafla.org/pdonline/" TargetMode="External"/><Relationship Id="rId26" Type="http://schemas.openxmlformats.org/officeDocument/2006/relationships/hyperlink" Target="https://mafla.org/pdonlin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tfl.org/resources/guiding-principles-language-learning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arla.umn.edu/articulation/handbook.html" TargetMode="External"/><Relationship Id="rId25" Type="http://schemas.openxmlformats.org/officeDocument/2006/relationships/hyperlink" Target="https://carla.umn.edu/articulation/handbook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fl.org/resources/ncssfl-actfl-can-do-statements" TargetMode="External"/><Relationship Id="rId20" Type="http://schemas.openxmlformats.org/officeDocument/2006/relationships/hyperlink" Target="https://www.doe.mass.edu/worldlanguages/leader-network/default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ctfl.org/resources/ncssfl-actfl-can-do-statements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ctfl.org/resources/actfl-proficiency-guidelines-2012" TargetMode="External"/><Relationship Id="rId23" Type="http://schemas.openxmlformats.org/officeDocument/2006/relationships/hyperlink" Target="https://www.actfl.org/resources/actfl-proficiency-guidelines-2012" TargetMode="External"/><Relationship Id="rId28" Type="http://schemas.openxmlformats.org/officeDocument/2006/relationships/hyperlink" Target="https://www.doe.mass.edu/worldlanguages/leader-network/default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frameworks/world-languages/2021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tfl.org/resources/actfl-performance-descriptors-language-learners" TargetMode="External"/><Relationship Id="rId22" Type="http://schemas.openxmlformats.org/officeDocument/2006/relationships/hyperlink" Target="https://www.actfl.org/resources/actfl-performance-descriptors-language-learners" TargetMode="External"/><Relationship Id="rId27" Type="http://schemas.openxmlformats.org/officeDocument/2006/relationships/hyperlink" Target="https://www.doe.mass.edu/frameworks/world-languages/2021.pdf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Props1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 Summary</dc:title>
  <dc:subject/>
  <dc:creator>DESE</dc:creator>
  <cp:keywords/>
  <dc:description/>
  <cp:lastModifiedBy>Zou, Dong (EOE)</cp:lastModifiedBy>
  <cp:revision>8</cp:revision>
  <cp:lastPrinted>2020-12-16T16:02:00Z</cp:lastPrinted>
  <dcterms:created xsi:type="dcterms:W3CDTF">2022-01-21T19:00:00Z</dcterms:created>
  <dcterms:modified xsi:type="dcterms:W3CDTF">2022-02-24T19:38:00Z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2022</vt:lpwstr>
  </property>
</Properties>
</file>