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A97B" w14:textId="020FFA03" w:rsidR="0031711B" w:rsidRPr="00A70AE4" w:rsidRDefault="0031711B" w:rsidP="00861E71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r>
        <w:rPr>
          <w:rFonts w:ascii="Georgia" w:hAnsi="Georgia"/>
          <w:color w:val="0C7580"/>
          <w:sz w:val="32"/>
          <w:szCs w:val="32"/>
        </w:rPr>
        <w:t xml:space="preserve">Module </w:t>
      </w:r>
      <w:r w:rsidR="00861E71">
        <w:rPr>
          <w:rFonts w:ascii="Georgia" w:hAnsi="Georgia"/>
          <w:color w:val="0C7580"/>
          <w:sz w:val="32"/>
          <w:szCs w:val="32"/>
        </w:rPr>
        <w:t>4</w:t>
      </w:r>
      <w:r>
        <w:rPr>
          <w:rFonts w:ascii="Georgia" w:hAnsi="Georgia"/>
          <w:color w:val="0C7580"/>
          <w:sz w:val="32"/>
          <w:szCs w:val="32"/>
        </w:rPr>
        <w:t xml:space="preserve">: </w:t>
      </w:r>
      <w:r w:rsidR="00861E71">
        <w:rPr>
          <w:rFonts w:ascii="Georgia" w:hAnsi="Georgia"/>
          <w:color w:val="0C7580"/>
          <w:sz w:val="32"/>
          <w:szCs w:val="32"/>
        </w:rPr>
        <w:t xml:space="preserve">Overview of Communication Standards and </w:t>
      </w:r>
      <w:r w:rsidR="00861E71">
        <w:rPr>
          <w:rFonts w:ascii="Georgia" w:hAnsi="Georgia"/>
          <w:color w:val="0C7580"/>
          <w:sz w:val="32"/>
          <w:szCs w:val="32"/>
        </w:rPr>
        <w:br/>
        <w:t>ACTFL Proficiency</w:t>
      </w:r>
    </w:p>
    <w:p w14:paraId="27B32CA0" w14:textId="3CA1AE7C" w:rsidR="00503D58" w:rsidRDefault="00B17E48" w:rsidP="00EB3E2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4847B70" wp14:editId="25B916BA">
                <wp:extent cx="6804660" cy="51435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51435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B6029" w14:textId="365642CA" w:rsidR="000636CE" w:rsidRDefault="001D5D41" w:rsidP="000636CE">
                            <w:pPr>
                              <w:jc w:val="center"/>
                            </w:pPr>
                            <w:r>
                              <w:t>This module provides an overview of the ACTFL Proficiency Guidelines</w:t>
                            </w:r>
                            <w:r w:rsidR="0087136D">
                              <w:t>, discusses</w:t>
                            </w:r>
                            <w:r>
                              <w:t xml:space="preserve"> how they connect to the Framework</w:t>
                            </w:r>
                            <w:r w:rsidR="0087136D">
                              <w:t>, and</w:t>
                            </w:r>
                            <w:r>
                              <w:t xml:space="preserve"> introduces the Communication Standards, explaining how they progress as proficiency increases.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47B70" id="Rectangle 2" o:spid="_x0000_s1026" style="width:535.8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" fillcolor="#0c7580" stroked="f" strokeweight="2pt">
                <v:textbox>
                  <w:txbxContent>
                    <w:p w14:paraId="2C3B6029" w14:textId="365642CA" w:rsidR="000636CE" w:rsidRDefault="001D5D41" w:rsidP="000636CE">
                      <w:pPr>
                        <w:jc w:val="center"/>
                      </w:pPr>
                      <w:r>
                        <w:t>This module provides an overview of the ACTFL Proficiency Guidelines</w:t>
                      </w:r>
                      <w:r w:rsidR="0087136D">
                        <w:t>, discusses</w:t>
                      </w:r>
                      <w:r>
                        <w:t xml:space="preserve"> how they connect to the Framework</w:t>
                      </w:r>
                      <w:r w:rsidR="0087136D">
                        <w:t>, and</w:t>
                      </w:r>
                      <w:r>
                        <w:t xml:space="preserve"> introduces the Communication Standards, explaining how they progress as proficiency increases.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801E4D" w14:textId="2AAA4F03" w:rsidR="0031711B" w:rsidRDefault="00861E71" w:rsidP="00173CB8">
      <w:pPr>
        <w:spacing w:before="240"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ACTFL Proficiency Guidelines and</w:t>
      </w:r>
      <w:r w:rsidR="00DC50FC">
        <w:rPr>
          <w:rFonts w:ascii="Georgia" w:hAnsi="Georgia"/>
          <w:color w:val="0C7580"/>
          <w:sz w:val="28"/>
          <w:szCs w:val="28"/>
        </w:rPr>
        <w:t xml:space="preserve"> the Framework</w:t>
      </w:r>
    </w:p>
    <w:p w14:paraId="1A03E21E" w14:textId="37973429" w:rsidR="0031711B" w:rsidRDefault="006E7125" w:rsidP="004424C2">
      <w:r>
        <w:t xml:space="preserve">The Massachusetts World Languages Curriculum Framework </w:t>
      </w:r>
      <w:r w:rsidR="00B27DF6">
        <w:t xml:space="preserve">embraces the ACTFL Proficiency Guidelines in its vision, guiding principles, practices, and content standards. </w:t>
      </w:r>
      <w:r w:rsidR="00785748">
        <w:t xml:space="preserve">The ACTFL </w:t>
      </w:r>
      <w:r w:rsidR="0087136D">
        <w:t>P</w:t>
      </w:r>
      <w:r w:rsidR="00785748">
        <w:t xml:space="preserve">roficiency </w:t>
      </w:r>
      <w:r w:rsidR="0087136D">
        <w:t>G</w:t>
      </w:r>
      <w:r w:rsidR="00785748">
        <w:t xml:space="preserve">uidelines are </w:t>
      </w:r>
      <w:r w:rsidR="00FA1B5B">
        <w:t xml:space="preserve">asset-based </w:t>
      </w:r>
      <w:r w:rsidR="00785748">
        <w:t>descriptions</w:t>
      </w:r>
      <w:r w:rsidR="00785748" w:rsidRPr="00785748">
        <w:t xml:space="preserve"> of what individuals can do with language in real-world situations in a spontaneous and non-rehearsed context</w:t>
      </w:r>
      <w:r w:rsidR="0087136D">
        <w:t xml:space="preserve"> for speaking, writing, listening, and reading</w:t>
      </w:r>
      <w:r w:rsidR="00CD407D">
        <w:t xml:space="preserve"> (which can be applied to viewing and signing)</w:t>
      </w:r>
      <w:r w:rsidR="004A0BF5">
        <w:t>.</w:t>
      </w:r>
      <w:r w:rsidR="00785748">
        <w:t xml:space="preserve"> They identify five major levels of proficiency: Novice, Intermediate, Advanced, Superior, and Distinguished. The first three levels are further divided into Low, Mid, and High sublevels. The levels of the Standards in the Massachusetts World Languages Curriculum </w:t>
      </w:r>
      <w:r w:rsidR="006A7A05">
        <w:t>Framework correspond</w:t>
      </w:r>
      <w:r w:rsidR="00785748">
        <w:t xml:space="preserve"> to the levels of the ACTFL </w:t>
      </w:r>
      <w:r w:rsidR="0087136D">
        <w:t>P</w:t>
      </w:r>
      <w:r w:rsidR="00785748">
        <w:t xml:space="preserve">roficiency </w:t>
      </w:r>
      <w:r w:rsidR="0087136D">
        <w:t>G</w:t>
      </w:r>
      <w:r w:rsidR="00785748">
        <w:t xml:space="preserve">uidelines. </w:t>
      </w:r>
    </w:p>
    <w:p w14:paraId="17412EA1" w14:textId="05CEBDC6" w:rsidR="0031711B" w:rsidRDefault="00861E71" w:rsidP="00654CDD">
      <w:pPr>
        <w:spacing w:before="240"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Overview of Communication Standards</w:t>
      </w:r>
    </w:p>
    <w:p w14:paraId="4B77A102" w14:textId="713EBD92" w:rsidR="00072E88" w:rsidRPr="00E33E9B" w:rsidRDefault="00E33E9B" w:rsidP="00072E88">
      <w:r>
        <w:t xml:space="preserve">The Communication Standards </w:t>
      </w:r>
      <w:r w:rsidR="007C2F9C">
        <w:t>describe</w:t>
      </w:r>
      <w:r>
        <w:t xml:space="preserve"> </w:t>
      </w:r>
      <w:r>
        <w:rPr>
          <w:i/>
          <w:iCs/>
        </w:rPr>
        <w:t xml:space="preserve">how </w:t>
      </w:r>
      <w:r>
        <w:t>students use language to express themselves</w:t>
      </w:r>
      <w:r w:rsidR="00785748">
        <w:t xml:space="preserve"> and the four C’s of Cultures, Comparisons, Connections, and Communities</w:t>
      </w:r>
      <w:r>
        <w:t xml:space="preserve">. </w:t>
      </w:r>
      <w:r w:rsidR="00785748">
        <w:t xml:space="preserve">The </w:t>
      </w:r>
      <w:r w:rsidR="0047240E">
        <w:t xml:space="preserve">Framework organizes the </w:t>
      </w:r>
      <w:r w:rsidR="00785748">
        <w:t xml:space="preserve">different skills involved in communication into the four modes of Interpersonal, Presentational, Interpretive, and Intercultural Communication. These modes comprise the Communication Practices in Domain 1. </w:t>
      </w:r>
      <w:r w:rsidR="008D5BE6" w:rsidRPr="008D5BE6">
        <w:t>The Communication Standards support meaningful and authentic interactions in the language that enable students to access information and engage in the</w:t>
      </w:r>
      <w:r w:rsidR="00FB57B1">
        <w:t xml:space="preserve"> local and</w:t>
      </w:r>
      <w:r w:rsidR="008D5BE6" w:rsidRPr="008D5BE6">
        <w:t xml:space="preserve"> global community.</w:t>
      </w:r>
    </w:p>
    <w:p w14:paraId="11F9FCAD" w14:textId="08B87263" w:rsidR="00861E71" w:rsidRDefault="00861E71" w:rsidP="00861E71">
      <w:pPr>
        <w:spacing w:before="240"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Progression of Communication Standards</w:t>
      </w:r>
    </w:p>
    <w:p w14:paraId="560EC937" w14:textId="2EF50A53" w:rsidR="00397605" w:rsidRDefault="001D5D41" w:rsidP="00861E71">
      <w:r>
        <w:t xml:space="preserve">Students develop and/or advance their skills </w:t>
      </w:r>
      <w:r w:rsidR="00BD5002">
        <w:t xml:space="preserve">in the communicative modes </w:t>
      </w:r>
      <w:r>
        <w:t>at each level of proficiency</w:t>
      </w:r>
      <w:r w:rsidR="00397605">
        <w:t xml:space="preserve"> and</w:t>
      </w:r>
      <w:r w:rsidR="00E33E9B">
        <w:t xml:space="preserve"> show progression across the</w:t>
      </w:r>
      <w:r w:rsidR="00397605">
        <w:t xml:space="preserve"> following</w:t>
      </w:r>
      <w:r w:rsidR="00E33E9B">
        <w:t xml:space="preserve"> linguistic components</w:t>
      </w:r>
      <w:r w:rsidR="00397605">
        <w:t>:</w:t>
      </w:r>
    </w:p>
    <w:p w14:paraId="060B5A67" w14:textId="23DF1F38" w:rsidR="00397605" w:rsidRDefault="00397605" w:rsidP="00397605">
      <w:pPr>
        <w:pStyle w:val="ListParagraph"/>
        <w:numPr>
          <w:ilvl w:val="0"/>
          <w:numId w:val="20"/>
        </w:numPr>
      </w:pPr>
      <w:r>
        <w:t>Function:</w:t>
      </w:r>
      <w:r w:rsidR="00CD407D">
        <w:t xml:space="preserve"> the simplest expression of the standard, describing what students can do with the language</w:t>
      </w:r>
    </w:p>
    <w:p w14:paraId="3833C0C7" w14:textId="71CBCA65" w:rsidR="00397605" w:rsidRDefault="00BD5002" w:rsidP="00397605">
      <w:pPr>
        <w:pStyle w:val="ListParagraph"/>
        <w:numPr>
          <w:ilvl w:val="0"/>
          <w:numId w:val="20"/>
        </w:numPr>
      </w:pPr>
      <w:r>
        <w:t>C</w:t>
      </w:r>
      <w:r w:rsidR="00E33E9B">
        <w:t>ontext</w:t>
      </w:r>
      <w:r w:rsidR="00397605">
        <w:t>:</w:t>
      </w:r>
      <w:r w:rsidR="00CD407D">
        <w:t xml:space="preserve"> the topics and settings in which students can use the language to accomplish a function</w:t>
      </w:r>
    </w:p>
    <w:p w14:paraId="780E2D8E" w14:textId="0508A11C" w:rsidR="00397605" w:rsidRDefault="00BD5002" w:rsidP="00397605">
      <w:pPr>
        <w:pStyle w:val="ListParagraph"/>
        <w:numPr>
          <w:ilvl w:val="0"/>
          <w:numId w:val="20"/>
        </w:numPr>
      </w:pPr>
      <w:r>
        <w:t>T</w:t>
      </w:r>
      <w:r w:rsidR="00E33E9B">
        <w:t xml:space="preserve">ext </w:t>
      </w:r>
      <w:r>
        <w:t>T</w:t>
      </w:r>
      <w:r w:rsidR="00E33E9B">
        <w:t>ype</w:t>
      </w:r>
      <w:r w:rsidR="00397605">
        <w:t>:</w:t>
      </w:r>
      <w:r w:rsidR="00CD407D">
        <w:t xml:space="preserve"> the length and complexity of the language students produce or understand to accomplish a function</w:t>
      </w:r>
    </w:p>
    <w:p w14:paraId="035CA8BC" w14:textId="0C567A9A" w:rsidR="00397605" w:rsidRDefault="00BD5002" w:rsidP="00397605">
      <w:pPr>
        <w:pStyle w:val="ListParagraph"/>
        <w:numPr>
          <w:ilvl w:val="0"/>
          <w:numId w:val="20"/>
        </w:numPr>
      </w:pPr>
      <w:r>
        <w:t>S</w:t>
      </w:r>
      <w:r w:rsidR="00E33E9B">
        <w:t>upports</w:t>
      </w:r>
      <w:r w:rsidR="00397605">
        <w:t xml:space="preserve">: </w:t>
      </w:r>
      <w:r w:rsidR="00CD407D">
        <w:t>what students may need to accomplish the function</w:t>
      </w:r>
    </w:p>
    <w:p w14:paraId="6026CA8B" w14:textId="765C3027" w:rsidR="00397605" w:rsidRDefault="00BD5002" w:rsidP="00397605">
      <w:pPr>
        <w:pStyle w:val="ListParagraph"/>
        <w:numPr>
          <w:ilvl w:val="0"/>
          <w:numId w:val="20"/>
        </w:numPr>
      </w:pPr>
      <w:r>
        <w:t>C</w:t>
      </w:r>
      <w:r w:rsidR="00E33E9B">
        <w:t>omprehensibility</w:t>
      </w:r>
      <w:r w:rsidR="00397605">
        <w:t>:</w:t>
      </w:r>
      <w:r w:rsidR="00E33E9B">
        <w:t xml:space="preserve"> </w:t>
      </w:r>
      <w:r w:rsidR="00CD407D">
        <w:t>the degree of success a student experiences in communicating a message</w:t>
      </w:r>
    </w:p>
    <w:p w14:paraId="0BF439FA" w14:textId="77C03B49" w:rsidR="001D5D41" w:rsidRDefault="004A0BF5" w:rsidP="00397605">
      <w:r>
        <w:t xml:space="preserve">As proficiency </w:t>
      </w:r>
      <w:r w:rsidR="00517BA1">
        <w:t>increases</w:t>
      </w:r>
      <w:r>
        <w:t>, s</w:t>
      </w:r>
      <w:r w:rsidR="00397605">
        <w:t xml:space="preserve">tudents </w:t>
      </w:r>
      <w:r w:rsidR="00E33E9B">
        <w:t xml:space="preserve">can </w:t>
      </w:r>
      <w:r w:rsidR="00397605">
        <w:t xml:space="preserve">perform a greater variety of Functions; </w:t>
      </w:r>
      <w:r w:rsidR="00E33E9B">
        <w:t xml:space="preserve">operate in a broader variety of </w:t>
      </w:r>
      <w:r>
        <w:t>C</w:t>
      </w:r>
      <w:r w:rsidR="00E33E9B">
        <w:t xml:space="preserve">ontexts; understand and produce more complex </w:t>
      </w:r>
      <w:r>
        <w:t>T</w:t>
      </w:r>
      <w:r w:rsidR="00E33E9B">
        <w:t xml:space="preserve">exts; need decreasing </w:t>
      </w:r>
      <w:r>
        <w:t>S</w:t>
      </w:r>
      <w:r w:rsidR="00E33E9B">
        <w:t xml:space="preserve">upport; and are easier to understand. </w:t>
      </w:r>
    </w:p>
    <w:p w14:paraId="1E583091" w14:textId="054C98B0" w:rsidR="008D5BE6" w:rsidRPr="00CD407D" w:rsidRDefault="00CD407D" w:rsidP="00CD407D">
      <w:pPr>
        <w:jc w:val="center"/>
      </w:pPr>
      <w:r>
        <w:rPr>
          <w:noProof/>
        </w:rPr>
        <w:drawing>
          <wp:inline distT="0" distB="0" distL="0" distR="0" wp14:anchorId="021E0AA5" wp14:editId="051EF105">
            <wp:extent cx="3831336" cy="1773936"/>
            <wp:effectExtent l="38100" t="38100" r="36195" b="36195"/>
            <wp:docPr id="1" name="Picture 1" descr="As the proficiency level increases ...&#10;Functions increase and are more complex&#10;Contexts are broader&#10;Text Type are more complex&#10;Supports decrease&#10;Comprehensibility incre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1336" cy="1773936"/>
                    </a:xfrm>
                    <a:prstGeom prst="rect">
                      <a:avLst/>
                    </a:prstGeom>
                    <a:ln w="28575">
                      <a:solidFill>
                        <a:srgbClr val="0C7580"/>
                      </a:solidFill>
                    </a:ln>
                  </pic:spPr>
                </pic:pic>
              </a:graphicData>
            </a:graphic>
          </wp:inline>
        </w:drawing>
      </w:r>
    </w:p>
    <w:p w14:paraId="1AFD7B29" w14:textId="668A38FB" w:rsidR="00397605" w:rsidRDefault="00397605" w:rsidP="00351C39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lastRenderedPageBreak/>
        <w:t>Two Lenses: Proficiency and Equity</w:t>
      </w:r>
    </w:p>
    <w:p w14:paraId="5FB8D2FE" w14:textId="6408B090" w:rsidR="00CD407D" w:rsidRPr="00CD407D" w:rsidRDefault="00186F51" w:rsidP="00CD407D">
      <w:pPr>
        <w:spacing w:after="0"/>
      </w:pPr>
      <w:r>
        <w:t>Proficiency and equity serve as the foundation of the Communication Standards. The</w:t>
      </w:r>
      <w:r w:rsidR="004A0BF5">
        <w:t xml:space="preserve"> </w:t>
      </w:r>
      <w:r w:rsidR="00C0092C">
        <w:t>S</w:t>
      </w:r>
      <w:r w:rsidR="004A0BF5">
        <w:t>tandards</w:t>
      </w:r>
      <w:r>
        <w:t xml:space="preserve"> are organized by proficiency level </w:t>
      </w:r>
      <w:r w:rsidR="00547EBD">
        <w:t>according to the</w:t>
      </w:r>
      <w:r>
        <w:t xml:space="preserve"> ACTFL Proficiency Guidelines, and they are addressed using Core Practices that align with proficiency-based approaches to language teaching. In terms of equity, the Communication Standards</w:t>
      </w:r>
      <w:r w:rsidR="00CD407D" w:rsidRPr="00CD407D">
        <w:t xml:space="preserve"> </w:t>
      </w:r>
      <w:r w:rsidRPr="00CD407D">
        <w:t xml:space="preserve">center </w:t>
      </w:r>
      <w:r w:rsidR="00547EBD">
        <w:t xml:space="preserve">and affirm </w:t>
      </w:r>
      <w:r>
        <w:t xml:space="preserve">student diversity; focus on </w:t>
      </w:r>
      <w:r w:rsidR="00CD407D" w:rsidRPr="00CD407D">
        <w:t>what students can do rather than what they cannot d</w:t>
      </w:r>
      <w:r w:rsidR="00547EBD">
        <w:t>o</w:t>
      </w:r>
      <w:r w:rsidR="00CD407D" w:rsidRPr="00CD407D">
        <w:t xml:space="preserve">; </w:t>
      </w:r>
      <w:r>
        <w:t>emphasize the importance of</w:t>
      </w:r>
      <w:r w:rsidRPr="00CD407D">
        <w:t xml:space="preserve"> meaningful communication rather than </w:t>
      </w:r>
      <w:r>
        <w:t xml:space="preserve">the </w:t>
      </w:r>
      <w:r w:rsidRPr="00CD407D">
        <w:t>mechanics</w:t>
      </w:r>
      <w:r>
        <w:t xml:space="preserve"> of language</w:t>
      </w:r>
      <w:r w:rsidRPr="00CD407D">
        <w:t>;</w:t>
      </w:r>
      <w:r>
        <w:t xml:space="preserve"> develop students’ social and emotional competence</w:t>
      </w:r>
      <w:r w:rsidR="00547EBD">
        <w:t>;</w:t>
      </w:r>
      <w:r>
        <w:t xml:space="preserve"> and provid</w:t>
      </w:r>
      <w:r w:rsidR="00547EBD">
        <w:t>e opportunities for students to demonstrate Mastery, Creativity, and Identity through Deeper Learning.</w:t>
      </w:r>
    </w:p>
    <w:p w14:paraId="56D472CA" w14:textId="77777777" w:rsidR="00CD407D" w:rsidRDefault="00CD407D" w:rsidP="00CD407D">
      <w:pPr>
        <w:spacing w:after="0"/>
        <w:jc w:val="center"/>
        <w:rPr>
          <w:rFonts w:ascii="Georgia" w:hAnsi="Georgia"/>
          <w:color w:val="0C7580"/>
          <w:sz w:val="28"/>
          <w:szCs w:val="28"/>
        </w:rPr>
      </w:pPr>
    </w:p>
    <w:p w14:paraId="07CA4150" w14:textId="295E1FFA" w:rsidR="0031711B" w:rsidRPr="0031711B" w:rsidRDefault="0031711B" w:rsidP="0031711B">
      <w:pPr>
        <w:spacing w:after="0"/>
        <w:jc w:val="center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Additional Resources</w:t>
      </w:r>
    </w:p>
    <w:p w14:paraId="7E9C4F3C" w14:textId="3005472B" w:rsidR="0031711B" w:rsidRPr="00F1096E" w:rsidRDefault="0031711B" w:rsidP="0031711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FBFAD72" wp14:editId="087B1625">
                <wp:extent cx="6804660" cy="676275"/>
                <wp:effectExtent l="0" t="0" r="0" b="952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676275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E6DBC" w14:textId="38F51143" w:rsidR="00DC50FC" w:rsidRPr="00EF5892" w:rsidRDefault="003E1D7B" w:rsidP="00384D2C">
                            <w:pPr>
                              <w:spacing w:after="0"/>
                              <w:jc w:val="center"/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</w:pPr>
                            <w:hyperlink r:id="rId13" w:history="1">
                              <w:r w:rsidR="00D01A10" w:rsidRPr="00E5433E">
                                <w:rPr>
                                  <w:rStyle w:val="Hyperlink"/>
                                  <w:color w:val="auto"/>
                                </w:rPr>
                                <w:t>ACTFL Core Practices</w:t>
                              </w:r>
                            </w:hyperlink>
                            <w:r w:rsidR="00D01A10">
                              <w:t xml:space="preserve"> </w:t>
                            </w:r>
                            <w:r w:rsidR="00D01A10">
                              <w:rPr>
                                <w:rFonts w:cstheme="minorHAnsi"/>
                              </w:rPr>
                              <w:t>•</w:t>
                            </w:r>
                            <w:r w:rsidR="00D01A10" w:rsidRPr="00E5433E">
                              <w:t xml:space="preserve"> </w:t>
                            </w:r>
                            <w:hyperlink r:id="rId14" w:history="1">
                              <w:r w:rsidR="004262D3" w:rsidRPr="00E5433E">
                                <w:rPr>
                                  <w:rStyle w:val="Hyperlink"/>
                                  <w:color w:val="auto"/>
                                </w:rPr>
                                <w:t>ACTFL Proficiency Guidelines</w:t>
                              </w:r>
                            </w:hyperlink>
                            <w:r w:rsidR="008575CD">
                              <w:t xml:space="preserve"> </w:t>
                            </w:r>
                            <w:r w:rsidR="004262D3">
                              <w:rPr>
                                <w:rFonts w:cstheme="minorHAnsi"/>
                              </w:rPr>
                              <w:t xml:space="preserve">• </w:t>
                            </w:r>
                            <w:hyperlink r:id="rId15" w:history="1">
                              <w:r w:rsidR="00C8667F" w:rsidRPr="00C8667F">
                                <w:rPr>
                                  <w:rStyle w:val="Hyperlink"/>
                                </w:rPr>
                                <w:t>CARLA Step-by-Step Guide to Creating I</w:t>
                              </w:r>
                              <w:r w:rsidR="004262D3" w:rsidRPr="00C8667F">
                                <w:rPr>
                                  <w:rStyle w:val="Hyperlink"/>
                                </w:rPr>
                                <w:t>ntegrated Performance Assessments</w:t>
                              </w:r>
                            </w:hyperlink>
                            <w:r w:rsidR="008575CD">
                              <w:t xml:space="preserve"> </w:t>
                            </w:r>
                            <w:r w:rsidR="00D01A10">
                              <w:rPr>
                                <w:rFonts w:cstheme="minorHAnsi"/>
                              </w:rPr>
                              <w:t>•</w:t>
                            </w:r>
                            <w:r w:rsidR="00D01A10" w:rsidRPr="00E5433E">
                              <w:t xml:space="preserve"> </w:t>
                            </w:r>
                            <w:hyperlink r:id="rId16" w:history="1">
                              <w:r w:rsidR="00D01A10" w:rsidRPr="00B72335">
                                <w:rPr>
                                  <w:rStyle w:val="Hyperlink"/>
                                </w:rPr>
                                <w:t>MaFLA Programming</w:t>
                              </w:r>
                            </w:hyperlink>
                            <w:r w:rsidR="008575CD">
                              <w:t xml:space="preserve"> </w:t>
                            </w:r>
                            <w:r w:rsidR="004262D3">
                              <w:rPr>
                                <w:rFonts w:cstheme="minorHAnsi"/>
                              </w:rPr>
                              <w:t>•</w:t>
                            </w:r>
                            <w:r w:rsidR="004262D3" w:rsidRPr="00EF5892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7" w:history="1">
                              <w:r w:rsidR="004262D3" w:rsidRPr="00552557">
                                <w:rPr>
                                  <w:rStyle w:val="Hyperlink"/>
                                </w:rPr>
                                <w:t>Massachusetts World Languages Linguistic Components Summary</w:t>
                              </w:r>
                            </w:hyperlink>
                            <w:r w:rsidR="008575CD">
                              <w:t xml:space="preserve"> </w:t>
                            </w:r>
                            <w:r w:rsidR="00D01A10">
                              <w:rPr>
                                <w:rFonts w:cstheme="minorHAnsi"/>
                              </w:rPr>
                              <w:t>•</w:t>
                            </w:r>
                            <w:r w:rsidR="00D01A10" w:rsidRPr="00EF5892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8" w:history="1">
                              <w:r w:rsidR="00D01A10" w:rsidRPr="00552557">
                                <w:rPr>
                                  <w:rStyle w:val="Hyperlink"/>
                                </w:rPr>
                                <w:t>Massachusetts World Languages Quick Reference Guides</w:t>
                              </w:r>
                            </w:hyperlink>
                          </w:p>
                          <w:p w14:paraId="47C42730" w14:textId="1B9E67B6" w:rsidR="00DC50FC" w:rsidRDefault="00DC50FC" w:rsidP="00EF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FAD72" id="Rectangle 4" o:spid="_x0000_s1027" style="width:535.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" fillcolor="#0c7580" stroked="f" strokeweight="2pt">
                <v:textbox>
                  <w:txbxContent>
                    <w:p w14:paraId="2F7E6DBC" w14:textId="38F51143" w:rsidR="00DC50FC" w:rsidRPr="00EF5892" w:rsidRDefault="003E1D7B" w:rsidP="00384D2C">
                      <w:pPr>
                        <w:spacing w:after="0"/>
                        <w:jc w:val="center"/>
                        <w:rPr>
                          <w:rStyle w:val="FollowedHyperlink"/>
                          <w:color w:val="auto"/>
                          <w:u w:val="none"/>
                        </w:rPr>
                      </w:pPr>
                      <w:hyperlink r:id="rId19" w:history="1">
                        <w:r w:rsidR="00D01A10" w:rsidRPr="00E5433E">
                          <w:rPr>
                            <w:rStyle w:val="Hyperlink"/>
                            <w:color w:val="auto"/>
                          </w:rPr>
                          <w:t>ACTFL Core Practices</w:t>
                        </w:r>
                      </w:hyperlink>
                      <w:r w:rsidR="00D01A10">
                        <w:t xml:space="preserve"> </w:t>
                      </w:r>
                      <w:r w:rsidR="00D01A10">
                        <w:rPr>
                          <w:rFonts w:cstheme="minorHAnsi"/>
                        </w:rPr>
                        <w:t>•</w:t>
                      </w:r>
                      <w:r w:rsidR="00D01A10" w:rsidRPr="00E5433E">
                        <w:t xml:space="preserve"> </w:t>
                      </w:r>
                      <w:hyperlink r:id="rId20" w:history="1">
                        <w:r w:rsidR="004262D3" w:rsidRPr="00E5433E">
                          <w:rPr>
                            <w:rStyle w:val="Hyperlink"/>
                            <w:color w:val="auto"/>
                          </w:rPr>
                          <w:t>ACTFL Proficiency Guidelines</w:t>
                        </w:r>
                      </w:hyperlink>
                      <w:r w:rsidR="008575CD">
                        <w:t xml:space="preserve"> </w:t>
                      </w:r>
                      <w:r w:rsidR="004262D3">
                        <w:rPr>
                          <w:rFonts w:cstheme="minorHAnsi"/>
                        </w:rPr>
                        <w:t xml:space="preserve">• </w:t>
                      </w:r>
                      <w:hyperlink r:id="rId21" w:history="1">
                        <w:r w:rsidR="00C8667F" w:rsidRPr="00C8667F">
                          <w:rPr>
                            <w:rStyle w:val="Hyperlink"/>
                          </w:rPr>
                          <w:t>CARLA Step-by-Step Guide to Creating I</w:t>
                        </w:r>
                        <w:r w:rsidR="004262D3" w:rsidRPr="00C8667F">
                          <w:rPr>
                            <w:rStyle w:val="Hyperlink"/>
                          </w:rPr>
                          <w:t>ntegrated Performance Assessments</w:t>
                        </w:r>
                      </w:hyperlink>
                      <w:r w:rsidR="008575CD">
                        <w:t xml:space="preserve"> </w:t>
                      </w:r>
                      <w:r w:rsidR="00D01A10">
                        <w:rPr>
                          <w:rFonts w:cstheme="minorHAnsi"/>
                        </w:rPr>
                        <w:t>•</w:t>
                      </w:r>
                      <w:r w:rsidR="00D01A10" w:rsidRPr="00E5433E">
                        <w:t xml:space="preserve"> </w:t>
                      </w:r>
                      <w:hyperlink r:id="rId22" w:history="1">
                        <w:r w:rsidR="00D01A10" w:rsidRPr="00B72335">
                          <w:rPr>
                            <w:rStyle w:val="Hyperlink"/>
                          </w:rPr>
                          <w:t>MaFLA Programming</w:t>
                        </w:r>
                      </w:hyperlink>
                      <w:r w:rsidR="008575CD">
                        <w:t xml:space="preserve"> </w:t>
                      </w:r>
                      <w:r w:rsidR="004262D3">
                        <w:rPr>
                          <w:rFonts w:cstheme="minorHAnsi"/>
                        </w:rPr>
                        <w:t>•</w:t>
                      </w:r>
                      <w:r w:rsidR="004262D3" w:rsidRPr="00EF5892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hyperlink r:id="rId23" w:history="1">
                        <w:r w:rsidR="004262D3" w:rsidRPr="00552557">
                          <w:rPr>
                            <w:rStyle w:val="Hyperlink"/>
                          </w:rPr>
                          <w:t>Massachusetts World Languages Linguistic Components Summary</w:t>
                        </w:r>
                      </w:hyperlink>
                      <w:r w:rsidR="008575CD">
                        <w:t xml:space="preserve"> </w:t>
                      </w:r>
                      <w:r w:rsidR="00D01A10">
                        <w:rPr>
                          <w:rFonts w:cstheme="minorHAnsi"/>
                        </w:rPr>
                        <w:t>•</w:t>
                      </w:r>
                      <w:r w:rsidR="00D01A10" w:rsidRPr="00EF5892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hyperlink r:id="rId24" w:history="1">
                        <w:r w:rsidR="00D01A10" w:rsidRPr="00552557">
                          <w:rPr>
                            <w:rStyle w:val="Hyperlink"/>
                          </w:rPr>
                          <w:t>Massachusetts World Languages Quick Reference Guides</w:t>
                        </w:r>
                      </w:hyperlink>
                    </w:p>
                    <w:p w14:paraId="47C42730" w14:textId="1B9E67B6" w:rsidR="00DC50FC" w:rsidRDefault="00DC50FC" w:rsidP="00EF5892"/>
                  </w:txbxContent>
                </v:textbox>
                <w10:anchorlock/>
              </v:rect>
            </w:pict>
          </mc:Fallback>
        </mc:AlternateContent>
      </w:r>
    </w:p>
    <w:sectPr w:rsidR="0031711B" w:rsidRPr="00F1096E" w:rsidSect="00C1481E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144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64ECF" w14:textId="77777777" w:rsidR="003E1D7B" w:rsidRDefault="003E1D7B" w:rsidP="000636CE">
      <w:pPr>
        <w:spacing w:after="0" w:line="240" w:lineRule="auto"/>
      </w:pPr>
      <w:r>
        <w:separator/>
      </w:r>
    </w:p>
  </w:endnote>
  <w:endnote w:type="continuationSeparator" w:id="0">
    <w:p w14:paraId="650E65D1" w14:textId="77777777" w:rsidR="003E1D7B" w:rsidRDefault="003E1D7B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2F2D592D" w:rsidR="00E4426A" w:rsidRDefault="00E4426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20776013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4D17" w14:textId="77777777" w:rsidR="003E1D7B" w:rsidRDefault="003E1D7B" w:rsidP="000636CE">
      <w:pPr>
        <w:spacing w:after="0" w:line="240" w:lineRule="auto"/>
      </w:pPr>
      <w:r>
        <w:separator/>
      </w:r>
    </w:p>
  </w:footnote>
  <w:footnote w:type="continuationSeparator" w:id="0">
    <w:p w14:paraId="5DCC2DF8" w14:textId="77777777" w:rsidR="003E1D7B" w:rsidRDefault="003E1D7B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6821DE83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42D6E4CB" w:rsidR="000636CE" w:rsidRDefault="000636CE">
    <w:pPr>
      <w:pStyle w:val="Header"/>
    </w:pPr>
    <w:r>
      <w:rPr>
        <w:noProof/>
      </w:rPr>
      <w:drawing>
        <wp:inline distT="0" distB="0" distL="0" distR="0" wp14:anchorId="503CBCE9" wp14:editId="1547461B">
          <wp:extent cx="1261872" cy="612648"/>
          <wp:effectExtent l="0" t="0" r="0" b="0"/>
          <wp:docPr id="6" name="Picture 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C8E0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EC3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DE4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36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EA12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4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6013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2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C6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F4B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32975"/>
    <w:multiLevelType w:val="hybridMultilevel"/>
    <w:tmpl w:val="67C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12C5"/>
    <w:multiLevelType w:val="hybridMultilevel"/>
    <w:tmpl w:val="7E06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F1D05"/>
    <w:multiLevelType w:val="hybridMultilevel"/>
    <w:tmpl w:val="0442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2FBC"/>
    <w:multiLevelType w:val="hybridMultilevel"/>
    <w:tmpl w:val="FFE0F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C4C56"/>
    <w:multiLevelType w:val="hybridMultilevel"/>
    <w:tmpl w:val="7F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31421"/>
    <w:multiLevelType w:val="hybridMultilevel"/>
    <w:tmpl w:val="D61A654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1940A9A"/>
    <w:multiLevelType w:val="hybridMultilevel"/>
    <w:tmpl w:val="496E6A88"/>
    <w:lvl w:ilvl="0" w:tplc="06E838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05615"/>
    <w:multiLevelType w:val="hybridMultilevel"/>
    <w:tmpl w:val="8A6CBE28"/>
    <w:lvl w:ilvl="0" w:tplc="AF561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841B9"/>
    <w:multiLevelType w:val="hybridMultilevel"/>
    <w:tmpl w:val="7F94E74E"/>
    <w:lvl w:ilvl="0" w:tplc="39B2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C75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7"/>
  </w:num>
  <w:num w:numId="5">
    <w:abstractNumId w:val="14"/>
  </w:num>
  <w:num w:numId="6">
    <w:abstractNumId w:val="11"/>
  </w:num>
  <w:num w:numId="7">
    <w:abstractNumId w:val="12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05226"/>
    <w:rsid w:val="000135E8"/>
    <w:rsid w:val="00016F20"/>
    <w:rsid w:val="000200E4"/>
    <w:rsid w:val="00023CD8"/>
    <w:rsid w:val="00054C2C"/>
    <w:rsid w:val="000568C3"/>
    <w:rsid w:val="000636CE"/>
    <w:rsid w:val="00064DFF"/>
    <w:rsid w:val="000729BD"/>
    <w:rsid w:val="00072E88"/>
    <w:rsid w:val="000B321F"/>
    <w:rsid w:val="000C3AA4"/>
    <w:rsid w:val="000D4F28"/>
    <w:rsid w:val="000E1043"/>
    <w:rsid w:val="000F324E"/>
    <w:rsid w:val="0010008B"/>
    <w:rsid w:val="00103612"/>
    <w:rsid w:val="0013483A"/>
    <w:rsid w:val="0015304C"/>
    <w:rsid w:val="00157EBF"/>
    <w:rsid w:val="00166208"/>
    <w:rsid w:val="00173CB8"/>
    <w:rsid w:val="001801F9"/>
    <w:rsid w:val="00186F51"/>
    <w:rsid w:val="00196857"/>
    <w:rsid w:val="00196B9B"/>
    <w:rsid w:val="001A1750"/>
    <w:rsid w:val="001A3691"/>
    <w:rsid w:val="001B0EFD"/>
    <w:rsid w:val="001D5D41"/>
    <w:rsid w:val="001F5C94"/>
    <w:rsid w:val="0022302E"/>
    <w:rsid w:val="00225592"/>
    <w:rsid w:val="002404C9"/>
    <w:rsid w:val="002526E4"/>
    <w:rsid w:val="00254B14"/>
    <w:rsid w:val="00285E84"/>
    <w:rsid w:val="00292D3D"/>
    <w:rsid w:val="002D4ADA"/>
    <w:rsid w:val="002E06F4"/>
    <w:rsid w:val="002E5CD0"/>
    <w:rsid w:val="002F392A"/>
    <w:rsid w:val="0031711B"/>
    <w:rsid w:val="00332278"/>
    <w:rsid w:val="00335794"/>
    <w:rsid w:val="003400CE"/>
    <w:rsid w:val="00342DE7"/>
    <w:rsid w:val="00351C39"/>
    <w:rsid w:val="00371E23"/>
    <w:rsid w:val="00375A57"/>
    <w:rsid w:val="003823D9"/>
    <w:rsid w:val="00382477"/>
    <w:rsid w:val="00384D2C"/>
    <w:rsid w:val="00397605"/>
    <w:rsid w:val="003A42D2"/>
    <w:rsid w:val="003E1D7B"/>
    <w:rsid w:val="003E49F2"/>
    <w:rsid w:val="00402FE7"/>
    <w:rsid w:val="004064D1"/>
    <w:rsid w:val="00413018"/>
    <w:rsid w:val="00413610"/>
    <w:rsid w:val="004262D3"/>
    <w:rsid w:val="004424C2"/>
    <w:rsid w:val="00456678"/>
    <w:rsid w:val="00456781"/>
    <w:rsid w:val="00461002"/>
    <w:rsid w:val="0047240E"/>
    <w:rsid w:val="0047399F"/>
    <w:rsid w:val="0048030D"/>
    <w:rsid w:val="00483961"/>
    <w:rsid w:val="004945CB"/>
    <w:rsid w:val="00495305"/>
    <w:rsid w:val="00497D16"/>
    <w:rsid w:val="004A0BF5"/>
    <w:rsid w:val="004E2BCD"/>
    <w:rsid w:val="004E6263"/>
    <w:rsid w:val="004E76AF"/>
    <w:rsid w:val="00503D58"/>
    <w:rsid w:val="00510AC4"/>
    <w:rsid w:val="00515812"/>
    <w:rsid w:val="00517BA1"/>
    <w:rsid w:val="005442EA"/>
    <w:rsid w:val="00547EBD"/>
    <w:rsid w:val="00552557"/>
    <w:rsid w:val="005A4E9C"/>
    <w:rsid w:val="005A6E52"/>
    <w:rsid w:val="005B0392"/>
    <w:rsid w:val="005D25F4"/>
    <w:rsid w:val="006138AD"/>
    <w:rsid w:val="0062286C"/>
    <w:rsid w:val="006308DF"/>
    <w:rsid w:val="00631CE8"/>
    <w:rsid w:val="006477A9"/>
    <w:rsid w:val="00654CDD"/>
    <w:rsid w:val="00664EAA"/>
    <w:rsid w:val="0067322F"/>
    <w:rsid w:val="00673286"/>
    <w:rsid w:val="00690BD3"/>
    <w:rsid w:val="006A7A05"/>
    <w:rsid w:val="006B1E41"/>
    <w:rsid w:val="006C2130"/>
    <w:rsid w:val="006E7125"/>
    <w:rsid w:val="0074536F"/>
    <w:rsid w:val="00754662"/>
    <w:rsid w:val="00770FB7"/>
    <w:rsid w:val="00780429"/>
    <w:rsid w:val="00785748"/>
    <w:rsid w:val="00796511"/>
    <w:rsid w:val="00796A8E"/>
    <w:rsid w:val="007B7304"/>
    <w:rsid w:val="007B761A"/>
    <w:rsid w:val="007C2F9C"/>
    <w:rsid w:val="007C5DBD"/>
    <w:rsid w:val="007D0A63"/>
    <w:rsid w:val="007E4C0C"/>
    <w:rsid w:val="00802590"/>
    <w:rsid w:val="00815B5A"/>
    <w:rsid w:val="008348B4"/>
    <w:rsid w:val="008575CD"/>
    <w:rsid w:val="00861E71"/>
    <w:rsid w:val="00864B1E"/>
    <w:rsid w:val="0087136D"/>
    <w:rsid w:val="008869F8"/>
    <w:rsid w:val="008D5BE6"/>
    <w:rsid w:val="008E056C"/>
    <w:rsid w:val="008E33EE"/>
    <w:rsid w:val="008E4DE4"/>
    <w:rsid w:val="00932A8C"/>
    <w:rsid w:val="009665E1"/>
    <w:rsid w:val="009744BC"/>
    <w:rsid w:val="00976565"/>
    <w:rsid w:val="00987916"/>
    <w:rsid w:val="009A6E8E"/>
    <w:rsid w:val="009B6CAB"/>
    <w:rsid w:val="009C4FB7"/>
    <w:rsid w:val="009D6D88"/>
    <w:rsid w:val="009E4AA0"/>
    <w:rsid w:val="009F3826"/>
    <w:rsid w:val="009F38A6"/>
    <w:rsid w:val="00A155F0"/>
    <w:rsid w:val="00A318C9"/>
    <w:rsid w:val="00A35269"/>
    <w:rsid w:val="00A42B31"/>
    <w:rsid w:val="00A65C91"/>
    <w:rsid w:val="00A70AE4"/>
    <w:rsid w:val="00A8305A"/>
    <w:rsid w:val="00AC297C"/>
    <w:rsid w:val="00AD3A80"/>
    <w:rsid w:val="00AF222E"/>
    <w:rsid w:val="00AF66BA"/>
    <w:rsid w:val="00B006D5"/>
    <w:rsid w:val="00B07E33"/>
    <w:rsid w:val="00B17E48"/>
    <w:rsid w:val="00B27DF6"/>
    <w:rsid w:val="00B356F7"/>
    <w:rsid w:val="00B62E85"/>
    <w:rsid w:val="00B813C0"/>
    <w:rsid w:val="00B97163"/>
    <w:rsid w:val="00BA2D4C"/>
    <w:rsid w:val="00BC2549"/>
    <w:rsid w:val="00BC50BD"/>
    <w:rsid w:val="00BD5002"/>
    <w:rsid w:val="00BE4EE9"/>
    <w:rsid w:val="00C0092C"/>
    <w:rsid w:val="00C03F1B"/>
    <w:rsid w:val="00C1481E"/>
    <w:rsid w:val="00C32B0F"/>
    <w:rsid w:val="00C37B01"/>
    <w:rsid w:val="00C42DE7"/>
    <w:rsid w:val="00C4764C"/>
    <w:rsid w:val="00C65CA4"/>
    <w:rsid w:val="00C71929"/>
    <w:rsid w:val="00C729CC"/>
    <w:rsid w:val="00C804CD"/>
    <w:rsid w:val="00C8667F"/>
    <w:rsid w:val="00C940F7"/>
    <w:rsid w:val="00CA2C27"/>
    <w:rsid w:val="00CA5A62"/>
    <w:rsid w:val="00CD346E"/>
    <w:rsid w:val="00CD407D"/>
    <w:rsid w:val="00CD4134"/>
    <w:rsid w:val="00D01A10"/>
    <w:rsid w:val="00D02F14"/>
    <w:rsid w:val="00D13FA6"/>
    <w:rsid w:val="00D374D5"/>
    <w:rsid w:val="00D43A93"/>
    <w:rsid w:val="00D47002"/>
    <w:rsid w:val="00D552BE"/>
    <w:rsid w:val="00D727EC"/>
    <w:rsid w:val="00D8688C"/>
    <w:rsid w:val="00D96F30"/>
    <w:rsid w:val="00DB149F"/>
    <w:rsid w:val="00DC50FC"/>
    <w:rsid w:val="00DE3523"/>
    <w:rsid w:val="00DF65F0"/>
    <w:rsid w:val="00E008F2"/>
    <w:rsid w:val="00E00CB2"/>
    <w:rsid w:val="00E33E9B"/>
    <w:rsid w:val="00E4426A"/>
    <w:rsid w:val="00E47FD1"/>
    <w:rsid w:val="00E5012A"/>
    <w:rsid w:val="00E5550C"/>
    <w:rsid w:val="00E57431"/>
    <w:rsid w:val="00E57E8C"/>
    <w:rsid w:val="00E72085"/>
    <w:rsid w:val="00E85B63"/>
    <w:rsid w:val="00E955F7"/>
    <w:rsid w:val="00EB3E2B"/>
    <w:rsid w:val="00EF5892"/>
    <w:rsid w:val="00EF64F0"/>
    <w:rsid w:val="00F1096E"/>
    <w:rsid w:val="00F34BA0"/>
    <w:rsid w:val="00F44945"/>
    <w:rsid w:val="00F575B2"/>
    <w:rsid w:val="00F652B7"/>
    <w:rsid w:val="00FA1B5B"/>
    <w:rsid w:val="00FA62BB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57"/>
  </w:style>
  <w:style w:type="paragraph" w:styleId="Heading1">
    <w:name w:val="heading 1"/>
    <w:basedOn w:val="Normal"/>
    <w:next w:val="Normal"/>
    <w:link w:val="Heading1Char"/>
    <w:uiPriority w:val="9"/>
    <w:qFormat/>
    <w:rsid w:val="0086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557"/>
    <w:rPr>
      <w:color w:val="FFFFFF" w:themeColor="background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1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DF65F0"/>
    <w:rPr>
      <w:color w:val="802B0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5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56F7"/>
    <w:pPr>
      <w:spacing w:after="0" w:line="240" w:lineRule="auto"/>
    </w:pPr>
  </w:style>
  <w:style w:type="table" w:styleId="TableGrid">
    <w:name w:val="Table Grid"/>
    <w:basedOn w:val="TableNormal"/>
    <w:uiPriority w:val="39"/>
    <w:rsid w:val="0017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tfl.org/resources/guiding-principles-language-learning" TargetMode="External"/><Relationship Id="rId18" Type="http://schemas.openxmlformats.org/officeDocument/2006/relationships/hyperlink" Target="https://www.doe.mass.edu/worldlanguages/support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arla.umn.edu/assessment/vac/CreateUnit/p_2.htm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doe.mass.edu/worldlanguages/support/linguistic-components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fla.org/pdonline/" TargetMode="External"/><Relationship Id="rId20" Type="http://schemas.openxmlformats.org/officeDocument/2006/relationships/hyperlink" Target="https://www.actfl.org/resources/actfl-proficiency-guidelines-20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oe.mass.edu/worldlanguages/support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carla.umn.edu/assessment/vac/CreateUnit/p_2.html" TargetMode="External"/><Relationship Id="rId23" Type="http://schemas.openxmlformats.org/officeDocument/2006/relationships/hyperlink" Target="https://www.doe.mass.edu/worldlanguages/support/linguistic-components.pdf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actfl.org/resources/guiding-principles-language-learni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tfl.org/resources/actfl-proficiency-guidelines-2012" TargetMode="External"/><Relationship Id="rId22" Type="http://schemas.openxmlformats.org/officeDocument/2006/relationships/hyperlink" Target="https://mafla.org/pdonline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Cam07</b:Tag>
    <b:SourceType>JournalArticle</b:SourceType>
    <b:Guid>{4E6BE9EB-99A4-4641-AAF9-4F67F0EE772F}</b:Guid>
    <b:Author>
      <b:Author>
        <b:NameList>
          <b:Person>
            <b:Last>Campbell</b:Last>
            <b:First>C.</b:First>
          </b:Person>
          <b:Person>
            <b:Last>Duncan</b:Last>
            <b:First>G</b:First>
          </b:Person>
        </b:NameList>
      </b:Author>
    </b:Author>
    <b:Year>2007</b:Year>
    <b:Title>From theory to practice: General trends in foreign language teaching methodology and their influence on language assessment</b:Title>
    <b:JournalName>Language and Linguistics Compass</b:JournalName>
    <b:Volume>1</b:Volume>
    <b:Issue>6</b:Issue>
    <b:Pages>592-611</b:Pages>
    <b:RefOrder>4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DESE-231-68993</_dlc_DocId>
    <_dlc_DocIdUrl xmlns="733efe1c-5bbe-4968-87dc-d400e65c879f">
      <Url>https://sharepoint.doemass.org/ese/webteam/cps/_layouts/DocIdRedir.aspx?ID=DESE-231-68993</Url>
      <Description>DESE-231-68993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0F3A11-A55A-48A3-9FD4-92432F20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9422E-3DAD-4FCC-BD74-B4AF0679D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9823D-674C-4B16-86D3-2AD4C81C0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03258-20B8-4AA4-942A-50D61E8D50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BC3B521-BB99-44A3-B9B2-8079787CF6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Assessment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 Summary</dc:title>
  <dc:subject/>
  <dc:creator>DESE</dc:creator>
  <cp:keywords/>
  <dc:description/>
  <cp:lastModifiedBy>Zou, Dong (EOE)</cp:lastModifiedBy>
  <cp:revision>12</cp:revision>
  <cp:lastPrinted>2020-12-16T16:02:00Z</cp:lastPrinted>
  <dcterms:created xsi:type="dcterms:W3CDTF">2022-02-24T03:22:00Z</dcterms:created>
  <dcterms:modified xsi:type="dcterms:W3CDTF">2022-03-29T21:22:00Z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29 2022</vt:lpwstr>
  </property>
</Properties>
</file>