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A97B" w14:textId="782B5ED7" w:rsidR="0031711B" w:rsidRPr="00EF098E" w:rsidRDefault="0031711B" w:rsidP="00EF098E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07576F">
        <w:rPr>
          <w:rFonts w:ascii="Georgia" w:hAnsi="Georgia"/>
          <w:color w:val="0C7580"/>
          <w:sz w:val="32"/>
          <w:szCs w:val="32"/>
        </w:rPr>
        <w:t>8</w:t>
      </w:r>
      <w:r>
        <w:rPr>
          <w:rFonts w:ascii="Georgia" w:hAnsi="Georgia"/>
          <w:color w:val="0C7580"/>
          <w:sz w:val="32"/>
          <w:szCs w:val="32"/>
        </w:rPr>
        <w:t xml:space="preserve">: </w:t>
      </w:r>
      <w:r w:rsidR="00251FDA">
        <w:rPr>
          <w:rFonts w:ascii="Georgia" w:hAnsi="Georgia"/>
          <w:color w:val="0C7580"/>
          <w:sz w:val="32"/>
          <w:szCs w:val="32"/>
        </w:rPr>
        <w:t>Inter</w:t>
      </w:r>
      <w:r w:rsidR="0007576F">
        <w:rPr>
          <w:rFonts w:ascii="Georgia" w:hAnsi="Georgia"/>
          <w:color w:val="0C7580"/>
          <w:sz w:val="32"/>
          <w:szCs w:val="32"/>
        </w:rPr>
        <w:t>cultural</w:t>
      </w:r>
      <w:r w:rsidR="00251FDA">
        <w:rPr>
          <w:rFonts w:ascii="Georgia" w:hAnsi="Georgia"/>
          <w:color w:val="0C7580"/>
          <w:sz w:val="32"/>
          <w:szCs w:val="32"/>
        </w:rPr>
        <w:t xml:space="preserve"> Communication Standards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7F484ECF">
                <wp:extent cx="6804660" cy="508958"/>
                <wp:effectExtent l="0" t="0" r="0" b="571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08958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6CB67466" w:rsidR="000636CE" w:rsidRDefault="00EF098E" w:rsidP="0023643E">
                            <w:pPr>
                              <w:jc w:val="center"/>
                            </w:pPr>
                            <w:r>
                              <w:t xml:space="preserve">This module provides an overview </w:t>
                            </w:r>
                            <w:r w:rsidR="00251FDA">
                              <w:t>of the mode of Inter</w:t>
                            </w:r>
                            <w:r w:rsidR="0007576F">
                              <w:t>cultural</w:t>
                            </w:r>
                            <w:r w:rsidR="00251FDA">
                              <w:t xml:space="preserve"> Communication</w:t>
                            </w:r>
                            <w:r>
                              <w:t>, discuss</w:t>
                            </w:r>
                            <w:r w:rsidR="00160119">
                              <w:t>es</w:t>
                            </w:r>
                            <w:r w:rsidR="00CF2B3A">
                              <w:t xml:space="preserve"> </w:t>
                            </w:r>
                            <w:r w:rsidR="00251FDA">
                              <w:t>the Massachusetts World Languages Standards for Interpersonal Communication</w:t>
                            </w:r>
                            <w:r w:rsidR="00CF2B3A">
                              <w:t>,</w:t>
                            </w:r>
                            <w:r w:rsidRPr="00EF098E">
                              <w:t xml:space="preserve"> and </w:t>
                            </w:r>
                            <w:r w:rsidR="00160119" w:rsidRPr="00EF098E">
                              <w:t>highlight</w:t>
                            </w:r>
                            <w:r w:rsidR="00160119">
                              <w:t xml:space="preserve">s </w:t>
                            </w:r>
                            <w:r w:rsidRPr="00EF098E">
                              <w:t xml:space="preserve">ways </w:t>
                            </w:r>
                            <w:r w:rsidR="00251FDA">
                              <w:t>to address the Standards</w:t>
                            </w:r>
                            <w:r w:rsidR="00497B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" fillcolor="#0c7580" stroked="f" strokeweight="2pt">
                <v:textbox>
                  <w:txbxContent>
                    <w:p w14:paraId="2C3B6029" w14:textId="6CB67466" w:rsidR="000636CE" w:rsidRDefault="00EF098E" w:rsidP="0023643E">
                      <w:pPr>
                        <w:jc w:val="center"/>
                      </w:pPr>
                      <w:r>
                        <w:t xml:space="preserve">This module provides an overview </w:t>
                      </w:r>
                      <w:r w:rsidR="00251FDA">
                        <w:t>of the mode of Inter</w:t>
                      </w:r>
                      <w:r w:rsidR="0007576F">
                        <w:t>cultural</w:t>
                      </w:r>
                      <w:r w:rsidR="00251FDA">
                        <w:t xml:space="preserve"> Communication</w:t>
                      </w:r>
                      <w:r>
                        <w:t>, discuss</w:t>
                      </w:r>
                      <w:r w:rsidR="00160119">
                        <w:t>es</w:t>
                      </w:r>
                      <w:r w:rsidR="00CF2B3A">
                        <w:t xml:space="preserve"> </w:t>
                      </w:r>
                      <w:r w:rsidR="00251FDA">
                        <w:t>the Massachusetts World Languages Standards for Interpersonal Communication</w:t>
                      </w:r>
                      <w:r w:rsidR="00CF2B3A">
                        <w:t>,</w:t>
                      </w:r>
                      <w:r w:rsidRPr="00EF098E">
                        <w:t xml:space="preserve"> and </w:t>
                      </w:r>
                      <w:r w:rsidR="00160119" w:rsidRPr="00EF098E">
                        <w:t>highlight</w:t>
                      </w:r>
                      <w:r w:rsidR="00160119">
                        <w:t xml:space="preserve">s </w:t>
                      </w:r>
                      <w:r w:rsidRPr="00EF098E">
                        <w:t xml:space="preserve">ways </w:t>
                      </w:r>
                      <w:r w:rsidR="00251FDA">
                        <w:t>to address the Standards</w:t>
                      </w:r>
                      <w:r w:rsidR="00497BA5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7BD403" w14:textId="77777777" w:rsidR="0031711B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4BA85228" w14:textId="25039F79" w:rsidR="000636CE" w:rsidRDefault="00251FDA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Inter</w:t>
      </w:r>
      <w:r w:rsidR="0007576F">
        <w:rPr>
          <w:rFonts w:ascii="Georgia" w:hAnsi="Georgia"/>
          <w:color w:val="0C7580"/>
          <w:sz w:val="28"/>
          <w:szCs w:val="28"/>
        </w:rPr>
        <w:t>cultural</w:t>
      </w:r>
      <w:r>
        <w:rPr>
          <w:rFonts w:ascii="Georgia" w:hAnsi="Georgia"/>
          <w:color w:val="0C7580"/>
          <w:sz w:val="28"/>
          <w:szCs w:val="28"/>
        </w:rPr>
        <w:t xml:space="preserve"> Communication</w:t>
      </w:r>
    </w:p>
    <w:p w14:paraId="582AF108" w14:textId="49D98062" w:rsidR="0031711B" w:rsidRPr="00EF098E" w:rsidRDefault="00C07020" w:rsidP="00EB3E2B">
      <w:pPr>
        <w:spacing w:after="0"/>
        <w:rPr>
          <w:rFonts w:cstheme="minorHAnsi"/>
        </w:rPr>
      </w:pPr>
      <w:r>
        <w:t xml:space="preserve">This mode involves </w:t>
      </w:r>
      <w:r w:rsidR="0007576F" w:rsidRPr="0007576F">
        <w:t xml:space="preserve">interacting appropriately with others in and from another culture. </w:t>
      </w:r>
      <w:r w:rsidR="00E05EFB" w:rsidRPr="00D96526">
        <w:rPr>
          <w:rFonts w:cstheme="minorHAnsi"/>
        </w:rPr>
        <w:t xml:space="preserve">In </w:t>
      </w:r>
      <w:r w:rsidR="00E05EFB">
        <w:rPr>
          <w:rFonts w:cstheme="minorHAnsi"/>
        </w:rPr>
        <w:t>this</w:t>
      </w:r>
      <w:r w:rsidR="00E05EFB" w:rsidRPr="00D96526">
        <w:rPr>
          <w:rFonts w:cstheme="minorHAnsi"/>
        </w:rPr>
        <w:t xml:space="preserve"> mode, </w:t>
      </w:r>
      <w:r w:rsidR="0007576F" w:rsidRPr="0007576F">
        <w:rPr>
          <w:rFonts w:cstheme="minorHAnsi"/>
        </w:rPr>
        <w:t>students read, listen, and view through the lens that the message’s originator intended</w:t>
      </w:r>
      <w:r w:rsidR="0007576F">
        <w:rPr>
          <w:rFonts w:cstheme="minorHAnsi"/>
        </w:rPr>
        <w:t>, and</w:t>
      </w:r>
      <w:r w:rsidR="0007576F" w:rsidRPr="0007576F">
        <w:rPr>
          <w:rFonts w:cstheme="minorHAnsi"/>
        </w:rPr>
        <w:t xml:space="preserve"> students select language and topics that will be </w:t>
      </w:r>
      <w:r w:rsidR="00AB19FB">
        <w:rPr>
          <w:rFonts w:cstheme="minorHAnsi"/>
        </w:rPr>
        <w:t xml:space="preserve">appropriate and </w:t>
      </w:r>
      <w:r w:rsidR="0007576F" w:rsidRPr="0007576F">
        <w:rPr>
          <w:rFonts w:cstheme="minorHAnsi"/>
        </w:rPr>
        <w:t>comprehensible to their audience or interlocutor(s)</w:t>
      </w:r>
      <w:r w:rsidR="0007576F">
        <w:rPr>
          <w:rFonts w:cstheme="minorHAnsi"/>
        </w:rPr>
        <w:t xml:space="preserve"> when transmitting information. </w:t>
      </w:r>
      <w:r w:rsidR="00D96526">
        <w:t>Proficiency in Int</w:t>
      </w:r>
      <w:r w:rsidR="0007576F">
        <w:t xml:space="preserve">ercultural </w:t>
      </w:r>
      <w:r w:rsidR="00D96526">
        <w:t xml:space="preserve">Communication </w:t>
      </w:r>
      <w:r w:rsidR="0007576F" w:rsidRPr="0007576F">
        <w:t>encourages students to respect and uphold the value of all cultures and languages</w:t>
      </w:r>
      <w:r w:rsidR="00D96526">
        <w:t xml:space="preserve">, helps students </w:t>
      </w:r>
      <w:r w:rsidR="0007576F" w:rsidRPr="0007576F">
        <w:t>investigat</w:t>
      </w:r>
      <w:r w:rsidR="00AB19FB">
        <w:t>e</w:t>
      </w:r>
      <w:r w:rsidR="0007576F" w:rsidRPr="0007576F">
        <w:t xml:space="preserve"> </w:t>
      </w:r>
      <w:r w:rsidR="00AB19FB">
        <w:t xml:space="preserve">cultural </w:t>
      </w:r>
      <w:r w:rsidR="0007576F" w:rsidRPr="0007576F">
        <w:t>products</w:t>
      </w:r>
      <w:r w:rsidR="00AB19FB">
        <w:t xml:space="preserve">, </w:t>
      </w:r>
      <w:r w:rsidR="0007576F" w:rsidRPr="0007576F">
        <w:t>practices</w:t>
      </w:r>
      <w:r w:rsidR="00AB19FB">
        <w:t xml:space="preserve">, and </w:t>
      </w:r>
      <w:r w:rsidR="0007576F" w:rsidRPr="0007576F">
        <w:t>perspectives</w:t>
      </w:r>
      <w:r w:rsidR="00D96526">
        <w:t>, and supports students in advancing their proficiency in other communicative modes</w:t>
      </w:r>
      <w:r w:rsidR="00A8130B">
        <w:t xml:space="preserve"> </w:t>
      </w:r>
      <w:r w:rsidR="008E646C">
        <w:t>and</w:t>
      </w:r>
      <w:r w:rsidR="00A8130B">
        <w:t xml:space="preserve"> participating in their communities.</w:t>
      </w:r>
    </w:p>
    <w:p w14:paraId="4BC7CA21" w14:textId="25D6885F" w:rsidR="0031711B" w:rsidRDefault="00565CC5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  </w:t>
      </w:r>
    </w:p>
    <w:p w14:paraId="49801E4D" w14:textId="5AE6559F" w:rsidR="0031711B" w:rsidRDefault="00251FDA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Inter</w:t>
      </w:r>
      <w:r w:rsidR="00AB19FB">
        <w:rPr>
          <w:rFonts w:ascii="Georgia" w:hAnsi="Georgia"/>
          <w:color w:val="0C7580"/>
          <w:sz w:val="28"/>
          <w:szCs w:val="28"/>
        </w:rPr>
        <w:t>cultural</w:t>
      </w:r>
      <w:r>
        <w:rPr>
          <w:rFonts w:ascii="Georgia" w:hAnsi="Georgia"/>
          <w:color w:val="0C7580"/>
          <w:sz w:val="28"/>
          <w:szCs w:val="28"/>
        </w:rPr>
        <w:t xml:space="preserve"> Communication Standards</w:t>
      </w:r>
    </w:p>
    <w:p w14:paraId="49B9BA6C" w14:textId="7982D7A0" w:rsidR="00497BA5" w:rsidRDefault="002A7CD1" w:rsidP="00EF098E">
      <w:pPr>
        <w:spacing w:after="0"/>
      </w:pPr>
      <w:r>
        <w:rPr>
          <w:rFonts w:cstheme="minorHAnsi"/>
        </w:rPr>
        <w:t>The</w:t>
      </w:r>
      <w:r w:rsidR="00D96526">
        <w:rPr>
          <w:rFonts w:cstheme="minorHAnsi"/>
        </w:rPr>
        <w:t xml:space="preserve"> Massachusetts World Languages Standards for Inter</w:t>
      </w:r>
      <w:r w:rsidR="00AB19FB">
        <w:rPr>
          <w:rFonts w:cstheme="minorHAnsi"/>
        </w:rPr>
        <w:t>cultural</w:t>
      </w:r>
      <w:r w:rsidR="00D96526">
        <w:rPr>
          <w:rFonts w:cstheme="minorHAnsi"/>
        </w:rPr>
        <w:t xml:space="preserve"> Communication </w:t>
      </w:r>
      <w:r>
        <w:rPr>
          <w:rFonts w:cstheme="minorHAnsi"/>
        </w:rPr>
        <w:t>describe</w:t>
      </w:r>
      <w:r w:rsidR="00D96526">
        <w:rPr>
          <w:rFonts w:cstheme="minorHAnsi"/>
        </w:rPr>
        <w:t xml:space="preserve"> </w:t>
      </w:r>
      <w:r w:rsidR="00D96526">
        <w:t xml:space="preserve">the skills that students can demonstrate at different levels of proficiency. </w:t>
      </w:r>
      <w:r w:rsidR="00CF309C">
        <w:t>The Inter</w:t>
      </w:r>
      <w:r w:rsidR="00AB19FB">
        <w:t>cultural</w:t>
      </w:r>
      <w:r w:rsidR="00CF309C">
        <w:t xml:space="preserve"> Communication Standard at each proficiency level</w:t>
      </w:r>
      <w:r w:rsidR="00D96526">
        <w:t xml:space="preserve"> contains between three and </w:t>
      </w:r>
      <w:r w:rsidR="00AB19FB">
        <w:t>five</w:t>
      </w:r>
      <w:r w:rsidR="009D403A">
        <w:t xml:space="preserve"> </w:t>
      </w:r>
      <w:r w:rsidR="00D96526">
        <w:t xml:space="preserve">different </w:t>
      </w:r>
      <w:r w:rsidR="00EE67BE">
        <w:t>F</w:t>
      </w:r>
      <w:r w:rsidR="0017786B">
        <w:t>unctions</w:t>
      </w:r>
      <w:r w:rsidR="00D96526">
        <w:t xml:space="preserve">, </w:t>
      </w:r>
      <w:r w:rsidR="00D96526" w:rsidRPr="00D96526">
        <w:t xml:space="preserve">numbered from </w:t>
      </w:r>
      <w:r w:rsidR="00AB19FB">
        <w:t>4</w:t>
      </w:r>
      <w:r w:rsidR="00D96526" w:rsidRPr="00D96526">
        <w:t xml:space="preserve">.a. to </w:t>
      </w:r>
      <w:r w:rsidR="00A8130B">
        <w:t>4</w:t>
      </w:r>
      <w:r w:rsidR="00D96526" w:rsidRPr="00D96526">
        <w:t>.</w:t>
      </w:r>
      <w:r w:rsidR="00AB19FB">
        <w:t>e</w:t>
      </w:r>
      <w:r w:rsidR="00D96526" w:rsidRPr="00D96526">
        <w:t xml:space="preserve"> along with the proficiency level abbreviation.</w:t>
      </w:r>
      <w:r w:rsidR="00D96526">
        <w:t xml:space="preserve"> The chart below shows how </w:t>
      </w:r>
      <w:r w:rsidR="00E05EFB">
        <w:t>F</w:t>
      </w:r>
      <w:r>
        <w:t xml:space="preserve">unctions </w:t>
      </w:r>
      <w:r w:rsidR="00D96526">
        <w:t>progress across proficiency levels within the Inter</w:t>
      </w:r>
      <w:r w:rsidR="00AB19FB">
        <w:t>cultural</w:t>
      </w:r>
      <w:r w:rsidR="00D96526">
        <w:t xml:space="preserve"> Communication Standard</w:t>
      </w:r>
      <w:r w:rsidR="00843774">
        <w:t>s</w:t>
      </w:r>
      <w:r w:rsidR="00D96526">
        <w:t>.</w:t>
      </w:r>
      <w:r>
        <w:t xml:space="preserve"> </w:t>
      </w:r>
      <w:bookmarkStart w:id="0" w:name="_Hlk95913389"/>
      <w:r>
        <w:t xml:space="preserve">Check marks in a new row indicate </w:t>
      </w:r>
      <w:r w:rsidR="00E05EFB">
        <w:t>F</w:t>
      </w:r>
      <w:r>
        <w:t>unctions that emerge at higher proficiency levels and check marks with a plus sign indicate new, more rigorous features of a previously acquired</w:t>
      </w:r>
      <w:r w:rsidR="00E05EFB">
        <w:t xml:space="preserve"> F</w:t>
      </w:r>
      <w:r>
        <w:t>unction.</w:t>
      </w:r>
      <w:bookmarkEnd w:id="0"/>
    </w:p>
    <w:p w14:paraId="4D58D179" w14:textId="77777777" w:rsidR="00A961C3" w:rsidRDefault="00A961C3" w:rsidP="00EF098E">
      <w:pPr>
        <w:spacing w:after="0"/>
      </w:pPr>
    </w:p>
    <w:tbl>
      <w:tblPr>
        <w:tblW w:w="665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0"/>
        <w:gridCol w:w="610"/>
        <w:gridCol w:w="630"/>
        <w:gridCol w:w="630"/>
        <w:gridCol w:w="630"/>
        <w:gridCol w:w="630"/>
        <w:gridCol w:w="630"/>
        <w:gridCol w:w="630"/>
        <w:gridCol w:w="630"/>
        <w:gridCol w:w="630"/>
        <w:gridCol w:w="540"/>
      </w:tblGrid>
      <w:tr w:rsidR="003C6C75" w:rsidRPr="003C6C75" w14:paraId="2C444EBA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B3C70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A5042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NL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5B6F7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NM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8E40B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NH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14A51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IL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CFAD7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IM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FD5C9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IH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94507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AL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A028C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AM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08902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AH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4C48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S</w:t>
            </w:r>
          </w:p>
        </w:tc>
      </w:tr>
      <w:tr w:rsidR="003C6C75" w:rsidRPr="003C6C75" w14:paraId="670C4ABA" w14:textId="77777777" w:rsidTr="003C6C75">
        <w:trPr>
          <w:jc w:val="center"/>
        </w:trPr>
        <w:tc>
          <w:tcPr>
            <w:tcW w:w="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D0DC3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 xml:space="preserve">a. </w:t>
            </w:r>
          </w:p>
        </w:tc>
        <w:tc>
          <w:tcPr>
            <w:tcW w:w="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5C3A9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011B9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4AC32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EA04D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954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36D2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053E1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EB43C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51EF0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0BF6B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</w:tr>
      <w:tr w:rsidR="003C6C75" w:rsidRPr="003C6C75" w14:paraId="7EE4A9FC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BC01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 xml:space="preserve">b. 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B265D73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9DBC5BD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F3DD003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1A93A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6015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F512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A5057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8F264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7EFE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B10E9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</w:tr>
      <w:tr w:rsidR="003C6C75" w:rsidRPr="003C6C75" w14:paraId="2A7FF918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A259B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 xml:space="preserve">c. 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E6164E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969CC1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AC748B9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DCE27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A8C34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17F28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7FA52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AFEF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542F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  <w:r w:rsidRPr="003C6C75">
              <w:rPr>
                <w:rFonts w:cstheme="minorHAnsi"/>
              </w:rPr>
              <w:t>+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7F99D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</w:tr>
      <w:tr w:rsidR="003C6C75" w:rsidRPr="003C6C75" w14:paraId="27E2C765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83C758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d.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83223A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C5122A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56C248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6802A5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3A6082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9562FF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03AF93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735334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574B993A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422DC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</w:tr>
      <w:tr w:rsidR="003C6C75" w:rsidRPr="003C6C75" w14:paraId="3C019D49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2082597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cstheme="minorHAnsi"/>
              </w:rPr>
              <w:t>e.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96D8AA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02BE30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46F568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415294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09A94C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B07E90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F4056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FDE8A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63892EB8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20D239D6" w14:textId="77777777" w:rsidR="003C6C75" w:rsidRPr="003C6C75" w:rsidRDefault="003C6C75" w:rsidP="003C6C75">
            <w:pPr>
              <w:spacing w:after="0"/>
              <w:rPr>
                <w:rFonts w:cstheme="minorHAnsi"/>
              </w:rPr>
            </w:pPr>
            <w:r w:rsidRPr="003C6C75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33A54953" w14:textId="77777777" w:rsidR="00960ABF" w:rsidRDefault="00960ABF" w:rsidP="0031711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17412EA1" w14:textId="5F0A928E" w:rsidR="0031711B" w:rsidRDefault="00251FDA" w:rsidP="0031711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Addressing the Standards</w:t>
      </w:r>
    </w:p>
    <w:p w14:paraId="1FFFD906" w14:textId="1C914501" w:rsidR="00A961C3" w:rsidRDefault="004E612C" w:rsidP="00E05EFB">
      <w:pPr>
        <w:spacing w:after="0"/>
        <w:rPr>
          <w:rFonts w:cstheme="minorHAnsi"/>
        </w:rPr>
      </w:pPr>
      <w:r>
        <w:rPr>
          <w:rFonts w:cstheme="minorHAnsi"/>
        </w:rPr>
        <w:t xml:space="preserve">Recommendations </w:t>
      </w:r>
      <w:bookmarkStart w:id="1" w:name="_Hlk95913413"/>
      <w:r w:rsidR="002A7CD1">
        <w:rPr>
          <w:rFonts w:cstheme="minorHAnsi"/>
        </w:rPr>
        <w:t xml:space="preserve">to effectively address </w:t>
      </w:r>
      <w:r w:rsidR="00411B55">
        <w:rPr>
          <w:rFonts w:cstheme="minorHAnsi"/>
        </w:rPr>
        <w:t>Inter</w:t>
      </w:r>
      <w:r w:rsidR="00AB19FB">
        <w:rPr>
          <w:rFonts w:cstheme="minorHAnsi"/>
        </w:rPr>
        <w:t>cultura</w:t>
      </w:r>
      <w:r w:rsidR="00411B55">
        <w:rPr>
          <w:rFonts w:cstheme="minorHAnsi"/>
        </w:rPr>
        <w:t xml:space="preserve">l Communication </w:t>
      </w:r>
      <w:r w:rsidR="002A7CD1">
        <w:rPr>
          <w:rFonts w:cstheme="minorHAnsi"/>
        </w:rPr>
        <w:t xml:space="preserve">Standards </w:t>
      </w:r>
      <w:bookmarkEnd w:id="1"/>
      <w:r w:rsidR="00500976">
        <w:rPr>
          <w:rFonts w:cstheme="minorHAnsi"/>
        </w:rPr>
        <w:t xml:space="preserve">include setting unit goals/objectives </w:t>
      </w:r>
      <w:r w:rsidR="00E05EFB">
        <w:rPr>
          <w:rFonts w:cstheme="minorHAnsi"/>
        </w:rPr>
        <w:t>for Inte</w:t>
      </w:r>
      <w:r w:rsidR="00AB19FB">
        <w:rPr>
          <w:rFonts w:cstheme="minorHAnsi"/>
        </w:rPr>
        <w:t>rcultural</w:t>
      </w:r>
      <w:r w:rsidR="00E05EFB">
        <w:rPr>
          <w:rFonts w:cstheme="minorHAnsi"/>
        </w:rPr>
        <w:t xml:space="preserve"> Communication </w:t>
      </w:r>
      <w:r w:rsidR="00500976">
        <w:rPr>
          <w:rFonts w:cstheme="minorHAnsi"/>
        </w:rPr>
        <w:t>using the NCSSFL-ACTFL Can-Do Statements;</w:t>
      </w:r>
      <w:r w:rsidR="00AB19FB">
        <w:rPr>
          <w:rFonts w:cstheme="minorHAnsi"/>
        </w:rPr>
        <w:t xml:space="preserve"> embedding</w:t>
      </w:r>
      <w:r w:rsidR="00500976">
        <w:rPr>
          <w:rFonts w:cstheme="minorHAnsi"/>
        </w:rPr>
        <w:t xml:space="preserve"> Inter</w:t>
      </w:r>
      <w:r w:rsidR="00AB19FB">
        <w:rPr>
          <w:rFonts w:cstheme="minorHAnsi"/>
        </w:rPr>
        <w:t>cultural</w:t>
      </w:r>
      <w:r w:rsidR="00500976">
        <w:rPr>
          <w:rFonts w:cstheme="minorHAnsi"/>
        </w:rPr>
        <w:t xml:space="preserve"> Communication </w:t>
      </w:r>
      <w:r w:rsidR="00AB19FB">
        <w:rPr>
          <w:rFonts w:cstheme="minorHAnsi"/>
        </w:rPr>
        <w:t xml:space="preserve">into </w:t>
      </w:r>
      <w:r w:rsidR="0058119D">
        <w:rPr>
          <w:rFonts w:cstheme="minorHAnsi"/>
        </w:rPr>
        <w:t xml:space="preserve">other </w:t>
      </w:r>
      <w:r w:rsidR="00500976">
        <w:rPr>
          <w:rFonts w:cstheme="minorHAnsi"/>
        </w:rPr>
        <w:t xml:space="preserve">summative assessment tasks </w:t>
      </w:r>
      <w:r w:rsidR="0058119D">
        <w:rPr>
          <w:rFonts w:cstheme="minorHAnsi"/>
        </w:rPr>
        <w:t>using the</w:t>
      </w:r>
      <w:r w:rsidR="00500976">
        <w:rPr>
          <w:rFonts w:cstheme="minorHAnsi"/>
        </w:rPr>
        <w:t xml:space="preserve"> Integrated Performance Assessmen</w:t>
      </w:r>
      <w:r w:rsidR="00AB19FB">
        <w:rPr>
          <w:rFonts w:cstheme="minorHAnsi"/>
        </w:rPr>
        <w:t>t</w:t>
      </w:r>
      <w:r w:rsidR="0058119D">
        <w:rPr>
          <w:rFonts w:cstheme="minorHAnsi"/>
        </w:rPr>
        <w:t xml:space="preserve"> model</w:t>
      </w:r>
      <w:r w:rsidR="00C07020">
        <w:rPr>
          <w:rFonts w:cstheme="minorHAnsi"/>
        </w:rPr>
        <w:t xml:space="preserve">; </w:t>
      </w:r>
      <w:r w:rsidR="00500976">
        <w:rPr>
          <w:rFonts w:cstheme="minorHAnsi"/>
        </w:rPr>
        <w:t>and including Inter</w:t>
      </w:r>
      <w:r w:rsidR="00AB19FB">
        <w:rPr>
          <w:rFonts w:cstheme="minorHAnsi"/>
        </w:rPr>
        <w:t>cultural</w:t>
      </w:r>
      <w:r w:rsidR="00500976">
        <w:rPr>
          <w:rFonts w:cstheme="minorHAnsi"/>
        </w:rPr>
        <w:t xml:space="preserve"> Communication activities that align</w:t>
      </w:r>
      <w:r w:rsidR="0058119D">
        <w:rPr>
          <w:rFonts w:cstheme="minorHAnsi"/>
        </w:rPr>
        <w:t xml:space="preserve"> with the steps outlined in</w:t>
      </w:r>
      <w:r w:rsidR="00500976">
        <w:rPr>
          <w:rFonts w:cstheme="minorHAnsi"/>
        </w:rPr>
        <w:t xml:space="preserve"> </w:t>
      </w:r>
      <w:r w:rsidR="0058119D">
        <w:rPr>
          <w:rFonts w:cstheme="minorHAnsi"/>
        </w:rPr>
        <w:t>ACTFL’s Intercultural Communication Reflection Tool</w:t>
      </w:r>
      <w:r w:rsidR="00945322">
        <w:rPr>
          <w:bCs/>
        </w:rPr>
        <w:t xml:space="preserve"> and that encourage students to apply their intercultural competence to build a more equitable world.</w:t>
      </w:r>
      <w:r w:rsidR="00945322">
        <w:rPr>
          <w:rFonts w:cstheme="minorHAnsi"/>
        </w:rPr>
        <w:t xml:space="preserve"> </w:t>
      </w:r>
      <w:r w:rsidR="003B166E">
        <w:rPr>
          <w:rFonts w:cstheme="minorHAnsi"/>
        </w:rPr>
        <w:t>When designing Int</w:t>
      </w:r>
      <w:r w:rsidR="0058119D">
        <w:rPr>
          <w:rFonts w:cstheme="minorHAnsi"/>
        </w:rPr>
        <w:t>ercultural</w:t>
      </w:r>
      <w:r w:rsidR="003B166E">
        <w:rPr>
          <w:rFonts w:cstheme="minorHAnsi"/>
        </w:rPr>
        <w:t xml:space="preserve"> Communication assessments and learning experiences, educators should consider all students, including students with disabilities and those from diverse racial, cultural, and linguistic backgrounds</w:t>
      </w:r>
      <w:r w:rsidR="00945322">
        <w:rPr>
          <w:rFonts w:cstheme="minorHAnsi"/>
        </w:rPr>
        <w:t>.</w:t>
      </w:r>
      <w:r w:rsidR="003B166E">
        <w:rPr>
          <w:rFonts w:cstheme="minorHAnsi"/>
        </w:rPr>
        <w:t xml:space="preserve"> To align with Massachusetts’ vision for Deeper Learning, educators should provide students with opportunities to engage with </w:t>
      </w:r>
      <w:r w:rsidR="0058119D">
        <w:rPr>
          <w:rFonts w:cstheme="minorHAnsi"/>
        </w:rPr>
        <w:t>cultural products, practices, and perspectives</w:t>
      </w:r>
      <w:r w:rsidR="003B166E">
        <w:rPr>
          <w:rFonts w:cstheme="minorHAnsi"/>
        </w:rPr>
        <w:t xml:space="preserve"> in a way that demonstrates </w:t>
      </w:r>
      <w:r w:rsidR="00425383">
        <w:rPr>
          <w:rFonts w:cstheme="minorHAnsi"/>
        </w:rPr>
        <w:t>M</w:t>
      </w:r>
      <w:r w:rsidR="003B166E">
        <w:rPr>
          <w:rFonts w:cstheme="minorHAnsi"/>
        </w:rPr>
        <w:t xml:space="preserve">astery, </w:t>
      </w:r>
      <w:r w:rsidR="00425383">
        <w:rPr>
          <w:rFonts w:cstheme="minorHAnsi"/>
        </w:rPr>
        <w:t>I</w:t>
      </w:r>
      <w:r w:rsidR="003B166E">
        <w:rPr>
          <w:rFonts w:cstheme="minorHAnsi"/>
        </w:rPr>
        <w:t xml:space="preserve">dentity, and </w:t>
      </w:r>
      <w:r w:rsidR="00425383">
        <w:rPr>
          <w:rFonts w:cstheme="minorHAnsi"/>
        </w:rPr>
        <w:t>C</w:t>
      </w:r>
      <w:r w:rsidR="003B166E">
        <w:rPr>
          <w:rFonts w:cstheme="minorHAnsi"/>
        </w:rPr>
        <w:t>reativity.</w:t>
      </w:r>
    </w:p>
    <w:p w14:paraId="4EB80C05" w14:textId="05B1EB78" w:rsidR="003C6C75" w:rsidRDefault="003C6C75" w:rsidP="00E05EFB">
      <w:pPr>
        <w:spacing w:after="0"/>
        <w:rPr>
          <w:rFonts w:cstheme="minorHAnsi"/>
        </w:rPr>
      </w:pPr>
    </w:p>
    <w:p w14:paraId="298F2B2D" w14:textId="77777777" w:rsidR="00425383" w:rsidRDefault="00425383" w:rsidP="008E646C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63D2C03E" w14:textId="190680FD" w:rsidR="00EE67BE" w:rsidRDefault="00EE67BE" w:rsidP="00843774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lastRenderedPageBreak/>
        <w:t>Two Lenses: Proficiency and Equity</w:t>
      </w:r>
    </w:p>
    <w:p w14:paraId="0C032DA6" w14:textId="02D94645" w:rsidR="00425383" w:rsidRPr="00CD407D" w:rsidRDefault="00425383" w:rsidP="00425383">
      <w:pPr>
        <w:spacing w:after="0"/>
      </w:pPr>
      <w:r>
        <w:t>Proficiency and equity serve as the foundation of the Inter</w:t>
      </w:r>
      <w:r w:rsidR="0058119D">
        <w:t>cultural</w:t>
      </w:r>
      <w:r>
        <w:t xml:space="preserve"> Communication Standards. The</w:t>
      </w:r>
      <w:r w:rsidR="00843774">
        <w:t xml:space="preserve"> </w:t>
      </w:r>
      <w:r w:rsidR="00FA462B">
        <w:t>S</w:t>
      </w:r>
      <w:r w:rsidR="00843774">
        <w:t>tandards</w:t>
      </w:r>
      <w:r>
        <w:t xml:space="preserve"> are organized by proficiency level according to the ACTFL Proficiency Guidelines, and they are addressed using</w:t>
      </w:r>
      <w:r w:rsidR="0058119D">
        <w:t xml:space="preserve"> a cycle of observation, comparison, reflection, interaction, and reflection to develop intercultural competence</w:t>
      </w:r>
      <w:r>
        <w:t xml:space="preserve">. In terms of equity, the </w:t>
      </w:r>
      <w:r w:rsidR="00843774">
        <w:t>Inter</w:t>
      </w:r>
      <w:r w:rsidR="0058119D">
        <w:t>cultural</w:t>
      </w:r>
      <w:r w:rsidR="00843774">
        <w:t xml:space="preserve"> </w:t>
      </w:r>
      <w:r>
        <w:t>Communication Standards</w:t>
      </w:r>
      <w:r w:rsidRPr="00CD407D">
        <w:t xml:space="preserve"> center </w:t>
      </w:r>
      <w:r>
        <w:t>and affirm students’ identities</w:t>
      </w:r>
      <w:r w:rsidR="009F5D72">
        <w:t xml:space="preserve"> and cultural behaviors</w:t>
      </w:r>
      <w:r>
        <w:t xml:space="preserve">; </w:t>
      </w:r>
      <w:r w:rsidR="00695254">
        <w:t>encourage students to interact with cultural products, practices, and perspectives that</w:t>
      </w:r>
      <w:r>
        <w:t xml:space="preserve"> carry significance for them; and </w:t>
      </w:r>
      <w:r w:rsidR="00695254">
        <w:t>promote a deeper understanding of and respect for diverse peoples, cultures, and communities.</w:t>
      </w:r>
    </w:p>
    <w:p w14:paraId="3AD26FA7" w14:textId="77777777" w:rsidR="00EE67BE" w:rsidRPr="0023643E" w:rsidRDefault="00EE67BE" w:rsidP="00425383">
      <w:pPr>
        <w:spacing w:after="0"/>
        <w:jc w:val="center"/>
        <w:rPr>
          <w:rFonts w:cstheme="minorHAnsi"/>
        </w:rPr>
      </w:pPr>
    </w:p>
    <w:p w14:paraId="32087648" w14:textId="4FC53F1F" w:rsidR="00A961C3" w:rsidRPr="0031711B" w:rsidRDefault="0031711B" w:rsidP="00A961C3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22A5DA63" w:rsidR="0031711B" w:rsidRPr="00F1096E" w:rsidRDefault="0031711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FBFAD72" wp14:editId="360536FE">
                <wp:extent cx="6804660" cy="488950"/>
                <wp:effectExtent l="0" t="0" r="0" b="635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4889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8853E" w14:textId="09F31149" w:rsidR="0031711B" w:rsidRDefault="00D82733" w:rsidP="00A961C3">
                            <w:pPr>
                              <w:jc w:val="center"/>
                            </w:pPr>
                            <w:hyperlink r:id="rId12" w:history="1">
                              <w:r w:rsidR="006D57D4" w:rsidRPr="006D57D4">
                                <w:rPr>
                                  <w:rStyle w:val="Hyperlink"/>
                                  <w:color w:val="FFFFFF" w:themeColor="background1"/>
                                </w:rPr>
                                <w:t>ACTFL Intercultural Communication Reflection Tool</w:t>
                              </w:r>
                            </w:hyperlink>
                            <w:r w:rsidR="006D57D4" w:rsidRPr="006D57D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D57D4" w:rsidRPr="006D57D4">
                              <w:rPr>
                                <w:rFonts w:cstheme="minorHAnsi"/>
                                <w:color w:val="FFFFFF" w:themeColor="background1"/>
                              </w:rPr>
                              <w:t>•</w:t>
                            </w:r>
                            <w:r w:rsidR="00A961C3" w:rsidRPr="006D57D4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hyperlink r:id="rId13" w:history="1">
                              <w:r w:rsidR="00C16692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ACTFL Resource on Leading with Culture</w:t>
                              </w:r>
                            </w:hyperlink>
                            <w:r w:rsidR="006D57D4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6D57D4" w:rsidRPr="006D57D4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4" w:history="1">
                              <w:r w:rsidR="00F53920" w:rsidRPr="006D57D4">
                                <w:rPr>
                                  <w:rStyle w:val="Hyperlink"/>
                                  <w:color w:val="FFFFFF" w:themeColor="background1"/>
                                </w:rPr>
                                <w:t>CASEL Framework</w:t>
                              </w:r>
                            </w:hyperlink>
                            <w:r w:rsidR="00674118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F53920" w:rsidRPr="006D57D4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5" w:history="1">
                              <w:r w:rsidR="008564F8" w:rsidRPr="006D57D4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Massachusetts Deeper Learning Initiative</w:t>
                              </w:r>
                            </w:hyperlink>
                            <w:r w:rsidR="008564F8" w:rsidRPr="006D57D4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• </w:t>
                            </w:r>
                            <w:hyperlink r:id="rId16" w:history="1">
                              <w:r w:rsidR="00674118">
                                <w:rPr>
                                  <w:rStyle w:val="Hyperlink"/>
                                  <w:color w:val="FFFFFF" w:themeColor="background1"/>
                                </w:rPr>
                                <w:t>NCSSFL-ACTFL Can-Do Statements for Intercultural Communication</w:t>
                              </w:r>
                            </w:hyperlink>
                            <w:r w:rsidR="00A961C3" w:rsidRPr="006D57D4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AD72" id="Rectangle 4" o:spid="_x0000_s1027" style="width:535.8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" fillcolor="#0c7580" stroked="f" strokeweight="2pt">
                <v:textbox>
                  <w:txbxContent>
                    <w:p w14:paraId="06E8853E" w14:textId="09F31149" w:rsidR="0031711B" w:rsidRDefault="00D82733" w:rsidP="00A961C3">
                      <w:pPr>
                        <w:jc w:val="center"/>
                      </w:pPr>
                      <w:hyperlink r:id="rId17" w:history="1">
                        <w:r w:rsidR="006D57D4" w:rsidRPr="006D57D4">
                          <w:rPr>
                            <w:rStyle w:val="Hyperlink"/>
                            <w:color w:val="FFFFFF" w:themeColor="background1"/>
                          </w:rPr>
                          <w:t>ACTFL Intercultural Communication Reflection Tool</w:t>
                        </w:r>
                      </w:hyperlink>
                      <w:r w:rsidR="006D57D4" w:rsidRPr="006D57D4">
                        <w:rPr>
                          <w:color w:val="FFFFFF" w:themeColor="background1"/>
                        </w:rPr>
                        <w:t xml:space="preserve"> </w:t>
                      </w:r>
                      <w:r w:rsidR="006D57D4" w:rsidRPr="006D57D4">
                        <w:rPr>
                          <w:rFonts w:cstheme="minorHAnsi"/>
                          <w:color w:val="FFFFFF" w:themeColor="background1"/>
                        </w:rPr>
                        <w:t>•</w:t>
                      </w:r>
                      <w:r w:rsidR="00A961C3" w:rsidRPr="006D57D4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hyperlink r:id="rId18" w:history="1">
                        <w:r w:rsidR="00C16692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ACTFL Resource on Leading with Culture</w:t>
                        </w:r>
                      </w:hyperlink>
                      <w:r w:rsidR="006D57D4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6D57D4" w:rsidRPr="006D57D4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19" w:history="1">
                        <w:r w:rsidR="00F53920" w:rsidRPr="006D57D4">
                          <w:rPr>
                            <w:rStyle w:val="Hyperlink"/>
                            <w:color w:val="FFFFFF" w:themeColor="background1"/>
                          </w:rPr>
                          <w:t>CASEL Framework</w:t>
                        </w:r>
                      </w:hyperlink>
                      <w:r w:rsidR="00674118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F53920" w:rsidRPr="006D57D4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20" w:history="1">
                        <w:r w:rsidR="008564F8" w:rsidRPr="006D57D4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Massachusetts Deeper Learning Initiative</w:t>
                        </w:r>
                      </w:hyperlink>
                      <w:r w:rsidR="008564F8" w:rsidRPr="006D57D4">
                        <w:rPr>
                          <w:rFonts w:cstheme="minorHAnsi"/>
                          <w:color w:val="FFFFFF" w:themeColor="background1"/>
                        </w:rPr>
                        <w:t xml:space="preserve"> • </w:t>
                      </w:r>
                      <w:hyperlink r:id="rId21" w:history="1">
                        <w:r w:rsidR="00674118">
                          <w:rPr>
                            <w:rStyle w:val="Hyperlink"/>
                            <w:color w:val="FFFFFF" w:themeColor="background1"/>
                          </w:rPr>
                          <w:t>NCSSFL-ACTFL Can-Do Statements for Intercultural Communication</w:t>
                        </w:r>
                      </w:hyperlink>
                      <w:r w:rsidR="00A961C3" w:rsidRPr="006D57D4">
                        <w:rPr>
                          <w:color w:val="FFFFFF" w:themeColor="background1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E05EFB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720" w:bottom="108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142851" w14:textId="77777777" w:rsidR="00D82733" w:rsidRDefault="00D82733" w:rsidP="000636CE">
      <w:pPr>
        <w:spacing w:after="0" w:line="240" w:lineRule="auto"/>
      </w:pPr>
      <w:r>
        <w:separator/>
      </w:r>
    </w:p>
  </w:endnote>
  <w:endnote w:type="continuationSeparator" w:id="0">
    <w:p w14:paraId="657AF52B" w14:textId="77777777" w:rsidR="00D82733" w:rsidRDefault="00D82733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EF5DB" w14:textId="77777777" w:rsidR="00D82733" w:rsidRDefault="00D82733" w:rsidP="000636CE">
      <w:pPr>
        <w:spacing w:after="0" w:line="240" w:lineRule="auto"/>
      </w:pPr>
      <w:r>
        <w:separator/>
      </w:r>
    </w:p>
  </w:footnote>
  <w:footnote w:type="continuationSeparator" w:id="0">
    <w:p w14:paraId="612A1627" w14:textId="77777777" w:rsidR="00D82733" w:rsidRDefault="00D82733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064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986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1E8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F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1AE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C7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60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8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4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1660"/>
    <w:rsid w:val="000135E8"/>
    <w:rsid w:val="00023CD8"/>
    <w:rsid w:val="00044DEB"/>
    <w:rsid w:val="00054C2C"/>
    <w:rsid w:val="000568C3"/>
    <w:rsid w:val="000636CE"/>
    <w:rsid w:val="0007576F"/>
    <w:rsid w:val="00095F3A"/>
    <w:rsid w:val="000C3AA4"/>
    <w:rsid w:val="000D4F28"/>
    <w:rsid w:val="000E1043"/>
    <w:rsid w:val="000F324E"/>
    <w:rsid w:val="0010008B"/>
    <w:rsid w:val="00101079"/>
    <w:rsid w:val="00103612"/>
    <w:rsid w:val="00114E5F"/>
    <w:rsid w:val="00134CA8"/>
    <w:rsid w:val="0015304C"/>
    <w:rsid w:val="00153F1B"/>
    <w:rsid w:val="00160119"/>
    <w:rsid w:val="00166208"/>
    <w:rsid w:val="0017786B"/>
    <w:rsid w:val="001801F9"/>
    <w:rsid w:val="00196B9B"/>
    <w:rsid w:val="001A1750"/>
    <w:rsid w:val="001B0EFD"/>
    <w:rsid w:val="001F4DA6"/>
    <w:rsid w:val="001F5C94"/>
    <w:rsid w:val="002108C2"/>
    <w:rsid w:val="0022302E"/>
    <w:rsid w:val="00225592"/>
    <w:rsid w:val="00235A13"/>
    <w:rsid w:val="0023643E"/>
    <w:rsid w:val="002404C9"/>
    <w:rsid w:val="00251FDA"/>
    <w:rsid w:val="002526E4"/>
    <w:rsid w:val="00254B14"/>
    <w:rsid w:val="00267499"/>
    <w:rsid w:val="00285E84"/>
    <w:rsid w:val="00292D3D"/>
    <w:rsid w:val="002A7CD1"/>
    <w:rsid w:val="002B39D9"/>
    <w:rsid w:val="002D06DC"/>
    <w:rsid w:val="002D4ADA"/>
    <w:rsid w:val="002E06F4"/>
    <w:rsid w:val="002E5CD0"/>
    <w:rsid w:val="0031711B"/>
    <w:rsid w:val="00332278"/>
    <w:rsid w:val="00335794"/>
    <w:rsid w:val="003400CE"/>
    <w:rsid w:val="00342DE7"/>
    <w:rsid w:val="00363D16"/>
    <w:rsid w:val="00375A57"/>
    <w:rsid w:val="003823D9"/>
    <w:rsid w:val="00382477"/>
    <w:rsid w:val="003B166E"/>
    <w:rsid w:val="003C6C75"/>
    <w:rsid w:val="003E49F2"/>
    <w:rsid w:val="00402FE7"/>
    <w:rsid w:val="004064D1"/>
    <w:rsid w:val="00411B55"/>
    <w:rsid w:val="00413018"/>
    <w:rsid w:val="00413610"/>
    <w:rsid w:val="00425383"/>
    <w:rsid w:val="00456678"/>
    <w:rsid w:val="00461002"/>
    <w:rsid w:val="0048030D"/>
    <w:rsid w:val="00483961"/>
    <w:rsid w:val="004929CB"/>
    <w:rsid w:val="004945CB"/>
    <w:rsid w:val="00497AB4"/>
    <w:rsid w:val="00497BA5"/>
    <w:rsid w:val="004E2BCD"/>
    <w:rsid w:val="004E612C"/>
    <w:rsid w:val="004E6263"/>
    <w:rsid w:val="00500976"/>
    <w:rsid w:val="00503D58"/>
    <w:rsid w:val="00515812"/>
    <w:rsid w:val="005442EA"/>
    <w:rsid w:val="00565CC5"/>
    <w:rsid w:val="0058119D"/>
    <w:rsid w:val="005A6E52"/>
    <w:rsid w:val="005B0392"/>
    <w:rsid w:val="005D25F4"/>
    <w:rsid w:val="006138AD"/>
    <w:rsid w:val="0062286C"/>
    <w:rsid w:val="0062742C"/>
    <w:rsid w:val="0067322F"/>
    <w:rsid w:val="00674118"/>
    <w:rsid w:val="00683790"/>
    <w:rsid w:val="0069001A"/>
    <w:rsid w:val="00690BD3"/>
    <w:rsid w:val="00692AE8"/>
    <w:rsid w:val="00695254"/>
    <w:rsid w:val="006B1E41"/>
    <w:rsid w:val="006C2130"/>
    <w:rsid w:val="006D57D4"/>
    <w:rsid w:val="006F5DFC"/>
    <w:rsid w:val="007263CE"/>
    <w:rsid w:val="0074536F"/>
    <w:rsid w:val="00757F4F"/>
    <w:rsid w:val="00770FB7"/>
    <w:rsid w:val="007B761A"/>
    <w:rsid w:val="007C5DBD"/>
    <w:rsid w:val="007E4C0C"/>
    <w:rsid w:val="00804DFB"/>
    <w:rsid w:val="00815B5A"/>
    <w:rsid w:val="008348B4"/>
    <w:rsid w:val="00843774"/>
    <w:rsid w:val="008564F8"/>
    <w:rsid w:val="00864B1E"/>
    <w:rsid w:val="00892DB0"/>
    <w:rsid w:val="008933E6"/>
    <w:rsid w:val="008E056C"/>
    <w:rsid w:val="008E646C"/>
    <w:rsid w:val="00932A8C"/>
    <w:rsid w:val="00945322"/>
    <w:rsid w:val="00960ABF"/>
    <w:rsid w:val="009665E1"/>
    <w:rsid w:val="009744BC"/>
    <w:rsid w:val="00987916"/>
    <w:rsid w:val="009B6CAB"/>
    <w:rsid w:val="009C4FB7"/>
    <w:rsid w:val="009D403A"/>
    <w:rsid w:val="009D6D88"/>
    <w:rsid w:val="009E4AA0"/>
    <w:rsid w:val="009F3826"/>
    <w:rsid w:val="009F38A6"/>
    <w:rsid w:val="009F5D72"/>
    <w:rsid w:val="00A155F0"/>
    <w:rsid w:val="00A318C9"/>
    <w:rsid w:val="00A35269"/>
    <w:rsid w:val="00A42B31"/>
    <w:rsid w:val="00A43FFC"/>
    <w:rsid w:val="00A65C91"/>
    <w:rsid w:val="00A8130B"/>
    <w:rsid w:val="00A961C3"/>
    <w:rsid w:val="00AB19FB"/>
    <w:rsid w:val="00AB58F1"/>
    <w:rsid w:val="00AC297C"/>
    <w:rsid w:val="00AD3A80"/>
    <w:rsid w:val="00AF222E"/>
    <w:rsid w:val="00AF66BA"/>
    <w:rsid w:val="00B006D5"/>
    <w:rsid w:val="00B0227D"/>
    <w:rsid w:val="00B07E33"/>
    <w:rsid w:val="00B17E48"/>
    <w:rsid w:val="00B62E85"/>
    <w:rsid w:val="00B813C0"/>
    <w:rsid w:val="00B96DCA"/>
    <w:rsid w:val="00B97163"/>
    <w:rsid w:val="00BB67BF"/>
    <w:rsid w:val="00BC2549"/>
    <w:rsid w:val="00BE4EE9"/>
    <w:rsid w:val="00C03F1B"/>
    <w:rsid w:val="00C07020"/>
    <w:rsid w:val="00C1481E"/>
    <w:rsid w:val="00C16692"/>
    <w:rsid w:val="00C32B0F"/>
    <w:rsid w:val="00C42DE7"/>
    <w:rsid w:val="00C65CA4"/>
    <w:rsid w:val="00C71929"/>
    <w:rsid w:val="00C729CC"/>
    <w:rsid w:val="00C804CD"/>
    <w:rsid w:val="00C90BB3"/>
    <w:rsid w:val="00CA2C27"/>
    <w:rsid w:val="00CD346E"/>
    <w:rsid w:val="00CD4134"/>
    <w:rsid w:val="00CF2B3A"/>
    <w:rsid w:val="00CF309C"/>
    <w:rsid w:val="00D13FA6"/>
    <w:rsid w:val="00D374D5"/>
    <w:rsid w:val="00D47002"/>
    <w:rsid w:val="00D552BE"/>
    <w:rsid w:val="00D603E4"/>
    <w:rsid w:val="00D727EC"/>
    <w:rsid w:val="00D82733"/>
    <w:rsid w:val="00D8688C"/>
    <w:rsid w:val="00D96526"/>
    <w:rsid w:val="00D96F30"/>
    <w:rsid w:val="00DE3523"/>
    <w:rsid w:val="00DF65F0"/>
    <w:rsid w:val="00E008F2"/>
    <w:rsid w:val="00E00CB2"/>
    <w:rsid w:val="00E05EFB"/>
    <w:rsid w:val="00E34FC8"/>
    <w:rsid w:val="00E4426A"/>
    <w:rsid w:val="00E5550C"/>
    <w:rsid w:val="00E57E8C"/>
    <w:rsid w:val="00E72085"/>
    <w:rsid w:val="00E721CE"/>
    <w:rsid w:val="00E955F7"/>
    <w:rsid w:val="00EB3E2B"/>
    <w:rsid w:val="00EE67BE"/>
    <w:rsid w:val="00EF098E"/>
    <w:rsid w:val="00EF64F0"/>
    <w:rsid w:val="00F1096E"/>
    <w:rsid w:val="00F34BA0"/>
    <w:rsid w:val="00F44945"/>
    <w:rsid w:val="00F53920"/>
    <w:rsid w:val="00F55671"/>
    <w:rsid w:val="00F96465"/>
    <w:rsid w:val="00FA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0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Revision">
    <w:name w:val="Revision"/>
    <w:hidden/>
    <w:uiPriority w:val="99"/>
    <w:semiHidden/>
    <w:rsid w:val="00160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actfl.org/sites/default/files/tle/TLE_JanFeb18_Article.pdf" TargetMode="External"/><Relationship Id="rId18" Type="http://schemas.openxmlformats.org/officeDocument/2006/relationships/hyperlink" Target="https://www.actfl.org/sites/default/files/tle/TLE_JanFeb18_Article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ctfl.org/sites/default/files/can-dos/Intercultural%20Can-Do_Statements.pdf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ctfl.org/sites/default/files/can-dos/Intercultural%20Can-Dos_Reflections%20Scenarios.pdf" TargetMode="External"/><Relationship Id="rId17" Type="http://schemas.openxmlformats.org/officeDocument/2006/relationships/hyperlink" Target="https://www.actfl.org/sites/default/files/can-dos/Intercultural%20Can-Dos_Reflections%20Scenarios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ctfl.org/sites/default/files/can-dos/Intercultural%20Can-Do_Statements.pdf" TargetMode="External"/><Relationship Id="rId20" Type="http://schemas.openxmlformats.org/officeDocument/2006/relationships/hyperlink" Target="https://www.doe.mass.edu/kaleidoscope/overview.htm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kaleidoscope/overview.html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casel.org/fundamentals-of-sel/what-is-the-casel-framework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casel.org/fundamentals-of-sel/what-is-the-casel-framework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Props1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8 Summary</dc:title>
  <dc:subject/>
  <dc:creator>DESE</dc:creator>
  <cp:keywords/>
  <dc:description/>
  <cp:lastModifiedBy>Zou, Dong (EOE)</cp:lastModifiedBy>
  <cp:revision>6</cp:revision>
  <cp:lastPrinted>2020-12-16T16:02:00Z</cp:lastPrinted>
  <dcterms:created xsi:type="dcterms:W3CDTF">2022-04-06T20:31:00Z</dcterms:created>
  <dcterms:modified xsi:type="dcterms:W3CDTF">2022-04-29T18:58:00Z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29 2022</vt:lpwstr>
  </property>
</Properties>
</file>