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777C" w14:textId="77777777" w:rsidR="003E2BD4" w:rsidRDefault="00101428">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4637"/>
        <w:gridCol w:w="1170"/>
        <w:gridCol w:w="1620"/>
        <w:gridCol w:w="1710"/>
        <w:gridCol w:w="2070"/>
      </w:tblGrid>
      <w:tr w:rsidR="003E2BD4" w14:paraId="465F2EC3" w14:textId="77777777" w:rsidTr="004C206B">
        <w:trPr>
          <w:trHeight w:val="61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tcPr>
          <w:p w14:paraId="7C27BAAB" w14:textId="77777777" w:rsidR="003E2BD4" w:rsidRDefault="00101428">
            <w:pPr>
              <w:pBdr>
                <w:top w:val="nil"/>
                <w:left w:val="nil"/>
                <w:bottom w:val="nil"/>
                <w:right w:val="nil"/>
                <w:between w:val="nil"/>
              </w:pBdr>
              <w:spacing w:after="160" w:line="259" w:lineRule="auto"/>
              <w:ind w:left="360"/>
              <w:jc w:val="center"/>
              <w:rPr>
                <w:b/>
                <w:color w:val="FFFFFF"/>
                <w:sz w:val="28"/>
                <w:szCs w:val="28"/>
              </w:rPr>
            </w:pPr>
            <w:r>
              <w:rPr>
                <w:b/>
                <w:color w:val="FFFFFF"/>
                <w:sz w:val="28"/>
                <w:szCs w:val="28"/>
              </w:rPr>
              <w:t>Unit Overview</w:t>
            </w:r>
          </w:p>
          <w:p w14:paraId="1B311E2C" w14:textId="77777777" w:rsidR="003E2BD4" w:rsidRDefault="00101428">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3E2BD4" w14:paraId="12D41499" w14:textId="77777777" w:rsidTr="004C206B">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C91D232" w14:textId="77777777" w:rsidR="003E2BD4" w:rsidRDefault="00101428">
            <w:pPr>
              <w:jc w:val="center"/>
              <w:rPr>
                <w:b/>
                <w:color w:val="0C7580"/>
              </w:rPr>
            </w:pPr>
            <w:r>
              <w:rPr>
                <w:b/>
                <w:color w:val="0C7580"/>
              </w:rPr>
              <w:t>Unit #/Title</w:t>
            </w:r>
          </w:p>
        </w:tc>
        <w:tc>
          <w:tcPr>
            <w:tcW w:w="4637" w:type="dxa"/>
            <w:tcBorders>
              <w:top w:val="single" w:sz="4" w:space="0" w:color="000000"/>
              <w:left w:val="single" w:sz="4" w:space="0" w:color="000000"/>
              <w:bottom w:val="single" w:sz="4" w:space="0" w:color="000000"/>
              <w:right w:val="single" w:sz="4" w:space="0" w:color="000000"/>
            </w:tcBorders>
          </w:tcPr>
          <w:p w14:paraId="11399C76" w14:textId="77777777" w:rsidR="003E2BD4" w:rsidRDefault="00101428">
            <w:pPr>
              <w:jc w:val="center"/>
              <w:rPr>
                <w:b/>
              </w:rPr>
            </w:pPr>
            <w:r>
              <w:rPr>
                <w:b/>
              </w:rPr>
              <w:t>We Are All Hercules</w:t>
            </w:r>
          </w:p>
        </w:tc>
        <w:tc>
          <w:tcPr>
            <w:tcW w:w="117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A341B9A" w14:textId="77777777" w:rsidR="003E2BD4" w:rsidRDefault="00101428">
            <w:pPr>
              <w:jc w:val="center"/>
              <w:rPr>
                <w:b/>
              </w:rPr>
            </w:pPr>
            <w:r>
              <w:rPr>
                <w:b/>
                <w:color w:val="0C7580"/>
              </w:rPr>
              <w:t>Length of Unit</w:t>
            </w:r>
          </w:p>
        </w:tc>
        <w:tc>
          <w:tcPr>
            <w:tcW w:w="1620" w:type="dxa"/>
            <w:tcBorders>
              <w:top w:val="single" w:sz="4" w:space="0" w:color="000000"/>
              <w:left w:val="single" w:sz="4" w:space="0" w:color="000000"/>
              <w:bottom w:val="single" w:sz="4" w:space="0" w:color="000000"/>
              <w:right w:val="single" w:sz="4" w:space="0" w:color="000000"/>
            </w:tcBorders>
          </w:tcPr>
          <w:p w14:paraId="6C13E0BF" w14:textId="77777777" w:rsidR="003E2BD4" w:rsidRDefault="00101428">
            <w:pPr>
              <w:jc w:val="center"/>
            </w:pPr>
            <w:r>
              <w:t>28-30 hours/ blocks</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1A1FE9D" w14:textId="77777777" w:rsidR="003E2BD4" w:rsidRDefault="00101428">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4EB1B75C" w14:textId="77777777" w:rsidR="003E2BD4" w:rsidRDefault="00101428">
            <w:pPr>
              <w:jc w:val="center"/>
            </w:pPr>
            <w:r>
              <w:t>Novice Mid across all domains</w:t>
            </w:r>
          </w:p>
        </w:tc>
      </w:tr>
      <w:tr w:rsidR="003E2BD4" w14:paraId="2AF7761A" w14:textId="77777777" w:rsidTr="004C206B">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D26F2B1" w14:textId="77777777" w:rsidR="003E2BD4" w:rsidRDefault="00101428">
            <w:pPr>
              <w:jc w:val="center"/>
              <w:rPr>
                <w:b/>
                <w:color w:val="0C7580"/>
              </w:rPr>
            </w:pPr>
            <w:r>
              <w:rPr>
                <w:b/>
                <w:color w:val="0C7580"/>
              </w:rPr>
              <w:t>Theme(s)/ Topic(s)</w:t>
            </w:r>
          </w:p>
        </w:tc>
        <w:tc>
          <w:tcPr>
            <w:tcW w:w="11207" w:type="dxa"/>
            <w:gridSpan w:val="5"/>
            <w:tcBorders>
              <w:top w:val="single" w:sz="4" w:space="0" w:color="000000"/>
              <w:left w:val="single" w:sz="4" w:space="0" w:color="000000"/>
              <w:bottom w:val="single" w:sz="4" w:space="0" w:color="000000"/>
              <w:right w:val="single" w:sz="4" w:space="0" w:color="000000"/>
            </w:tcBorders>
          </w:tcPr>
          <w:p w14:paraId="0A396A96" w14:textId="77777777" w:rsidR="003E2BD4" w:rsidRDefault="00101428">
            <w:pPr>
              <w:numPr>
                <w:ilvl w:val="0"/>
                <w:numId w:val="14"/>
              </w:numPr>
            </w:pPr>
            <w:r>
              <w:t xml:space="preserve">Social emotional learning and reflection through Hercules’ labors, ancients’ wise words, and art. </w:t>
            </w:r>
          </w:p>
          <w:p w14:paraId="57BAC0C0" w14:textId="77777777" w:rsidR="003E2BD4" w:rsidRDefault="00101428">
            <w:pPr>
              <w:numPr>
                <w:ilvl w:val="0"/>
                <w:numId w:val="14"/>
              </w:numPr>
            </w:pPr>
            <w:r>
              <w:t>We are not alone, and can help others by better knowing ourselves.</w:t>
            </w:r>
          </w:p>
          <w:p w14:paraId="328171CC" w14:textId="77777777" w:rsidR="003E2BD4" w:rsidRDefault="00101428">
            <w:pPr>
              <w:numPr>
                <w:ilvl w:val="0"/>
                <w:numId w:val="14"/>
              </w:numPr>
            </w:pPr>
            <w:r>
              <w:t>We are not the first, nor the last, to suffer and overcome challenges.</w:t>
            </w:r>
          </w:p>
        </w:tc>
      </w:tr>
      <w:tr w:rsidR="003E2BD4" w14:paraId="1A7588B8" w14:textId="77777777" w:rsidTr="004C206B">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27A98DC" w14:textId="77777777" w:rsidR="003E2BD4" w:rsidRDefault="00101428">
            <w:pPr>
              <w:jc w:val="center"/>
              <w:rPr>
                <w:b/>
                <w:color w:val="0C7580"/>
              </w:rPr>
            </w:pPr>
            <w:r>
              <w:rPr>
                <w:b/>
                <w:color w:val="0C7580"/>
              </w:rPr>
              <w:t>Centering Student Diversity</w:t>
            </w:r>
          </w:p>
        </w:tc>
        <w:tc>
          <w:tcPr>
            <w:tcW w:w="11207" w:type="dxa"/>
            <w:gridSpan w:val="5"/>
            <w:tcBorders>
              <w:top w:val="single" w:sz="4" w:space="0" w:color="000000"/>
              <w:left w:val="single" w:sz="4" w:space="0" w:color="000000"/>
              <w:bottom w:val="single" w:sz="4" w:space="0" w:color="000000"/>
              <w:right w:val="single" w:sz="4" w:space="0" w:color="000000"/>
            </w:tcBorders>
          </w:tcPr>
          <w:p w14:paraId="644732D2" w14:textId="77777777" w:rsidR="003E2BD4" w:rsidRDefault="00101428">
            <w:r>
              <w:t>The diversity that is most remarkable for this group of students is in the area of trauma and anxiety. Students have lost direct caregivers, experience chronic medical conditions that impact their daily lives, and have situations at home that affect their performance and behavior at school. Beyond this, all are still facing a global pandemic and all of the stress that brings to them and their families. They are resilient in the midst of this, making them Herculean!</w:t>
            </w:r>
          </w:p>
        </w:tc>
      </w:tr>
      <w:tr w:rsidR="003E2BD4" w14:paraId="055D42A2" w14:textId="77777777" w:rsidTr="004C206B">
        <w:trPr>
          <w:trHeight w:val="60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A0AB9EF" w14:textId="77777777" w:rsidR="003E2BD4" w:rsidRDefault="00101428">
            <w:pPr>
              <w:jc w:val="center"/>
              <w:rPr>
                <w:b/>
                <w:color w:val="0C7580"/>
              </w:rPr>
            </w:pPr>
            <w:r>
              <w:rPr>
                <w:b/>
                <w:color w:val="0C7580"/>
              </w:rPr>
              <w:t>Essential Question(s)</w:t>
            </w:r>
          </w:p>
        </w:tc>
        <w:tc>
          <w:tcPr>
            <w:tcW w:w="11207" w:type="dxa"/>
            <w:gridSpan w:val="5"/>
            <w:tcBorders>
              <w:top w:val="single" w:sz="4" w:space="0" w:color="000000"/>
              <w:left w:val="single" w:sz="4" w:space="0" w:color="000000"/>
              <w:bottom w:val="single" w:sz="4" w:space="0" w:color="000000"/>
              <w:right w:val="single" w:sz="4" w:space="0" w:color="000000"/>
            </w:tcBorders>
          </w:tcPr>
          <w:p w14:paraId="788BDD6A" w14:textId="77777777" w:rsidR="003E2BD4" w:rsidRDefault="00101428">
            <w:pPr>
              <w:numPr>
                <w:ilvl w:val="0"/>
                <w:numId w:val="4"/>
              </w:numPr>
            </w:pPr>
            <w:r>
              <w:t>How do the struggles of an ancient Roman hero connect to modern problems that we all face?</w:t>
            </w:r>
          </w:p>
          <w:p w14:paraId="28BA1250" w14:textId="77777777" w:rsidR="003E2BD4" w:rsidRDefault="00101428">
            <w:pPr>
              <w:numPr>
                <w:ilvl w:val="0"/>
                <w:numId w:val="4"/>
              </w:numPr>
            </w:pPr>
            <w:r>
              <w:t>What are some of the ancient Romans’ values and how are they similar to or different from mine?</w:t>
            </w:r>
          </w:p>
        </w:tc>
      </w:tr>
      <w:tr w:rsidR="003E2BD4" w14:paraId="4E3BF761" w14:textId="77777777" w:rsidTr="004C206B">
        <w:trPr>
          <w:trHeight w:val="180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5D203D6" w14:textId="77777777" w:rsidR="003E2BD4" w:rsidRDefault="00AF5A21">
            <w:pPr>
              <w:jc w:val="center"/>
              <w:rPr>
                <w:b/>
                <w:color w:val="0C7580"/>
              </w:rPr>
            </w:pPr>
            <w:hyperlink r:id="rId10">
              <w:r w:rsidR="00101428">
                <w:rPr>
                  <w:b/>
                  <w:color w:val="0563C1"/>
                  <w:u w:val="single"/>
                </w:rPr>
                <w:t>Unit Goals/Objectives</w:t>
              </w:r>
            </w:hyperlink>
          </w:p>
        </w:tc>
        <w:tc>
          <w:tcPr>
            <w:tcW w:w="11207" w:type="dxa"/>
            <w:gridSpan w:val="5"/>
            <w:tcBorders>
              <w:top w:val="single" w:sz="4" w:space="0" w:color="000000"/>
              <w:left w:val="single" w:sz="4" w:space="0" w:color="000000"/>
              <w:bottom w:val="single" w:sz="4" w:space="0" w:color="000000"/>
              <w:right w:val="single" w:sz="4" w:space="0" w:color="000000"/>
            </w:tcBorders>
          </w:tcPr>
          <w:p w14:paraId="44EA116B" w14:textId="77777777" w:rsidR="003E2BD4" w:rsidRDefault="00101428">
            <w:pPr>
              <w:numPr>
                <w:ilvl w:val="0"/>
                <w:numId w:val="10"/>
              </w:numPr>
            </w:pPr>
            <w:r>
              <w:t>Students can read, understand, and sometimes translate simple Latin sentences.</w:t>
            </w:r>
          </w:p>
          <w:p w14:paraId="62AB0631" w14:textId="77777777" w:rsidR="003E2BD4" w:rsidRDefault="00101428">
            <w:pPr>
              <w:numPr>
                <w:ilvl w:val="0"/>
                <w:numId w:val="10"/>
              </w:numPr>
            </w:pPr>
            <w:r>
              <w:t>Students can interpret ancient coins for additional cultural information.</w:t>
            </w:r>
          </w:p>
          <w:p w14:paraId="56197B36" w14:textId="77777777" w:rsidR="003E2BD4" w:rsidRDefault="00101428">
            <w:pPr>
              <w:numPr>
                <w:ilvl w:val="0"/>
                <w:numId w:val="10"/>
              </w:numPr>
            </w:pPr>
            <w:r>
              <w:t>Students can list and describe ancient Romans’ values while reflecting on their own.</w:t>
            </w:r>
          </w:p>
          <w:p w14:paraId="2A98B8A9" w14:textId="77777777" w:rsidR="003E2BD4" w:rsidRDefault="00101428">
            <w:pPr>
              <w:numPr>
                <w:ilvl w:val="0"/>
                <w:numId w:val="10"/>
              </w:numPr>
            </w:pPr>
            <w:r>
              <w:t>Students can make connections to art, nature, astronomy, English derivatives, and habits of today from an ancient text.</w:t>
            </w:r>
          </w:p>
          <w:p w14:paraId="3FF0F067" w14:textId="77777777" w:rsidR="003E2BD4" w:rsidRDefault="00101428">
            <w:pPr>
              <w:numPr>
                <w:ilvl w:val="0"/>
                <w:numId w:val="10"/>
              </w:numPr>
            </w:pPr>
            <w:r>
              <w:t>Students can interpret wise words (sententiae), categorize them with respect to Romans’ values, and reflect on them for personal growth.</w:t>
            </w:r>
          </w:p>
          <w:p w14:paraId="1943846D" w14:textId="77777777" w:rsidR="003E2BD4" w:rsidRDefault="00101428">
            <w:pPr>
              <w:numPr>
                <w:ilvl w:val="0"/>
                <w:numId w:val="10"/>
              </w:numPr>
            </w:pPr>
            <w:r>
              <w:t>Students can list the qualities of an ancient hero and compare them to those of a modern one.</w:t>
            </w:r>
          </w:p>
        </w:tc>
      </w:tr>
      <w:tr w:rsidR="003E2BD4" w14:paraId="007D9648" w14:textId="77777777" w:rsidTr="004C206B">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D8E1D67" w14:textId="77777777" w:rsidR="003E2BD4" w:rsidRDefault="00101428">
            <w:pPr>
              <w:jc w:val="center"/>
              <w:rPr>
                <w:b/>
                <w:color w:val="0C7580"/>
              </w:rPr>
            </w:pPr>
            <w:r>
              <w:rPr>
                <w:b/>
                <w:color w:val="0C7580"/>
              </w:rPr>
              <w:t>Culturally Relevant Authentic Resources</w:t>
            </w:r>
          </w:p>
        </w:tc>
        <w:tc>
          <w:tcPr>
            <w:tcW w:w="11207" w:type="dxa"/>
            <w:gridSpan w:val="5"/>
            <w:tcBorders>
              <w:top w:val="single" w:sz="4" w:space="0" w:color="000000"/>
              <w:left w:val="single" w:sz="4" w:space="0" w:color="000000"/>
              <w:bottom w:val="single" w:sz="4" w:space="0" w:color="000000"/>
              <w:right w:val="single" w:sz="4" w:space="0" w:color="000000"/>
            </w:tcBorders>
          </w:tcPr>
          <w:p w14:paraId="000AD81B" w14:textId="77777777" w:rsidR="003E2BD4" w:rsidRDefault="00101428">
            <w:pPr>
              <w:numPr>
                <w:ilvl w:val="0"/>
                <w:numId w:val="24"/>
              </w:numPr>
            </w:pPr>
            <w:r>
              <w:rPr>
                <w:u w:val="single"/>
              </w:rPr>
              <w:t>Ritchie’s Fabulae Faciles</w:t>
            </w:r>
            <w:r>
              <w:t>, by Geoffrey Steadman - a Latin telling of Hercules’ labors</w:t>
            </w:r>
          </w:p>
          <w:p w14:paraId="3B1135A3" w14:textId="77777777" w:rsidR="003E2BD4" w:rsidRDefault="00101428">
            <w:pPr>
              <w:numPr>
                <w:ilvl w:val="0"/>
                <w:numId w:val="24"/>
              </w:numPr>
            </w:pPr>
            <w:r>
              <w:rPr>
                <w:u w:val="single"/>
              </w:rPr>
              <w:t>Classical Mythology and More</w:t>
            </w:r>
            <w:r>
              <w:t xml:space="preserve"> by Marianthe Colakis and Mary Joan Masello - an English telling of Hercules’ labors and several extension activities </w:t>
            </w:r>
          </w:p>
          <w:p w14:paraId="1E43800A" w14:textId="77777777" w:rsidR="003E2BD4" w:rsidRDefault="00101428">
            <w:pPr>
              <w:numPr>
                <w:ilvl w:val="0"/>
                <w:numId w:val="24"/>
              </w:numPr>
            </w:pPr>
            <w:r>
              <w:t>Google Arts and Culture for high-quality images of coins, statues, painting, urns, and other realia from museums worldwide</w:t>
            </w:r>
          </w:p>
          <w:p w14:paraId="1E93CE3C" w14:textId="77777777" w:rsidR="003E2BD4" w:rsidRDefault="00AF5A21">
            <w:pPr>
              <w:numPr>
                <w:ilvl w:val="0"/>
                <w:numId w:val="24"/>
              </w:numPr>
            </w:pPr>
            <w:hyperlink r:id="rId11">
              <w:r w:rsidR="00101428">
                <w:rPr>
                  <w:color w:val="1155CC"/>
                  <w:u w:val="single"/>
                </w:rPr>
                <w:t>Getty Museum website</w:t>
              </w:r>
            </w:hyperlink>
            <w:r w:rsidR="00101428">
              <w:t xml:space="preserve"> for lessons on ancient art interpretation and conversation</w:t>
            </w:r>
          </w:p>
          <w:p w14:paraId="275B9C08" w14:textId="77777777" w:rsidR="003E2BD4" w:rsidRDefault="00101428">
            <w:pPr>
              <w:numPr>
                <w:ilvl w:val="0"/>
                <w:numId w:val="24"/>
              </w:numPr>
            </w:pPr>
            <w:r>
              <w:t xml:space="preserve">Disney’s </w:t>
            </w:r>
            <w:r>
              <w:rPr>
                <w:i/>
              </w:rPr>
              <w:t>Encanto</w:t>
            </w:r>
            <w:r>
              <w:t xml:space="preserve"> and the character Luisa’s similarity to Heracles</w:t>
            </w:r>
          </w:p>
        </w:tc>
      </w:tr>
      <w:tr w:rsidR="003E2BD4" w14:paraId="5D43FDAC" w14:textId="77777777" w:rsidTr="004C206B">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CFB048C" w14:textId="77777777" w:rsidR="003E2BD4" w:rsidRDefault="00101428">
            <w:pPr>
              <w:jc w:val="center"/>
              <w:rPr>
                <w:b/>
                <w:color w:val="802B0C"/>
              </w:rPr>
            </w:pPr>
            <w:r>
              <w:rPr>
                <w:b/>
                <w:color w:val="0C7580"/>
              </w:rPr>
              <w:t>Additional Notes</w:t>
            </w:r>
          </w:p>
        </w:tc>
        <w:tc>
          <w:tcPr>
            <w:tcW w:w="11207" w:type="dxa"/>
            <w:gridSpan w:val="5"/>
            <w:tcBorders>
              <w:top w:val="single" w:sz="4" w:space="0" w:color="000000"/>
              <w:left w:val="single" w:sz="4" w:space="0" w:color="000000"/>
              <w:bottom w:val="single" w:sz="4" w:space="0" w:color="000000"/>
              <w:right w:val="single" w:sz="4" w:space="0" w:color="000000"/>
            </w:tcBorders>
          </w:tcPr>
          <w:p w14:paraId="74EA5822" w14:textId="77777777" w:rsidR="003E2BD4" w:rsidRDefault="00101428">
            <w:r>
              <w:t>The beginning of this unit coincides with the Beijing Winter Olympics 2022 and connections could be drawn about a community’s values from their ceremonies, what makes a hero / defines strength, and much more.</w:t>
            </w:r>
          </w:p>
        </w:tc>
      </w:tr>
    </w:tbl>
    <w:p w14:paraId="146789ED" w14:textId="77777777" w:rsidR="003E2BD4" w:rsidRDefault="003E2BD4"/>
    <w:tbl>
      <w:tblPr>
        <w:tblStyle w:val="a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3E2BD4" w14:paraId="4D4743D8" w14:textId="77777777" w:rsidTr="00AF7BD6">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632305CA" w14:textId="77777777" w:rsidR="003E2BD4" w:rsidRDefault="00101428">
            <w:pPr>
              <w:jc w:val="center"/>
              <w:rPr>
                <w:b/>
                <w:color w:val="FFFFFF"/>
                <w:sz w:val="28"/>
                <w:szCs w:val="28"/>
              </w:rPr>
            </w:pPr>
            <w:bookmarkStart w:id="0" w:name="_gjdgxs" w:colFirst="0" w:colLast="0"/>
            <w:bookmarkEnd w:id="0"/>
            <w:r>
              <w:rPr>
                <w:b/>
                <w:color w:val="FFFFFF"/>
                <w:sz w:val="28"/>
                <w:szCs w:val="28"/>
              </w:rPr>
              <w:t>Standards Summary (p.1 of 2)</w:t>
            </w:r>
          </w:p>
          <w:p w14:paraId="51A1F52B" w14:textId="77777777" w:rsidR="003E2BD4" w:rsidRDefault="00101428">
            <w:pPr>
              <w:jc w:val="center"/>
              <w:rPr>
                <w:b/>
              </w:rPr>
            </w:pPr>
            <w:r>
              <w:rPr>
                <w:b/>
                <w:i/>
                <w:color w:val="FFFFFF"/>
              </w:rPr>
              <w:t>What world language content standards will be focused on or introduced in the unit?</w:t>
            </w:r>
          </w:p>
        </w:tc>
      </w:tr>
      <w:tr w:rsidR="003E2BD4" w14:paraId="4241A7D8" w14:textId="77777777" w:rsidTr="00AF7BD6">
        <w:trPr>
          <w:trHeight w:val="3195"/>
        </w:trPr>
        <w:tc>
          <w:tcPr>
            <w:tcW w:w="1885" w:type="dxa"/>
            <w:tcBorders>
              <w:top w:val="single" w:sz="4" w:space="0" w:color="000000"/>
              <w:left w:val="single" w:sz="4" w:space="0" w:color="000000"/>
              <w:right w:val="single" w:sz="4" w:space="0" w:color="000000"/>
            </w:tcBorders>
            <w:shd w:val="clear" w:color="auto" w:fill="F0FDFE"/>
            <w:vAlign w:val="center"/>
          </w:tcPr>
          <w:p w14:paraId="42028B69" w14:textId="77777777" w:rsidR="003E2BD4" w:rsidRDefault="00AF5A21">
            <w:pPr>
              <w:jc w:val="center"/>
              <w:rPr>
                <w:b/>
                <w:color w:val="0C7580"/>
              </w:rPr>
            </w:pPr>
            <w:hyperlink r:id="rId12">
              <w:r w:rsidR="00101428">
                <w:rPr>
                  <w:b/>
                  <w:color w:val="0563C1"/>
                  <w:u w:val="single"/>
                </w:rPr>
                <w:t>World Language Content Standards</w:t>
              </w:r>
            </w:hyperlink>
          </w:p>
          <w:p w14:paraId="76AB2218" w14:textId="77777777" w:rsidR="003E2BD4" w:rsidRDefault="003E2BD4">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1E47E297" w14:textId="77777777" w:rsidR="003E2BD4" w:rsidRDefault="00101428">
            <w:r>
              <w:rPr>
                <w:b/>
              </w:rPr>
              <w:t xml:space="preserve">Students can recognize how characters’ behaviors demonstrate their </w:t>
            </w:r>
            <w:r>
              <w:rPr>
                <w:b/>
                <w:i/>
              </w:rPr>
              <w:t>pietas</w:t>
            </w:r>
            <w:r>
              <w:rPr>
                <w:b/>
              </w:rPr>
              <w:t>,</w:t>
            </w:r>
            <w:r>
              <w:rPr>
                <w:b/>
                <w:i/>
              </w:rPr>
              <w:t xml:space="preserve"> ingenium</w:t>
            </w:r>
            <w:r>
              <w:rPr>
                <w:b/>
              </w:rPr>
              <w:t xml:space="preserve">, and journey toward </w:t>
            </w:r>
            <w:r>
              <w:rPr>
                <w:b/>
                <w:i/>
              </w:rPr>
              <w:t>gloria</w:t>
            </w:r>
            <w:r>
              <w:rPr>
                <w:b/>
              </w:rPr>
              <w:t>.</w:t>
            </w:r>
          </w:p>
          <w:p w14:paraId="46CC75AD" w14:textId="77777777" w:rsidR="003E2BD4" w:rsidRDefault="00101428">
            <w:pPr>
              <w:numPr>
                <w:ilvl w:val="0"/>
                <w:numId w:val="25"/>
              </w:numPr>
            </w:pPr>
            <w:r>
              <w:t>Novice Mid - Communication - Interpretive - 1 - a: recognize traits of multiple cultures and communities.</w:t>
            </w:r>
          </w:p>
          <w:p w14:paraId="2CCB37E1" w14:textId="77777777" w:rsidR="003E2BD4" w:rsidRDefault="00101428">
            <w:r>
              <w:rPr>
                <w:b/>
              </w:rPr>
              <w:t>Students can compare how one achieves hero status across cultures.</w:t>
            </w:r>
          </w:p>
          <w:p w14:paraId="0B2B77E7" w14:textId="77777777" w:rsidR="003E2BD4" w:rsidRDefault="00101428">
            <w:pPr>
              <w:numPr>
                <w:ilvl w:val="0"/>
                <w:numId w:val="25"/>
              </w:numPr>
            </w:pPr>
            <w:r>
              <w:t xml:space="preserve">Novice Mid - Linguistic Cultures - Comparisons - 6 - a: investigate, explain, and reflect on the nature of culture through comparisons of the cultures studied and their own by: </w:t>
            </w:r>
          </w:p>
          <w:p w14:paraId="1DA37F22" w14:textId="77777777" w:rsidR="003E2BD4" w:rsidRDefault="00101428">
            <w:pPr>
              <w:numPr>
                <w:ilvl w:val="1"/>
                <w:numId w:val="25"/>
              </w:numPr>
            </w:pPr>
            <w:r>
              <w:t>1. Identifying similarities and differences in the products, practices, and perspectives of their own and other cultures.</w:t>
            </w:r>
          </w:p>
          <w:p w14:paraId="24510742" w14:textId="77777777" w:rsidR="003E2BD4" w:rsidRDefault="00101428">
            <w:r>
              <w:rPr>
                <w:b/>
              </w:rPr>
              <w:t>Students can offer advice to peers about overcoming obstacles based on the experiences of Heracles.</w:t>
            </w:r>
          </w:p>
          <w:p w14:paraId="53902287" w14:textId="77777777" w:rsidR="003E2BD4" w:rsidRDefault="00101428">
            <w:pPr>
              <w:numPr>
                <w:ilvl w:val="0"/>
                <w:numId w:val="25"/>
              </w:numPr>
            </w:pPr>
            <w:r>
              <w:t>Novice Mid - Lifelong Learning - Communities - 8  - a: apply cultural and linguistic skills to participate in the school, local, and global community by:</w:t>
            </w:r>
          </w:p>
          <w:p w14:paraId="5B896DAF" w14:textId="77777777" w:rsidR="003E2BD4" w:rsidRDefault="00101428">
            <w:pPr>
              <w:numPr>
                <w:ilvl w:val="1"/>
                <w:numId w:val="25"/>
              </w:numPr>
            </w:pPr>
            <w:r>
              <w:t>2: identifying needs and/or injustices and taking collective action to contribute to strong communities.</w:t>
            </w:r>
          </w:p>
        </w:tc>
      </w:tr>
    </w:tbl>
    <w:p w14:paraId="6BD0D811" w14:textId="77777777" w:rsidR="003E2BD4" w:rsidRDefault="003E2BD4"/>
    <w:tbl>
      <w:tblPr>
        <w:tblStyle w:val="a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3E2BD4" w14:paraId="423D65BA" w14:textId="77777777" w:rsidTr="00AF7BD6">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45FDF2C5" w14:textId="77777777" w:rsidR="003E2BD4" w:rsidRDefault="00101428">
            <w:pPr>
              <w:jc w:val="center"/>
              <w:rPr>
                <w:b/>
                <w:color w:val="FFFFFF"/>
                <w:sz w:val="28"/>
                <w:szCs w:val="28"/>
              </w:rPr>
            </w:pPr>
            <w:r>
              <w:rPr>
                <w:b/>
                <w:color w:val="FFFFFF"/>
                <w:sz w:val="28"/>
                <w:szCs w:val="28"/>
              </w:rPr>
              <w:t>Standards Summary (p.2 of 2)</w:t>
            </w:r>
          </w:p>
          <w:p w14:paraId="3A574D4D" w14:textId="77777777" w:rsidR="003E2BD4" w:rsidRDefault="00101428">
            <w:pPr>
              <w:jc w:val="center"/>
              <w:rPr>
                <w:b/>
              </w:rPr>
            </w:pPr>
            <w:r>
              <w:rPr>
                <w:b/>
                <w:i/>
                <w:color w:val="FFFFFF"/>
              </w:rPr>
              <w:t>What other standards will be focused on or introduced in the unit?</w:t>
            </w:r>
          </w:p>
        </w:tc>
      </w:tr>
      <w:tr w:rsidR="003E2BD4" w14:paraId="4D3CBB6F" w14:textId="77777777" w:rsidTr="00AF7BD6">
        <w:trPr>
          <w:trHeight w:val="1710"/>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87479D8" w14:textId="77777777" w:rsidR="003E2BD4" w:rsidRDefault="00AF5A21">
            <w:pPr>
              <w:pBdr>
                <w:top w:val="nil"/>
                <w:left w:val="nil"/>
                <w:bottom w:val="nil"/>
                <w:right w:val="nil"/>
                <w:between w:val="nil"/>
              </w:pBdr>
              <w:jc w:val="center"/>
              <w:rPr>
                <w:b/>
                <w:color w:val="802B0C"/>
              </w:rPr>
            </w:pPr>
            <w:hyperlink r:id="rId13">
              <w:r w:rsidR="00101428">
                <w:rPr>
                  <w:b/>
                  <w:color w:val="0563C1"/>
                  <w:u w:val="single"/>
                </w:rPr>
                <w:t>Social and Emotional Well-being</w:t>
              </w:r>
            </w:hyperlink>
          </w:p>
          <w:p w14:paraId="3773352D" w14:textId="77777777" w:rsidR="003E2BD4" w:rsidRDefault="003E2BD4">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59CBD3CA" w14:textId="77777777" w:rsidR="003E2BD4" w:rsidRDefault="00101428">
            <w:pPr>
              <w:rPr>
                <w:b/>
              </w:rPr>
            </w:pPr>
            <w:r>
              <w:rPr>
                <w:b/>
              </w:rPr>
              <w:t>Students can switch between their perspective and that of others in order to understand the entire context of difficult life situations and best suggest paths forward.</w:t>
            </w:r>
          </w:p>
          <w:p w14:paraId="7B88E16B" w14:textId="77777777" w:rsidR="003E2BD4" w:rsidRDefault="00101428">
            <w:pPr>
              <w:numPr>
                <w:ilvl w:val="0"/>
                <w:numId w:val="23"/>
              </w:numPr>
            </w:pPr>
            <w:r>
              <w:t>SOCIAL AWARENESS: This includes the capacities to feel compassion for others, understand broader historical and social norms for behavior in different settings, and recognize family, school, and community resources and supports. Such as: • Taking others’ perspectives • Recognizing strengths in others • Demonstrating empathy and compassion • Showing concern for the feelings of others</w:t>
            </w:r>
          </w:p>
        </w:tc>
      </w:tr>
      <w:tr w:rsidR="003E2BD4" w14:paraId="5DEF1F09" w14:textId="77777777" w:rsidTr="00AF7BD6">
        <w:trPr>
          <w:trHeight w:val="1860"/>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DEF6B04" w14:textId="77777777" w:rsidR="003E2BD4" w:rsidRDefault="00AF5A21">
            <w:pPr>
              <w:pBdr>
                <w:top w:val="nil"/>
                <w:left w:val="nil"/>
                <w:bottom w:val="nil"/>
                <w:right w:val="nil"/>
                <w:between w:val="nil"/>
              </w:pBdr>
              <w:jc w:val="center"/>
              <w:rPr>
                <w:b/>
                <w:color w:val="802B0C"/>
              </w:rPr>
            </w:pPr>
            <w:hyperlink r:id="rId14">
              <w:r w:rsidR="00101428">
                <w:rPr>
                  <w:b/>
                  <w:color w:val="0563C1"/>
                  <w:u w:val="single"/>
                </w:rPr>
                <w:t>Social Justice</w:t>
              </w:r>
            </w:hyperlink>
          </w:p>
          <w:p w14:paraId="54E93C30" w14:textId="77777777" w:rsidR="003E2BD4" w:rsidRDefault="003E2BD4">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12B6DF12" w14:textId="77777777" w:rsidR="003E2BD4" w:rsidRDefault="00101428">
            <w:pPr>
              <w:rPr>
                <w:b/>
              </w:rPr>
            </w:pPr>
            <w:r>
              <w:rPr>
                <w:b/>
              </w:rPr>
              <w:t>Students can work together with peers and the ancient text to produce a modern-day guide to navigating the difficulties of being a student and a teen.</w:t>
            </w:r>
          </w:p>
          <w:p w14:paraId="0C988305" w14:textId="77777777" w:rsidR="003E2BD4" w:rsidRDefault="00101428">
            <w:pPr>
              <w:numPr>
                <w:ilvl w:val="0"/>
                <w:numId w:val="21"/>
              </w:numPr>
            </w:pPr>
            <w:r>
              <w:t xml:space="preserve">Diversity 9 DI.6-8.9 I know I am connected to other people and can relate to them even when we are different or when we disagree. </w:t>
            </w:r>
          </w:p>
          <w:p w14:paraId="51E70340" w14:textId="77777777" w:rsidR="003E2BD4" w:rsidRDefault="00101428">
            <w:r>
              <w:rPr>
                <w:b/>
              </w:rPr>
              <w:t>Students can use the experiences of others to give advice to peers struggling with their mental health.</w:t>
            </w:r>
          </w:p>
          <w:p w14:paraId="26747D14" w14:textId="77777777" w:rsidR="003E2BD4" w:rsidRDefault="00101428">
            <w:pPr>
              <w:numPr>
                <w:ilvl w:val="0"/>
                <w:numId w:val="8"/>
              </w:numPr>
            </w:pPr>
            <w:r>
              <w:t xml:space="preserve">Action 20 AC.6-8.20 I will work with friends, family and community members to make our world fairer for everyone, and we will plan and coordinate our actions in order to achieve our goals. </w:t>
            </w:r>
          </w:p>
        </w:tc>
      </w:tr>
      <w:tr w:rsidR="003E2BD4" w14:paraId="76CFABC9" w14:textId="77777777" w:rsidTr="00AF7BD6">
        <w:trPr>
          <w:trHeight w:val="1470"/>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9869401" w14:textId="77777777" w:rsidR="003E2BD4" w:rsidRDefault="00AF5A21">
            <w:pPr>
              <w:pBdr>
                <w:top w:val="nil"/>
                <w:left w:val="nil"/>
                <w:bottom w:val="nil"/>
                <w:right w:val="nil"/>
                <w:between w:val="nil"/>
              </w:pBdr>
              <w:jc w:val="center"/>
              <w:rPr>
                <w:b/>
                <w:color w:val="802B0C"/>
              </w:rPr>
            </w:pPr>
            <w:hyperlink r:id="rId15">
              <w:r w:rsidR="00101428">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7AE8CE3D" w14:textId="77777777" w:rsidR="003E2BD4" w:rsidRDefault="00101428">
            <w:pPr>
              <w:rPr>
                <w:b/>
              </w:rPr>
            </w:pPr>
            <w:r>
              <w:rPr>
                <w:b/>
              </w:rPr>
              <w:t>Students can view ancient texts as sources of inspiration and guidance for modern issues.</w:t>
            </w:r>
          </w:p>
          <w:p w14:paraId="503CFF3B" w14:textId="77777777" w:rsidR="003E2BD4" w:rsidRDefault="00101428">
            <w:pPr>
              <w:numPr>
                <w:ilvl w:val="0"/>
                <w:numId w:val="27"/>
              </w:numPr>
            </w:pPr>
            <w:r>
              <w:t>Standards for History and Social Science Practice (PS) S1. Develop focused questions or problem statements and conduct inquiries:</w:t>
            </w:r>
          </w:p>
          <w:p w14:paraId="4F186B0D" w14:textId="77777777" w:rsidR="003E2BD4" w:rsidRDefault="00101428">
            <w:pPr>
              <w:numPr>
                <w:ilvl w:val="1"/>
                <w:numId w:val="27"/>
              </w:numPr>
            </w:pPr>
            <w:r>
              <w:t xml:space="preserve"> Use questions generated about individuals and groups to analyze why they, and the developments they shaped, are seen as historically significant. </w:t>
            </w:r>
          </w:p>
        </w:tc>
      </w:tr>
    </w:tbl>
    <w:p w14:paraId="17FE2499" w14:textId="77777777" w:rsidR="003E2BD4" w:rsidRDefault="003E2BD4"/>
    <w:tbl>
      <w:tblPr>
        <w:tblStyle w:val="a2"/>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2418"/>
        <w:gridCol w:w="3237"/>
        <w:gridCol w:w="1083"/>
        <w:gridCol w:w="2700"/>
        <w:gridCol w:w="1620"/>
      </w:tblGrid>
      <w:tr w:rsidR="003E2BD4" w14:paraId="6A0F3F41" w14:textId="77777777" w:rsidTr="00AF7BD6">
        <w:trPr>
          <w:trHeight w:val="67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vAlign w:val="center"/>
          </w:tcPr>
          <w:p w14:paraId="0BCECEB0" w14:textId="77777777" w:rsidR="003E2BD4" w:rsidRDefault="00101428">
            <w:pPr>
              <w:pBdr>
                <w:top w:val="nil"/>
                <w:left w:val="nil"/>
                <w:bottom w:val="nil"/>
                <w:right w:val="nil"/>
                <w:between w:val="nil"/>
              </w:pBdr>
              <w:spacing w:line="259" w:lineRule="auto"/>
              <w:ind w:left="360"/>
              <w:jc w:val="center"/>
              <w:rPr>
                <w:b/>
                <w:color w:val="FFFFFF"/>
                <w:sz w:val="28"/>
                <w:szCs w:val="28"/>
              </w:rPr>
            </w:pPr>
            <w:r>
              <w:rPr>
                <w:b/>
                <w:color w:val="FFFFFF"/>
                <w:sz w:val="28"/>
                <w:szCs w:val="28"/>
              </w:rPr>
              <w:t>Summative Assessment</w:t>
            </w:r>
          </w:p>
          <w:p w14:paraId="17DBE5E5" w14:textId="77777777" w:rsidR="003E2BD4" w:rsidRDefault="00101428">
            <w:pPr>
              <w:pBdr>
                <w:top w:val="nil"/>
                <w:left w:val="nil"/>
                <w:bottom w:val="nil"/>
                <w:right w:val="nil"/>
                <w:between w:val="nil"/>
              </w:pBdr>
              <w:spacing w:after="160" w:line="259" w:lineRule="auto"/>
              <w:ind w:left="360"/>
              <w:jc w:val="center"/>
              <w:rPr>
                <w:b/>
                <w:color w:val="000000"/>
                <w:sz w:val="20"/>
                <w:szCs w:val="20"/>
              </w:rPr>
            </w:pPr>
            <w:r>
              <w:rPr>
                <w:b/>
                <w:i/>
                <w:color w:val="FFFFFF"/>
              </w:rPr>
              <w:t>How will students demonstrate how well they have met unit goals/objectives, and how will I measure and provide feedback?</w:t>
            </w:r>
          </w:p>
        </w:tc>
      </w:tr>
      <w:tr w:rsidR="003E2BD4" w14:paraId="5135AC56" w14:textId="77777777" w:rsidTr="00AF7BD6">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5FAA23D" w14:textId="77777777" w:rsidR="003E2BD4" w:rsidRDefault="00101428">
            <w:pPr>
              <w:jc w:val="center"/>
              <w:rPr>
                <w:b/>
                <w:color w:val="0C7580"/>
              </w:rPr>
            </w:pPr>
            <w:r>
              <w:rPr>
                <w:b/>
                <w:color w:val="0C7580"/>
              </w:rPr>
              <w:t>Communicative Mode</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0FDFE"/>
            <w:vAlign w:val="center"/>
          </w:tcPr>
          <w:p w14:paraId="5B2EE124" w14:textId="77777777" w:rsidR="003E2BD4" w:rsidRDefault="00101428">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3" w:type="dxa"/>
            <w:gridSpan w:val="2"/>
            <w:tcBorders>
              <w:top w:val="single" w:sz="4" w:space="0" w:color="000000"/>
              <w:left w:val="single" w:sz="4" w:space="0" w:color="000000"/>
              <w:right w:val="single" w:sz="4" w:space="0" w:color="000000"/>
            </w:tcBorders>
            <w:shd w:val="clear" w:color="auto" w:fill="F0FDFE"/>
            <w:vAlign w:val="center"/>
          </w:tcPr>
          <w:p w14:paraId="307FF9E5" w14:textId="77777777" w:rsidR="003E2BD4" w:rsidRDefault="00101428">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F0FDFE"/>
            <w:vAlign w:val="center"/>
          </w:tcPr>
          <w:p w14:paraId="38A29B89" w14:textId="77777777" w:rsidR="003E2BD4" w:rsidRDefault="00101428">
            <w:pPr>
              <w:jc w:val="center"/>
              <w:rPr>
                <w:b/>
                <w:color w:val="0C7580"/>
              </w:rPr>
            </w:pPr>
            <w:r>
              <w:rPr>
                <w:b/>
                <w:color w:val="0C7580"/>
              </w:rPr>
              <w:t>Embedded Standards</w:t>
            </w:r>
          </w:p>
        </w:tc>
      </w:tr>
      <w:tr w:rsidR="003E2BD4" w14:paraId="3AC56AC7" w14:textId="77777777" w:rsidTr="00AF7BD6">
        <w:trPr>
          <w:trHeight w:val="975"/>
        </w:trPr>
        <w:tc>
          <w:tcPr>
            <w:tcW w:w="1987" w:type="dxa"/>
            <w:tcBorders>
              <w:top w:val="single" w:sz="4" w:space="0" w:color="000000"/>
              <w:left w:val="single" w:sz="4" w:space="0" w:color="000000"/>
              <w:right w:val="single" w:sz="4" w:space="0" w:color="000000"/>
            </w:tcBorders>
            <w:shd w:val="clear" w:color="auto" w:fill="F0FDFE"/>
            <w:vAlign w:val="center"/>
          </w:tcPr>
          <w:p w14:paraId="132149B8" w14:textId="77777777" w:rsidR="003E2BD4" w:rsidRDefault="00101428">
            <w:pPr>
              <w:jc w:val="center"/>
              <w:rPr>
                <w:b/>
                <w:color w:val="0C7580"/>
              </w:rPr>
            </w:pPr>
            <w:r>
              <w:rPr>
                <w:b/>
                <w:color w:val="0C7580"/>
              </w:rPr>
              <w:t>Interpretive</w:t>
            </w:r>
          </w:p>
        </w:tc>
        <w:tc>
          <w:tcPr>
            <w:tcW w:w="5655" w:type="dxa"/>
            <w:gridSpan w:val="2"/>
            <w:tcBorders>
              <w:top w:val="single" w:sz="4" w:space="0" w:color="000000"/>
              <w:left w:val="single" w:sz="4" w:space="0" w:color="000000"/>
              <w:right w:val="single" w:sz="4" w:space="0" w:color="000000"/>
            </w:tcBorders>
            <w:shd w:val="clear" w:color="auto" w:fill="auto"/>
          </w:tcPr>
          <w:p w14:paraId="7F15CF96" w14:textId="77777777" w:rsidR="003E2BD4" w:rsidRDefault="00101428">
            <w:pPr>
              <w:numPr>
                <w:ilvl w:val="0"/>
                <w:numId w:val="15"/>
              </w:numPr>
            </w:pPr>
            <w:r>
              <w:t>Reading quizzes</w:t>
            </w:r>
          </w:p>
          <w:p w14:paraId="02C9B318" w14:textId="77777777" w:rsidR="003E2BD4" w:rsidRDefault="00101428">
            <w:pPr>
              <w:numPr>
                <w:ilvl w:val="0"/>
                <w:numId w:val="15"/>
              </w:numPr>
            </w:pPr>
            <w:r>
              <w:t>Checks for understanding</w:t>
            </w:r>
          </w:p>
        </w:tc>
        <w:tc>
          <w:tcPr>
            <w:tcW w:w="3783" w:type="dxa"/>
            <w:gridSpan w:val="2"/>
            <w:tcBorders>
              <w:left w:val="single" w:sz="4" w:space="0" w:color="000000"/>
              <w:right w:val="single" w:sz="4" w:space="0" w:color="000000"/>
            </w:tcBorders>
            <w:shd w:val="clear" w:color="auto" w:fill="auto"/>
          </w:tcPr>
          <w:p w14:paraId="0EE84E1A" w14:textId="77777777" w:rsidR="003E2BD4" w:rsidRDefault="00101428">
            <w:pPr>
              <w:numPr>
                <w:ilvl w:val="0"/>
                <w:numId w:val="12"/>
              </w:numPr>
            </w:pPr>
            <w:r>
              <w:t>Word banks</w:t>
            </w:r>
          </w:p>
          <w:p w14:paraId="0108FFA3" w14:textId="77777777" w:rsidR="003E2BD4" w:rsidRDefault="00101428">
            <w:pPr>
              <w:numPr>
                <w:ilvl w:val="0"/>
                <w:numId w:val="12"/>
              </w:numPr>
            </w:pPr>
            <w:r>
              <w:t>Study sheets and strategies in class</w:t>
            </w:r>
          </w:p>
          <w:p w14:paraId="5143BF92" w14:textId="77777777" w:rsidR="003E2BD4" w:rsidRDefault="00101428">
            <w:pPr>
              <w:numPr>
                <w:ilvl w:val="0"/>
                <w:numId w:val="12"/>
              </w:numPr>
            </w:pPr>
            <w:r>
              <w:t>Scaffolding for in-class questions</w:t>
            </w:r>
          </w:p>
        </w:tc>
        <w:tc>
          <w:tcPr>
            <w:tcW w:w="1620" w:type="dxa"/>
            <w:tcBorders>
              <w:left w:val="single" w:sz="4" w:space="0" w:color="000000"/>
              <w:right w:val="single" w:sz="4" w:space="0" w:color="000000"/>
            </w:tcBorders>
            <w:shd w:val="clear" w:color="auto" w:fill="auto"/>
          </w:tcPr>
          <w:p w14:paraId="2F191617" w14:textId="77777777" w:rsidR="003E2BD4" w:rsidRDefault="00101428">
            <w:pPr>
              <w:rPr>
                <w:sz w:val="18"/>
                <w:szCs w:val="18"/>
              </w:rPr>
            </w:pPr>
            <w:r>
              <w:rPr>
                <w:rFonts w:ascii="MS Gothic" w:eastAsia="MS Gothic" w:hAnsi="MS Gothic" w:cs="MS Gothic"/>
                <w:sz w:val="18"/>
                <w:szCs w:val="18"/>
              </w:rPr>
              <w:t>☐</w:t>
            </w:r>
            <w:r>
              <w:rPr>
                <w:sz w:val="18"/>
                <w:szCs w:val="18"/>
              </w:rPr>
              <w:t xml:space="preserve"> Cultures </w:t>
            </w:r>
          </w:p>
          <w:p w14:paraId="70712B52"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Comparisons</w:t>
            </w:r>
          </w:p>
          <w:p w14:paraId="4097E71E"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1E8A4D55"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Communities</w:t>
            </w:r>
          </w:p>
        </w:tc>
      </w:tr>
      <w:tr w:rsidR="003E2BD4" w14:paraId="35F6E788" w14:textId="77777777" w:rsidTr="00AF7BD6">
        <w:trPr>
          <w:trHeight w:val="930"/>
        </w:trPr>
        <w:tc>
          <w:tcPr>
            <w:tcW w:w="1987" w:type="dxa"/>
            <w:tcBorders>
              <w:top w:val="single" w:sz="4" w:space="0" w:color="000000"/>
              <w:left w:val="single" w:sz="4" w:space="0" w:color="000000"/>
              <w:right w:val="single" w:sz="4" w:space="0" w:color="000000"/>
            </w:tcBorders>
            <w:shd w:val="clear" w:color="auto" w:fill="F0FDFE"/>
            <w:vAlign w:val="center"/>
          </w:tcPr>
          <w:p w14:paraId="429E3746" w14:textId="77777777" w:rsidR="003E2BD4" w:rsidRDefault="00101428">
            <w:pPr>
              <w:jc w:val="center"/>
              <w:rPr>
                <w:b/>
                <w:color w:val="0C7580"/>
              </w:rPr>
            </w:pPr>
            <w:r>
              <w:rPr>
                <w:b/>
                <w:color w:val="0C7580"/>
              </w:rPr>
              <w:t>Interpersonal</w:t>
            </w:r>
          </w:p>
        </w:tc>
        <w:tc>
          <w:tcPr>
            <w:tcW w:w="5655" w:type="dxa"/>
            <w:gridSpan w:val="2"/>
            <w:tcBorders>
              <w:left w:val="single" w:sz="4" w:space="0" w:color="000000"/>
              <w:right w:val="single" w:sz="4" w:space="0" w:color="000000"/>
            </w:tcBorders>
            <w:shd w:val="clear" w:color="auto" w:fill="auto"/>
          </w:tcPr>
          <w:p w14:paraId="4ABB503F" w14:textId="77777777" w:rsidR="003E2BD4" w:rsidRDefault="00101428">
            <w:pPr>
              <w:numPr>
                <w:ilvl w:val="0"/>
                <w:numId w:val="9"/>
              </w:numPr>
            </w:pPr>
            <w:r>
              <w:t>Cultural comparison writing assignments</w:t>
            </w:r>
          </w:p>
          <w:p w14:paraId="0F02563C" w14:textId="77777777" w:rsidR="003E2BD4" w:rsidRDefault="00101428">
            <w:pPr>
              <w:numPr>
                <w:ilvl w:val="0"/>
                <w:numId w:val="9"/>
              </w:numPr>
            </w:pPr>
            <w:r>
              <w:t>Ancient Coin Exploration to discuss imagery across the centuries</w:t>
            </w:r>
          </w:p>
        </w:tc>
        <w:tc>
          <w:tcPr>
            <w:tcW w:w="3783" w:type="dxa"/>
            <w:gridSpan w:val="2"/>
            <w:tcBorders>
              <w:left w:val="single" w:sz="4" w:space="0" w:color="000000"/>
              <w:right w:val="single" w:sz="4" w:space="0" w:color="000000"/>
            </w:tcBorders>
            <w:shd w:val="clear" w:color="auto" w:fill="auto"/>
          </w:tcPr>
          <w:p w14:paraId="67B2EB00" w14:textId="77777777" w:rsidR="003E2BD4" w:rsidRDefault="00101428">
            <w:pPr>
              <w:numPr>
                <w:ilvl w:val="0"/>
                <w:numId w:val="13"/>
              </w:numPr>
            </w:pPr>
            <w:r>
              <w:t>Sentence starters</w:t>
            </w:r>
          </w:p>
          <w:p w14:paraId="55EE4979" w14:textId="77777777" w:rsidR="003E2BD4" w:rsidRDefault="00101428">
            <w:pPr>
              <w:numPr>
                <w:ilvl w:val="0"/>
                <w:numId w:val="13"/>
              </w:numPr>
            </w:pPr>
            <w:r>
              <w:t>Choice of topic from list</w:t>
            </w:r>
          </w:p>
          <w:p w14:paraId="31858511" w14:textId="77777777" w:rsidR="003E2BD4" w:rsidRDefault="00101428">
            <w:pPr>
              <w:numPr>
                <w:ilvl w:val="0"/>
                <w:numId w:val="13"/>
              </w:numPr>
            </w:pPr>
            <w:r>
              <w:t>Clear expectations and directions</w:t>
            </w:r>
          </w:p>
        </w:tc>
        <w:tc>
          <w:tcPr>
            <w:tcW w:w="1620" w:type="dxa"/>
            <w:tcBorders>
              <w:left w:val="single" w:sz="4" w:space="0" w:color="000000"/>
              <w:right w:val="single" w:sz="4" w:space="0" w:color="000000"/>
            </w:tcBorders>
            <w:shd w:val="clear" w:color="auto" w:fill="auto"/>
          </w:tcPr>
          <w:p w14:paraId="6A4EBC68" w14:textId="77777777" w:rsidR="003E2BD4" w:rsidRDefault="00101428">
            <w:pPr>
              <w:rPr>
                <w:sz w:val="18"/>
                <w:szCs w:val="18"/>
                <w:highlight w:val="yellow"/>
              </w:rPr>
            </w:pPr>
            <w:r>
              <w:rPr>
                <w:rFonts w:ascii="MS Gothic" w:eastAsia="MS Gothic" w:hAnsi="MS Gothic" w:cs="MS Gothic"/>
                <w:sz w:val="18"/>
                <w:szCs w:val="18"/>
                <w:highlight w:val="yellow"/>
              </w:rPr>
              <w:t>☐</w:t>
            </w:r>
            <w:r>
              <w:rPr>
                <w:sz w:val="18"/>
                <w:szCs w:val="18"/>
                <w:highlight w:val="yellow"/>
              </w:rPr>
              <w:t xml:space="preserve"> Cultures </w:t>
            </w:r>
          </w:p>
          <w:p w14:paraId="699EDCD0"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Comparisons</w:t>
            </w:r>
          </w:p>
          <w:p w14:paraId="0E89FB25"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5E747D47"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3E2BD4" w14:paraId="219A25C1" w14:textId="77777777" w:rsidTr="00AF7BD6">
        <w:trPr>
          <w:trHeight w:val="960"/>
        </w:trPr>
        <w:tc>
          <w:tcPr>
            <w:tcW w:w="1987" w:type="dxa"/>
            <w:tcBorders>
              <w:top w:val="single" w:sz="4" w:space="0" w:color="000000"/>
              <w:left w:val="single" w:sz="4" w:space="0" w:color="000000"/>
              <w:right w:val="single" w:sz="4" w:space="0" w:color="000000"/>
            </w:tcBorders>
            <w:shd w:val="clear" w:color="auto" w:fill="F0FDFE"/>
            <w:vAlign w:val="center"/>
          </w:tcPr>
          <w:p w14:paraId="5C1D24F8" w14:textId="77777777" w:rsidR="003E2BD4" w:rsidRDefault="00101428">
            <w:pPr>
              <w:jc w:val="center"/>
              <w:rPr>
                <w:b/>
                <w:color w:val="0C7580"/>
              </w:rPr>
            </w:pPr>
            <w:r>
              <w:rPr>
                <w:b/>
                <w:color w:val="0C7580"/>
              </w:rPr>
              <w:t>Presentational</w:t>
            </w:r>
          </w:p>
        </w:tc>
        <w:tc>
          <w:tcPr>
            <w:tcW w:w="5655" w:type="dxa"/>
            <w:gridSpan w:val="2"/>
            <w:tcBorders>
              <w:left w:val="single" w:sz="4" w:space="0" w:color="000000"/>
              <w:right w:val="single" w:sz="4" w:space="0" w:color="000000"/>
            </w:tcBorders>
            <w:shd w:val="clear" w:color="auto" w:fill="auto"/>
          </w:tcPr>
          <w:p w14:paraId="652032C1" w14:textId="77777777" w:rsidR="003E2BD4" w:rsidRDefault="00101428">
            <w:pPr>
              <w:numPr>
                <w:ilvl w:val="0"/>
                <w:numId w:val="11"/>
              </w:numPr>
            </w:pPr>
            <w:r>
              <w:t>“Headlines” assignment to share cultural background information with classmates</w:t>
            </w:r>
          </w:p>
        </w:tc>
        <w:tc>
          <w:tcPr>
            <w:tcW w:w="3783" w:type="dxa"/>
            <w:gridSpan w:val="2"/>
            <w:tcBorders>
              <w:left w:val="single" w:sz="4" w:space="0" w:color="000000"/>
              <w:right w:val="single" w:sz="4" w:space="0" w:color="000000"/>
            </w:tcBorders>
            <w:shd w:val="clear" w:color="auto" w:fill="auto"/>
          </w:tcPr>
          <w:p w14:paraId="1F480F33" w14:textId="77777777" w:rsidR="003E2BD4" w:rsidRDefault="00101428">
            <w:pPr>
              <w:numPr>
                <w:ilvl w:val="0"/>
                <w:numId w:val="5"/>
              </w:numPr>
            </w:pPr>
            <w:r>
              <w:t>Heterogeneous grouping of students when working together</w:t>
            </w:r>
          </w:p>
        </w:tc>
        <w:tc>
          <w:tcPr>
            <w:tcW w:w="1620" w:type="dxa"/>
            <w:tcBorders>
              <w:left w:val="single" w:sz="4" w:space="0" w:color="000000"/>
              <w:right w:val="single" w:sz="4" w:space="0" w:color="000000"/>
            </w:tcBorders>
            <w:shd w:val="clear" w:color="auto" w:fill="auto"/>
          </w:tcPr>
          <w:p w14:paraId="2A7BDF63" w14:textId="77777777" w:rsidR="003E2BD4" w:rsidRDefault="00101428">
            <w:pPr>
              <w:rPr>
                <w:sz w:val="18"/>
                <w:szCs w:val="18"/>
                <w:highlight w:val="yellow"/>
              </w:rPr>
            </w:pPr>
            <w:r>
              <w:rPr>
                <w:rFonts w:ascii="MS Gothic" w:eastAsia="MS Gothic" w:hAnsi="MS Gothic" w:cs="MS Gothic"/>
                <w:sz w:val="18"/>
                <w:szCs w:val="18"/>
                <w:highlight w:val="yellow"/>
              </w:rPr>
              <w:t>☐</w:t>
            </w:r>
            <w:r>
              <w:rPr>
                <w:sz w:val="18"/>
                <w:szCs w:val="18"/>
                <w:highlight w:val="yellow"/>
              </w:rPr>
              <w:t xml:space="preserve"> Cultures </w:t>
            </w:r>
          </w:p>
          <w:p w14:paraId="6D3593DB"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Comparisons</w:t>
            </w:r>
          </w:p>
          <w:p w14:paraId="3B762FEC"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401931D9"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3E2BD4" w14:paraId="0FB6DB55" w14:textId="77777777" w:rsidTr="00AF7BD6">
        <w:trPr>
          <w:trHeight w:val="975"/>
        </w:trPr>
        <w:tc>
          <w:tcPr>
            <w:tcW w:w="1987" w:type="dxa"/>
            <w:tcBorders>
              <w:top w:val="single" w:sz="4" w:space="0" w:color="000000"/>
              <w:left w:val="single" w:sz="4" w:space="0" w:color="000000"/>
              <w:right w:val="single" w:sz="4" w:space="0" w:color="000000"/>
            </w:tcBorders>
            <w:shd w:val="clear" w:color="auto" w:fill="F0FDFE"/>
            <w:vAlign w:val="center"/>
          </w:tcPr>
          <w:p w14:paraId="31A72160" w14:textId="77777777" w:rsidR="003E2BD4" w:rsidRDefault="00101428">
            <w:pPr>
              <w:jc w:val="center"/>
              <w:rPr>
                <w:b/>
                <w:color w:val="0C7580"/>
              </w:rPr>
            </w:pPr>
            <w:r>
              <w:rPr>
                <w:b/>
                <w:color w:val="0C7580"/>
              </w:rPr>
              <w:lastRenderedPageBreak/>
              <w:t>Intercultural</w:t>
            </w:r>
          </w:p>
        </w:tc>
        <w:tc>
          <w:tcPr>
            <w:tcW w:w="5655" w:type="dxa"/>
            <w:gridSpan w:val="2"/>
            <w:tcBorders>
              <w:left w:val="single" w:sz="4" w:space="0" w:color="000000"/>
              <w:right w:val="single" w:sz="4" w:space="0" w:color="000000"/>
            </w:tcBorders>
            <w:shd w:val="clear" w:color="auto" w:fill="auto"/>
          </w:tcPr>
          <w:p w14:paraId="73B8258E" w14:textId="77777777" w:rsidR="003E2BD4" w:rsidRDefault="00101428">
            <w:pPr>
              <w:numPr>
                <w:ilvl w:val="0"/>
                <w:numId w:val="6"/>
              </w:numPr>
            </w:pPr>
            <w:r>
              <w:t>Wise words interpretations</w:t>
            </w:r>
          </w:p>
          <w:p w14:paraId="7A85B5F0" w14:textId="77777777" w:rsidR="003E2BD4" w:rsidRDefault="00101428">
            <w:pPr>
              <w:numPr>
                <w:ilvl w:val="0"/>
                <w:numId w:val="6"/>
              </w:numPr>
            </w:pPr>
            <w:r>
              <w:t>Project: update Hercules’ labors to fit the difficulties of 2022</w:t>
            </w:r>
          </w:p>
        </w:tc>
        <w:tc>
          <w:tcPr>
            <w:tcW w:w="3783" w:type="dxa"/>
            <w:gridSpan w:val="2"/>
            <w:tcBorders>
              <w:left w:val="single" w:sz="4" w:space="0" w:color="000000"/>
              <w:right w:val="single" w:sz="4" w:space="0" w:color="000000"/>
            </w:tcBorders>
            <w:shd w:val="clear" w:color="auto" w:fill="auto"/>
          </w:tcPr>
          <w:p w14:paraId="76A1B40A" w14:textId="77777777" w:rsidR="003E2BD4" w:rsidRDefault="00101428">
            <w:pPr>
              <w:numPr>
                <w:ilvl w:val="0"/>
                <w:numId w:val="26"/>
              </w:numPr>
            </w:pPr>
            <w:r>
              <w:t>Choice from list for labors to focus on</w:t>
            </w:r>
          </w:p>
          <w:p w14:paraId="3484ED94" w14:textId="77777777" w:rsidR="003E2BD4" w:rsidRDefault="00101428">
            <w:pPr>
              <w:numPr>
                <w:ilvl w:val="0"/>
                <w:numId w:val="26"/>
              </w:numPr>
            </w:pPr>
            <w:r>
              <w:t>High-quality resources from which to take art representations</w:t>
            </w:r>
          </w:p>
        </w:tc>
        <w:tc>
          <w:tcPr>
            <w:tcW w:w="1620" w:type="dxa"/>
            <w:tcBorders>
              <w:left w:val="single" w:sz="4" w:space="0" w:color="000000"/>
              <w:right w:val="single" w:sz="4" w:space="0" w:color="000000"/>
            </w:tcBorders>
            <w:shd w:val="clear" w:color="auto" w:fill="auto"/>
          </w:tcPr>
          <w:p w14:paraId="6A9B09AD" w14:textId="77777777" w:rsidR="003E2BD4" w:rsidRDefault="00101428">
            <w:pPr>
              <w:rPr>
                <w:sz w:val="18"/>
                <w:szCs w:val="18"/>
              </w:rPr>
            </w:pPr>
            <w:r>
              <w:rPr>
                <w:rFonts w:ascii="MS Gothic" w:eastAsia="MS Gothic" w:hAnsi="MS Gothic" w:cs="MS Gothic"/>
                <w:sz w:val="18"/>
                <w:szCs w:val="18"/>
              </w:rPr>
              <w:t>☐</w:t>
            </w:r>
            <w:r>
              <w:rPr>
                <w:sz w:val="18"/>
                <w:szCs w:val="18"/>
              </w:rPr>
              <w:t xml:space="preserve"> Cultures </w:t>
            </w:r>
          </w:p>
          <w:p w14:paraId="58CF138E"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1B2E0308"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 xml:space="preserve">Connections </w:t>
            </w:r>
          </w:p>
          <w:p w14:paraId="4F371895"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Communities</w:t>
            </w:r>
          </w:p>
        </w:tc>
      </w:tr>
      <w:tr w:rsidR="003E2BD4" w14:paraId="58F83FB7" w14:textId="77777777" w:rsidTr="00AF7BD6">
        <w:trPr>
          <w:trHeight w:val="677"/>
        </w:trPr>
        <w:tc>
          <w:tcPr>
            <w:tcW w:w="4405" w:type="dxa"/>
            <w:gridSpan w:val="2"/>
            <w:tcBorders>
              <w:top w:val="single" w:sz="4" w:space="0" w:color="000000"/>
              <w:left w:val="single" w:sz="4" w:space="0" w:color="000000"/>
              <w:right w:val="single" w:sz="4" w:space="0" w:color="000000"/>
            </w:tcBorders>
            <w:shd w:val="clear" w:color="auto" w:fill="F0FDFE"/>
            <w:vAlign w:val="center"/>
          </w:tcPr>
          <w:p w14:paraId="7508FF20" w14:textId="77777777" w:rsidR="003E2BD4" w:rsidRDefault="00101428">
            <w:pPr>
              <w:jc w:val="center"/>
              <w:rPr>
                <w:b/>
                <w:color w:val="0C7580"/>
              </w:rPr>
            </w:pPr>
            <w:r>
              <w:rPr>
                <w:b/>
                <w:color w:val="0C7580"/>
              </w:rPr>
              <w:t>Avoiding Biases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7530781E" w14:textId="77777777" w:rsidR="003E2BD4" w:rsidRDefault="00101428">
            <w:pPr>
              <w:jc w:val="center"/>
              <w:rPr>
                <w:b/>
                <w:color w:val="0C7580"/>
              </w:rPr>
            </w:pPr>
            <w:r>
              <w:rPr>
                <w:b/>
                <w:color w:val="0C7580"/>
              </w:rPr>
              <w:t>Scoring Tools and Methods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5F7CFCB9" w14:textId="77777777" w:rsidR="003E2BD4" w:rsidRDefault="00101428">
            <w:pPr>
              <w:jc w:val="center"/>
              <w:rPr>
                <w:b/>
                <w:color w:val="0C7580"/>
              </w:rPr>
            </w:pPr>
            <w:r>
              <w:rPr>
                <w:b/>
                <w:color w:val="0C7580"/>
              </w:rPr>
              <w:t>Feedback Tools and Methods</w:t>
            </w:r>
          </w:p>
        </w:tc>
      </w:tr>
      <w:tr w:rsidR="003E2BD4" w14:paraId="45DB13C3" w14:textId="77777777" w:rsidTr="00AF7BD6">
        <w:trPr>
          <w:trHeight w:val="1628"/>
        </w:trPr>
        <w:tc>
          <w:tcPr>
            <w:tcW w:w="4405" w:type="dxa"/>
            <w:gridSpan w:val="2"/>
            <w:shd w:val="clear" w:color="auto" w:fill="auto"/>
          </w:tcPr>
          <w:p w14:paraId="46B128A5" w14:textId="77777777" w:rsidR="003E2BD4" w:rsidRDefault="00101428">
            <w:pPr>
              <w:numPr>
                <w:ilvl w:val="0"/>
                <w:numId w:val="16"/>
              </w:numPr>
            </w:pPr>
            <w:r>
              <w:t>Choice built in to assignments and quizzes for students to demonstrate their learning</w:t>
            </w:r>
          </w:p>
        </w:tc>
        <w:tc>
          <w:tcPr>
            <w:tcW w:w="4320" w:type="dxa"/>
            <w:gridSpan w:val="2"/>
            <w:shd w:val="clear" w:color="auto" w:fill="auto"/>
          </w:tcPr>
          <w:p w14:paraId="157121A1" w14:textId="77777777" w:rsidR="003E2BD4" w:rsidRDefault="00101428">
            <w:pPr>
              <w:numPr>
                <w:ilvl w:val="0"/>
                <w:numId w:val="20"/>
              </w:numPr>
            </w:pPr>
            <w:r>
              <w:t>Considering: Social Studies rubric for claim/evidence/reasoning cultural writing in English</w:t>
            </w:r>
          </w:p>
          <w:p w14:paraId="3023CF3E" w14:textId="77777777" w:rsidR="003E2BD4" w:rsidRDefault="00101428">
            <w:pPr>
              <w:numPr>
                <w:ilvl w:val="0"/>
                <w:numId w:val="20"/>
              </w:numPr>
            </w:pPr>
            <w:r>
              <w:t>ACTFL standards for target language interpretive reading</w:t>
            </w:r>
          </w:p>
        </w:tc>
        <w:tc>
          <w:tcPr>
            <w:tcW w:w="4320" w:type="dxa"/>
            <w:gridSpan w:val="2"/>
            <w:shd w:val="clear" w:color="auto" w:fill="auto"/>
          </w:tcPr>
          <w:p w14:paraId="68D24860" w14:textId="77777777" w:rsidR="003E2BD4" w:rsidRDefault="00101428">
            <w:pPr>
              <w:numPr>
                <w:ilvl w:val="0"/>
                <w:numId w:val="28"/>
              </w:numPr>
            </w:pPr>
            <w:r>
              <w:t>In the moment feedback for comprehension checks</w:t>
            </w:r>
          </w:p>
          <w:p w14:paraId="662F7652" w14:textId="77777777" w:rsidR="003E2BD4" w:rsidRDefault="00101428">
            <w:pPr>
              <w:numPr>
                <w:ilvl w:val="0"/>
                <w:numId w:val="28"/>
              </w:numPr>
            </w:pPr>
            <w:r>
              <w:t>Retake opportunities for quizzes and timed individual work</w:t>
            </w:r>
          </w:p>
        </w:tc>
      </w:tr>
    </w:tbl>
    <w:p w14:paraId="0091EFDE" w14:textId="77777777" w:rsidR="003E2BD4" w:rsidRDefault="003E2BD4"/>
    <w:tbl>
      <w:tblPr>
        <w:tblStyle w:val="a3"/>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45"/>
        <w:gridCol w:w="6480"/>
        <w:gridCol w:w="3390"/>
        <w:gridCol w:w="1440"/>
      </w:tblGrid>
      <w:tr w:rsidR="003E2BD4" w14:paraId="26740CFA" w14:textId="77777777" w:rsidTr="00AF7BD6">
        <w:trPr>
          <w:trHeight w:val="675"/>
        </w:trPr>
        <w:tc>
          <w:tcPr>
            <w:tcW w:w="1295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79ABCAD2" w14:textId="77777777" w:rsidR="003E2BD4" w:rsidRDefault="00101428">
            <w:pPr>
              <w:pBdr>
                <w:top w:val="nil"/>
                <w:left w:val="nil"/>
                <w:bottom w:val="nil"/>
                <w:right w:val="nil"/>
                <w:between w:val="nil"/>
              </w:pBdr>
              <w:spacing w:line="259" w:lineRule="auto"/>
              <w:jc w:val="center"/>
              <w:rPr>
                <w:b/>
                <w:color w:val="FFFFFF"/>
                <w:sz w:val="28"/>
                <w:szCs w:val="28"/>
              </w:rPr>
            </w:pPr>
            <w:r>
              <w:rPr>
                <w:b/>
                <w:color w:val="FFFFFF"/>
                <w:sz w:val="28"/>
                <w:szCs w:val="28"/>
              </w:rPr>
              <w:t>Instruction (p.1 of 2)</w:t>
            </w:r>
          </w:p>
          <w:p w14:paraId="4E90DCD1" w14:textId="77777777" w:rsidR="003E2BD4" w:rsidRDefault="00101428">
            <w:pPr>
              <w:pBdr>
                <w:top w:val="nil"/>
                <w:left w:val="nil"/>
                <w:bottom w:val="nil"/>
                <w:right w:val="nil"/>
                <w:between w:val="nil"/>
              </w:pBdr>
              <w:spacing w:after="160" w:line="259" w:lineRule="auto"/>
              <w:jc w:val="center"/>
              <w:rPr>
                <w:b/>
                <w:color w:val="000000"/>
                <w:sz w:val="20"/>
                <w:szCs w:val="20"/>
              </w:rPr>
            </w:pPr>
            <w:r>
              <w:rPr>
                <w:b/>
                <w:i/>
                <w:color w:val="FFFFFF"/>
              </w:rPr>
              <w:t>What learning activities and resources will support students in meeting unit goals/objectives, and how will I check for understanding?</w:t>
            </w:r>
          </w:p>
        </w:tc>
      </w:tr>
      <w:tr w:rsidR="003E2BD4" w14:paraId="69FC42EE" w14:textId="77777777" w:rsidTr="00AF7BD6">
        <w:trPr>
          <w:trHeight w:val="675"/>
        </w:trPr>
        <w:tc>
          <w:tcPr>
            <w:tcW w:w="1645" w:type="dxa"/>
            <w:shd w:val="clear" w:color="auto" w:fill="F0FDFE"/>
            <w:vAlign w:val="center"/>
          </w:tcPr>
          <w:p w14:paraId="4D229E7F" w14:textId="77777777" w:rsidR="003E2BD4" w:rsidRDefault="00101428">
            <w:pPr>
              <w:jc w:val="center"/>
              <w:rPr>
                <w:b/>
                <w:color w:val="0C7580"/>
              </w:rPr>
            </w:pPr>
            <w:r>
              <w:rPr>
                <w:b/>
                <w:color w:val="0C7580"/>
              </w:rPr>
              <w:t>Communicative Mode</w:t>
            </w:r>
          </w:p>
        </w:tc>
        <w:tc>
          <w:tcPr>
            <w:tcW w:w="6480" w:type="dxa"/>
            <w:shd w:val="clear" w:color="auto" w:fill="F0FDFE"/>
            <w:vAlign w:val="center"/>
          </w:tcPr>
          <w:p w14:paraId="44275982" w14:textId="77777777" w:rsidR="003E2BD4" w:rsidRDefault="00101428">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3390" w:type="dxa"/>
            <w:shd w:val="clear" w:color="auto" w:fill="F0FDFE"/>
            <w:vAlign w:val="center"/>
          </w:tcPr>
          <w:p w14:paraId="34A1B53B" w14:textId="77777777" w:rsidR="003E2BD4" w:rsidRDefault="00101428">
            <w:pPr>
              <w:jc w:val="center"/>
              <w:rPr>
                <w:b/>
                <w:color w:val="0C7580"/>
              </w:rPr>
            </w:pPr>
            <w:r>
              <w:rPr>
                <w:b/>
                <w:color w:val="0C7580"/>
              </w:rPr>
              <w:t>Culturally Relevant Authentic Resources</w:t>
            </w:r>
          </w:p>
        </w:tc>
        <w:tc>
          <w:tcPr>
            <w:tcW w:w="1440" w:type="dxa"/>
            <w:shd w:val="clear" w:color="auto" w:fill="F0FDFE"/>
            <w:vAlign w:val="center"/>
          </w:tcPr>
          <w:p w14:paraId="3AB26C94" w14:textId="77777777" w:rsidR="003E2BD4" w:rsidRDefault="00101428">
            <w:pPr>
              <w:jc w:val="center"/>
              <w:rPr>
                <w:b/>
                <w:color w:val="0C7580"/>
              </w:rPr>
            </w:pPr>
            <w:r>
              <w:rPr>
                <w:b/>
                <w:color w:val="0C7580"/>
              </w:rPr>
              <w:t>Embedded Standards</w:t>
            </w:r>
          </w:p>
        </w:tc>
      </w:tr>
      <w:tr w:rsidR="003E2BD4" w14:paraId="0E50705E" w14:textId="77777777" w:rsidTr="00AF7BD6">
        <w:trPr>
          <w:trHeight w:val="930"/>
        </w:trPr>
        <w:tc>
          <w:tcPr>
            <w:tcW w:w="1645" w:type="dxa"/>
            <w:shd w:val="clear" w:color="auto" w:fill="F0FDFE"/>
            <w:vAlign w:val="center"/>
          </w:tcPr>
          <w:p w14:paraId="0DA08426" w14:textId="77777777" w:rsidR="003E2BD4" w:rsidRDefault="00101428">
            <w:pPr>
              <w:jc w:val="center"/>
              <w:rPr>
                <w:b/>
                <w:color w:val="0C7580"/>
              </w:rPr>
            </w:pPr>
            <w:r>
              <w:rPr>
                <w:b/>
                <w:color w:val="0C7580"/>
              </w:rPr>
              <w:t>Interpretive</w:t>
            </w:r>
          </w:p>
          <w:p w14:paraId="61FA578E" w14:textId="77777777" w:rsidR="003E2BD4" w:rsidRDefault="003E2BD4">
            <w:pPr>
              <w:jc w:val="center"/>
              <w:rPr>
                <w:b/>
                <w:color w:val="0C7580"/>
              </w:rPr>
            </w:pPr>
          </w:p>
        </w:tc>
        <w:tc>
          <w:tcPr>
            <w:tcW w:w="6480" w:type="dxa"/>
          </w:tcPr>
          <w:p w14:paraId="5BFDD3CD" w14:textId="77777777" w:rsidR="003E2BD4" w:rsidRDefault="00101428">
            <w:pPr>
              <w:numPr>
                <w:ilvl w:val="0"/>
                <w:numId w:val="17"/>
              </w:numPr>
            </w:pPr>
            <w:r>
              <w:t>Tiered readings of Latin text: adapted by the teacher for students’ levels</w:t>
            </w:r>
          </w:p>
          <w:p w14:paraId="33B34AEC" w14:textId="77777777" w:rsidR="003E2BD4" w:rsidRDefault="00101428">
            <w:pPr>
              <w:numPr>
                <w:ilvl w:val="0"/>
                <w:numId w:val="17"/>
              </w:numPr>
            </w:pPr>
            <w:r>
              <w:t>Oral Q/A supported with images and high-frequency vocabulary on slides in front of the room with which students and the teacher can interact</w:t>
            </w:r>
          </w:p>
        </w:tc>
        <w:tc>
          <w:tcPr>
            <w:tcW w:w="3390" w:type="dxa"/>
          </w:tcPr>
          <w:p w14:paraId="004E0559" w14:textId="77777777" w:rsidR="003E2BD4" w:rsidRDefault="00101428">
            <w:pPr>
              <w:numPr>
                <w:ilvl w:val="0"/>
                <w:numId w:val="17"/>
              </w:numPr>
            </w:pPr>
            <w:r>
              <w:rPr>
                <w:u w:val="single"/>
              </w:rPr>
              <w:t>Ritchie’s Fabulae Faciles</w:t>
            </w:r>
            <w:r>
              <w:t>, by Geoffrey Steadman</w:t>
            </w:r>
          </w:p>
        </w:tc>
        <w:tc>
          <w:tcPr>
            <w:tcW w:w="1440" w:type="dxa"/>
            <w:tcBorders>
              <w:left w:val="single" w:sz="4" w:space="0" w:color="000000"/>
              <w:right w:val="single" w:sz="4" w:space="0" w:color="000000"/>
            </w:tcBorders>
            <w:shd w:val="clear" w:color="auto" w:fill="auto"/>
          </w:tcPr>
          <w:p w14:paraId="4C2FD0FE" w14:textId="77777777" w:rsidR="003E2BD4" w:rsidRDefault="00101428">
            <w:pPr>
              <w:rPr>
                <w:sz w:val="18"/>
                <w:szCs w:val="18"/>
              </w:rPr>
            </w:pPr>
            <w:r>
              <w:rPr>
                <w:rFonts w:ascii="MS Gothic" w:eastAsia="MS Gothic" w:hAnsi="MS Gothic" w:cs="MS Gothic"/>
                <w:sz w:val="18"/>
                <w:szCs w:val="18"/>
              </w:rPr>
              <w:t>☐</w:t>
            </w:r>
            <w:r>
              <w:rPr>
                <w:sz w:val="18"/>
                <w:szCs w:val="18"/>
              </w:rPr>
              <w:t xml:space="preserve"> Cultures </w:t>
            </w:r>
          </w:p>
          <w:p w14:paraId="617179D0"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Comparisons</w:t>
            </w:r>
          </w:p>
          <w:p w14:paraId="595B0B1C"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14C61641"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Communities</w:t>
            </w:r>
          </w:p>
        </w:tc>
      </w:tr>
      <w:tr w:rsidR="003E2BD4" w14:paraId="052FCEFE" w14:textId="77777777" w:rsidTr="00AF7BD6">
        <w:trPr>
          <w:trHeight w:val="915"/>
        </w:trPr>
        <w:tc>
          <w:tcPr>
            <w:tcW w:w="1645" w:type="dxa"/>
            <w:shd w:val="clear" w:color="auto" w:fill="F0FDFE"/>
            <w:vAlign w:val="center"/>
          </w:tcPr>
          <w:p w14:paraId="3EF374D4" w14:textId="77777777" w:rsidR="003E2BD4" w:rsidRDefault="00101428">
            <w:pPr>
              <w:jc w:val="center"/>
              <w:rPr>
                <w:b/>
                <w:color w:val="0C7580"/>
              </w:rPr>
            </w:pPr>
            <w:r>
              <w:rPr>
                <w:b/>
                <w:color w:val="0C7580"/>
              </w:rPr>
              <w:t>Interpersonal</w:t>
            </w:r>
          </w:p>
        </w:tc>
        <w:tc>
          <w:tcPr>
            <w:tcW w:w="6480" w:type="dxa"/>
          </w:tcPr>
          <w:p w14:paraId="1CD5C913" w14:textId="77777777" w:rsidR="003E2BD4" w:rsidRDefault="00101428">
            <w:pPr>
              <w:numPr>
                <w:ilvl w:val="0"/>
                <w:numId w:val="18"/>
              </w:numPr>
            </w:pPr>
            <w:r>
              <w:t xml:space="preserve">Activators and summarizers based on target-language ‘wise words’ and how they are still relevant to us today: examples </w:t>
            </w:r>
            <w:r>
              <w:rPr>
                <w:i/>
              </w:rPr>
              <w:t>ars longa, vita brevis</w:t>
            </w:r>
            <w:r>
              <w:t xml:space="preserve"> or </w:t>
            </w:r>
            <w:r>
              <w:rPr>
                <w:i/>
              </w:rPr>
              <w:t>mea cupla</w:t>
            </w:r>
          </w:p>
          <w:p w14:paraId="508FB27F" w14:textId="77777777" w:rsidR="003E2BD4" w:rsidRDefault="00101428">
            <w:pPr>
              <w:numPr>
                <w:ilvl w:val="0"/>
                <w:numId w:val="18"/>
              </w:numPr>
            </w:pPr>
            <w:r>
              <w:t>Ancient coin exploration is a webquest through Google Arts and Culture where students find coins, sketch them, make claims that the imagery demonstrates the subject’s values, e.g. gloria or pietas</w:t>
            </w:r>
          </w:p>
        </w:tc>
        <w:tc>
          <w:tcPr>
            <w:tcW w:w="3390" w:type="dxa"/>
          </w:tcPr>
          <w:p w14:paraId="33BF8EC0" w14:textId="77777777" w:rsidR="003E2BD4" w:rsidRDefault="00101428">
            <w:pPr>
              <w:numPr>
                <w:ilvl w:val="0"/>
                <w:numId w:val="18"/>
              </w:numPr>
            </w:pPr>
            <w:r>
              <w:t xml:space="preserve">Personal list of sententiae </w:t>
            </w:r>
          </w:p>
        </w:tc>
        <w:tc>
          <w:tcPr>
            <w:tcW w:w="1440" w:type="dxa"/>
            <w:tcBorders>
              <w:left w:val="single" w:sz="4" w:space="0" w:color="000000"/>
              <w:right w:val="single" w:sz="4" w:space="0" w:color="000000"/>
            </w:tcBorders>
            <w:shd w:val="clear" w:color="auto" w:fill="auto"/>
          </w:tcPr>
          <w:p w14:paraId="56D422B5" w14:textId="77777777" w:rsidR="003E2BD4" w:rsidRDefault="00101428">
            <w:pPr>
              <w:rPr>
                <w:sz w:val="18"/>
                <w:szCs w:val="18"/>
                <w:highlight w:val="yellow"/>
              </w:rPr>
            </w:pPr>
            <w:r>
              <w:rPr>
                <w:rFonts w:ascii="MS Gothic" w:eastAsia="MS Gothic" w:hAnsi="MS Gothic" w:cs="MS Gothic"/>
                <w:sz w:val="18"/>
                <w:szCs w:val="18"/>
                <w:highlight w:val="yellow"/>
              </w:rPr>
              <w:t>☐</w:t>
            </w:r>
            <w:r>
              <w:rPr>
                <w:sz w:val="18"/>
                <w:szCs w:val="18"/>
                <w:highlight w:val="yellow"/>
              </w:rPr>
              <w:t xml:space="preserve"> Cultures </w:t>
            </w:r>
          </w:p>
          <w:p w14:paraId="2344541F"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Comparisons</w:t>
            </w:r>
          </w:p>
          <w:p w14:paraId="0F5BDEFD"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52864C74"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3E2BD4" w14:paraId="7596DDA1" w14:textId="77777777" w:rsidTr="00AF7BD6">
        <w:trPr>
          <w:trHeight w:val="1296"/>
        </w:trPr>
        <w:tc>
          <w:tcPr>
            <w:tcW w:w="1645" w:type="dxa"/>
            <w:shd w:val="clear" w:color="auto" w:fill="F0FDFE"/>
            <w:vAlign w:val="center"/>
          </w:tcPr>
          <w:p w14:paraId="16249961" w14:textId="77777777" w:rsidR="003E2BD4" w:rsidRDefault="00101428">
            <w:pPr>
              <w:jc w:val="center"/>
              <w:rPr>
                <w:b/>
                <w:color w:val="0C7580"/>
              </w:rPr>
            </w:pPr>
            <w:r>
              <w:rPr>
                <w:b/>
                <w:color w:val="0C7580"/>
              </w:rPr>
              <w:t>Presentational</w:t>
            </w:r>
          </w:p>
          <w:p w14:paraId="151CCD12" w14:textId="77777777" w:rsidR="003E2BD4" w:rsidRDefault="003E2BD4">
            <w:pPr>
              <w:jc w:val="center"/>
              <w:rPr>
                <w:b/>
                <w:color w:val="0C7580"/>
              </w:rPr>
            </w:pPr>
          </w:p>
        </w:tc>
        <w:tc>
          <w:tcPr>
            <w:tcW w:w="6480" w:type="dxa"/>
          </w:tcPr>
          <w:p w14:paraId="0CF3F32D" w14:textId="77777777" w:rsidR="003E2BD4" w:rsidRDefault="00101428">
            <w:pPr>
              <w:numPr>
                <w:ilvl w:val="0"/>
                <w:numId w:val="1"/>
              </w:numPr>
            </w:pPr>
            <w:r>
              <w:t xml:space="preserve">English articles about gods/goddesses, other characters, myths (that include images of coins, statues, vases, graffiti, paintings, etc.) and opportunities to practice talking about the different sides of each character, along with conversations about media/representation in the ancient world </w:t>
            </w:r>
          </w:p>
        </w:tc>
        <w:tc>
          <w:tcPr>
            <w:tcW w:w="3390" w:type="dxa"/>
          </w:tcPr>
          <w:p w14:paraId="05C4AB57" w14:textId="77777777" w:rsidR="003E2BD4" w:rsidRDefault="00101428">
            <w:pPr>
              <w:numPr>
                <w:ilvl w:val="0"/>
                <w:numId w:val="1"/>
              </w:numPr>
            </w:pPr>
            <w:r>
              <w:t>Google Arts and Culture website for exploring images</w:t>
            </w:r>
          </w:p>
          <w:p w14:paraId="64EDDF9A" w14:textId="77777777" w:rsidR="003E2BD4" w:rsidRDefault="00AF5A21">
            <w:pPr>
              <w:numPr>
                <w:ilvl w:val="0"/>
                <w:numId w:val="1"/>
              </w:numPr>
            </w:pPr>
            <w:hyperlink r:id="rId16">
              <w:r w:rsidR="00101428">
                <w:rPr>
                  <w:color w:val="1155CC"/>
                  <w:u w:val="single"/>
                </w:rPr>
                <w:t>NewsELA.com</w:t>
              </w:r>
            </w:hyperlink>
            <w:r w:rsidR="00101428">
              <w:t xml:space="preserve"> </w:t>
            </w:r>
          </w:p>
          <w:p w14:paraId="14A7FD3A" w14:textId="77777777" w:rsidR="003E2BD4" w:rsidRDefault="00AF5A21">
            <w:pPr>
              <w:numPr>
                <w:ilvl w:val="0"/>
                <w:numId w:val="1"/>
              </w:numPr>
            </w:pPr>
            <w:hyperlink r:id="rId17">
              <w:r w:rsidR="00101428">
                <w:rPr>
                  <w:color w:val="1155CC"/>
                  <w:u w:val="single"/>
                </w:rPr>
                <w:t>Getty.edu</w:t>
              </w:r>
            </w:hyperlink>
            <w:r w:rsidR="00101428">
              <w:t xml:space="preserve"> for introductory / background art lesson information</w:t>
            </w:r>
          </w:p>
        </w:tc>
        <w:tc>
          <w:tcPr>
            <w:tcW w:w="1440" w:type="dxa"/>
            <w:tcBorders>
              <w:left w:val="single" w:sz="4" w:space="0" w:color="000000"/>
              <w:right w:val="single" w:sz="4" w:space="0" w:color="000000"/>
            </w:tcBorders>
            <w:shd w:val="clear" w:color="auto" w:fill="auto"/>
          </w:tcPr>
          <w:p w14:paraId="0BAA4B3A" w14:textId="77777777" w:rsidR="003E2BD4" w:rsidRDefault="00101428">
            <w:pPr>
              <w:rPr>
                <w:sz w:val="18"/>
                <w:szCs w:val="18"/>
                <w:highlight w:val="yellow"/>
              </w:rPr>
            </w:pPr>
            <w:r>
              <w:rPr>
                <w:rFonts w:ascii="MS Gothic" w:eastAsia="MS Gothic" w:hAnsi="MS Gothic" w:cs="MS Gothic"/>
                <w:sz w:val="18"/>
                <w:szCs w:val="18"/>
                <w:highlight w:val="yellow"/>
              </w:rPr>
              <w:t>☐</w:t>
            </w:r>
            <w:r>
              <w:rPr>
                <w:sz w:val="18"/>
                <w:szCs w:val="18"/>
                <w:highlight w:val="yellow"/>
              </w:rPr>
              <w:t xml:space="preserve"> Cultures </w:t>
            </w:r>
          </w:p>
          <w:p w14:paraId="1F14A98B"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Comparisons</w:t>
            </w:r>
          </w:p>
          <w:p w14:paraId="76B8F92F"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313C690D"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3E2BD4" w14:paraId="1CFA791A" w14:textId="77777777" w:rsidTr="00AF7BD6">
        <w:trPr>
          <w:trHeight w:val="1296"/>
        </w:trPr>
        <w:tc>
          <w:tcPr>
            <w:tcW w:w="1645" w:type="dxa"/>
            <w:shd w:val="clear" w:color="auto" w:fill="F0FDFE"/>
            <w:vAlign w:val="center"/>
          </w:tcPr>
          <w:p w14:paraId="37C15563" w14:textId="77777777" w:rsidR="003E2BD4" w:rsidRDefault="00101428">
            <w:pPr>
              <w:jc w:val="center"/>
              <w:rPr>
                <w:b/>
                <w:color w:val="0C7580"/>
              </w:rPr>
            </w:pPr>
            <w:r>
              <w:rPr>
                <w:b/>
                <w:color w:val="0C7580"/>
              </w:rPr>
              <w:t>Intercultural</w:t>
            </w:r>
          </w:p>
        </w:tc>
        <w:tc>
          <w:tcPr>
            <w:tcW w:w="6480" w:type="dxa"/>
          </w:tcPr>
          <w:p w14:paraId="0EF58006" w14:textId="77777777" w:rsidR="003E2BD4" w:rsidRDefault="00101428">
            <w:pPr>
              <w:numPr>
                <w:ilvl w:val="0"/>
                <w:numId w:val="7"/>
              </w:numPr>
            </w:pPr>
            <w:r>
              <w:t>Group guidebook to overcoming the modern Hercules’ labors of 2022 with descriptions of difficulties, strategies to overcome, wise words, and relevant art</w:t>
            </w:r>
          </w:p>
          <w:p w14:paraId="7B3D1D79" w14:textId="77777777" w:rsidR="003E2BD4" w:rsidRDefault="00101428">
            <w:pPr>
              <w:numPr>
                <w:ilvl w:val="0"/>
                <w:numId w:val="7"/>
              </w:numPr>
            </w:pPr>
            <w:r>
              <w:t>Extension activities with word derivatives (herculean task), music, science (hercules beetle), astronomy, etc. to connect Hercules to the modern world</w:t>
            </w:r>
          </w:p>
        </w:tc>
        <w:tc>
          <w:tcPr>
            <w:tcW w:w="3390" w:type="dxa"/>
          </w:tcPr>
          <w:p w14:paraId="72A0AD1B" w14:textId="77777777" w:rsidR="003E2BD4" w:rsidRDefault="00101428">
            <w:pPr>
              <w:numPr>
                <w:ilvl w:val="0"/>
                <w:numId w:val="7"/>
              </w:numPr>
            </w:pPr>
            <w:r>
              <w:rPr>
                <w:u w:val="single"/>
              </w:rPr>
              <w:t>Classical Mythology and More</w:t>
            </w:r>
            <w:r>
              <w:t xml:space="preserve"> by Marianthe Colakis and Mary Joan Masello</w:t>
            </w:r>
          </w:p>
        </w:tc>
        <w:tc>
          <w:tcPr>
            <w:tcW w:w="1440" w:type="dxa"/>
            <w:tcBorders>
              <w:left w:val="single" w:sz="4" w:space="0" w:color="000000"/>
              <w:right w:val="single" w:sz="4" w:space="0" w:color="000000"/>
            </w:tcBorders>
            <w:shd w:val="clear" w:color="auto" w:fill="auto"/>
          </w:tcPr>
          <w:p w14:paraId="191DD248" w14:textId="77777777" w:rsidR="003E2BD4" w:rsidRDefault="00101428">
            <w:pPr>
              <w:rPr>
                <w:sz w:val="18"/>
                <w:szCs w:val="18"/>
              </w:rPr>
            </w:pPr>
            <w:r>
              <w:rPr>
                <w:rFonts w:ascii="MS Gothic" w:eastAsia="MS Gothic" w:hAnsi="MS Gothic" w:cs="MS Gothic"/>
                <w:sz w:val="18"/>
                <w:szCs w:val="18"/>
              </w:rPr>
              <w:t>☐</w:t>
            </w:r>
            <w:r>
              <w:rPr>
                <w:sz w:val="18"/>
                <w:szCs w:val="18"/>
              </w:rPr>
              <w:t xml:space="preserve"> Cultures </w:t>
            </w:r>
          </w:p>
          <w:p w14:paraId="2818D62B" w14:textId="77777777" w:rsidR="003E2BD4" w:rsidRDefault="00101428">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5BDD0A6F"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 xml:space="preserve">Connections </w:t>
            </w:r>
          </w:p>
          <w:p w14:paraId="49E623DC" w14:textId="77777777" w:rsidR="003E2BD4" w:rsidRDefault="00101428">
            <w:pPr>
              <w:rPr>
                <w:sz w:val="18"/>
                <w:szCs w:val="18"/>
                <w:highlight w:val="yellow"/>
              </w:rPr>
            </w:pPr>
            <w:r>
              <w:rPr>
                <w:rFonts w:ascii="MS Gothic" w:eastAsia="MS Gothic" w:hAnsi="MS Gothic" w:cs="MS Gothic"/>
                <w:sz w:val="18"/>
                <w:szCs w:val="18"/>
                <w:highlight w:val="yellow"/>
              </w:rPr>
              <w:t>☐</w:t>
            </w:r>
            <w:r>
              <w:rPr>
                <w:rFonts w:ascii="Quattrocento Sans" w:eastAsia="Quattrocento Sans" w:hAnsi="Quattrocento Sans" w:cs="Quattrocento Sans"/>
                <w:sz w:val="18"/>
                <w:szCs w:val="18"/>
                <w:highlight w:val="yellow"/>
              </w:rPr>
              <w:t xml:space="preserve"> </w:t>
            </w:r>
            <w:r>
              <w:rPr>
                <w:sz w:val="18"/>
                <w:szCs w:val="18"/>
                <w:highlight w:val="yellow"/>
              </w:rPr>
              <w:t>Communities</w:t>
            </w:r>
          </w:p>
        </w:tc>
      </w:tr>
      <w:tr w:rsidR="003E2BD4" w14:paraId="4D55C508" w14:textId="77777777" w:rsidTr="00AF7BD6">
        <w:trPr>
          <w:trHeight w:val="432"/>
        </w:trPr>
        <w:tc>
          <w:tcPr>
            <w:tcW w:w="12955" w:type="dxa"/>
            <w:gridSpan w:val="4"/>
            <w:shd w:val="clear" w:color="auto" w:fill="F0FDFE"/>
            <w:vAlign w:val="center"/>
          </w:tcPr>
          <w:p w14:paraId="5004AD8A" w14:textId="77777777" w:rsidR="003E2BD4" w:rsidRDefault="00101428">
            <w:pPr>
              <w:jc w:val="center"/>
              <w:rPr>
                <w:b/>
                <w:color w:val="0C7580"/>
              </w:rPr>
            </w:pPr>
            <w:r>
              <w:rPr>
                <w:b/>
                <w:color w:val="0C7580"/>
              </w:rPr>
              <w:t>Toolbox</w:t>
            </w:r>
          </w:p>
          <w:p w14:paraId="5E8271D4" w14:textId="77777777" w:rsidR="003E2BD4" w:rsidRDefault="00101428">
            <w:pPr>
              <w:jc w:val="center"/>
              <w:rPr>
                <w:b/>
                <w:i/>
                <w:color w:val="802B0C"/>
              </w:rPr>
            </w:pPr>
            <w:r>
              <w:rPr>
                <w:b/>
                <w:i/>
                <w:color w:val="0C7580"/>
              </w:rPr>
              <w:t>What supporting language functions, structures, and vocabulary will students need to develop or advance their skills?</w:t>
            </w:r>
          </w:p>
        </w:tc>
      </w:tr>
      <w:tr w:rsidR="003E2BD4" w14:paraId="04C6F316" w14:textId="77777777" w:rsidTr="00AF7BD6">
        <w:trPr>
          <w:trHeight w:val="862"/>
        </w:trPr>
        <w:tc>
          <w:tcPr>
            <w:tcW w:w="12955" w:type="dxa"/>
            <w:gridSpan w:val="4"/>
            <w:shd w:val="clear" w:color="auto" w:fill="auto"/>
            <w:vAlign w:val="center"/>
          </w:tcPr>
          <w:p w14:paraId="6E7496C6" w14:textId="77777777" w:rsidR="003E2BD4" w:rsidRDefault="00101428">
            <w:r>
              <w:rPr>
                <w:b/>
              </w:rPr>
              <w:t>Language functions and structures</w:t>
            </w:r>
            <w:r>
              <w:t>: Simple sentence structure, noun/adjective agreement, concept of singular and plural words</w:t>
            </w:r>
          </w:p>
          <w:p w14:paraId="09C92617" w14:textId="77777777" w:rsidR="003E2BD4" w:rsidRDefault="00101428">
            <w:r>
              <w:rPr>
                <w:b/>
              </w:rPr>
              <w:t>Vocabulary</w:t>
            </w:r>
            <w:r>
              <w:t xml:space="preserve">: starting from nothing, so words acquired through reading, keeping assessments close to </w:t>
            </w:r>
            <w:hyperlink r:id="rId18">
              <w:r>
                <w:rPr>
                  <w:color w:val="1155CC"/>
                  <w:u w:val="single"/>
                </w:rPr>
                <w:t>Dickinson College’s Commentary of Latin core vocabulary</w:t>
              </w:r>
            </w:hyperlink>
            <w:r>
              <w:t xml:space="preserve"> and to </w:t>
            </w:r>
            <w:hyperlink r:id="rId19">
              <w:r>
                <w:rPr>
                  <w:color w:val="1155CC"/>
                  <w:u w:val="single"/>
                </w:rPr>
                <w:t>Haverford’s Bridge Customizable Vocabulary List tool</w:t>
              </w:r>
            </w:hyperlink>
            <w:r>
              <w:t xml:space="preserve"> that keys top vocabulary usage to individual ancient texts.</w:t>
            </w:r>
          </w:p>
        </w:tc>
      </w:tr>
    </w:tbl>
    <w:p w14:paraId="5F684558" w14:textId="77777777" w:rsidR="003E2BD4" w:rsidRDefault="003E2BD4"/>
    <w:tbl>
      <w:tblPr>
        <w:tblStyle w:val="a4"/>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3E2BD4" w14:paraId="2DB3A8E7" w14:textId="77777777" w:rsidTr="00AF7BD6">
        <w:trPr>
          <w:trHeight w:val="70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3E391D35" w14:textId="77777777" w:rsidR="003E2BD4" w:rsidRDefault="00101428">
            <w:pPr>
              <w:pBdr>
                <w:top w:val="nil"/>
                <w:left w:val="nil"/>
                <w:bottom w:val="nil"/>
                <w:right w:val="nil"/>
                <w:between w:val="nil"/>
              </w:pBdr>
              <w:spacing w:line="259" w:lineRule="auto"/>
              <w:jc w:val="center"/>
              <w:rPr>
                <w:b/>
                <w:color w:val="FFFFFF"/>
                <w:sz w:val="28"/>
                <w:szCs w:val="28"/>
              </w:rPr>
            </w:pPr>
            <w:r>
              <w:rPr>
                <w:b/>
                <w:color w:val="FFFFFF"/>
                <w:sz w:val="28"/>
                <w:szCs w:val="28"/>
              </w:rPr>
              <w:t>Instruction (p.2 of 2)</w:t>
            </w:r>
          </w:p>
          <w:p w14:paraId="302244BC" w14:textId="77777777" w:rsidR="003E2BD4" w:rsidRDefault="00101428">
            <w:pPr>
              <w:pBdr>
                <w:top w:val="nil"/>
                <w:left w:val="nil"/>
                <w:bottom w:val="nil"/>
                <w:right w:val="nil"/>
                <w:between w:val="nil"/>
              </w:pBdr>
              <w:spacing w:after="160" w:line="259" w:lineRule="auto"/>
              <w:jc w:val="center"/>
              <w:rPr>
                <w:b/>
                <w:color w:val="000000"/>
                <w:sz w:val="20"/>
                <w:szCs w:val="20"/>
              </w:rPr>
            </w:pPr>
            <w:r>
              <w:rPr>
                <w:b/>
                <w:i/>
                <w:color w:val="FFFFFF"/>
              </w:rPr>
              <w:t xml:space="preserve">What materials, strategies, and supports will I use to ensure equity in the unit, and how will I use the </w:t>
            </w:r>
            <w:hyperlink r:id="rId20">
              <w:r w:rsidRPr="00AF7BD6">
                <w:rPr>
                  <w:b/>
                  <w:i/>
                  <w:color w:val="FFFFFF" w:themeColor="background1"/>
                  <w:u w:val="single"/>
                </w:rPr>
                <w:t>Core Practices</w:t>
              </w:r>
            </w:hyperlink>
            <w:r>
              <w:rPr>
                <w:b/>
                <w:i/>
                <w:color w:val="FFFFFF"/>
              </w:rPr>
              <w:t>?</w:t>
            </w:r>
          </w:p>
        </w:tc>
      </w:tr>
      <w:tr w:rsidR="003E2BD4" w14:paraId="76E259F0" w14:textId="77777777" w:rsidTr="00AF7BD6">
        <w:trPr>
          <w:trHeight w:val="1584"/>
        </w:trPr>
        <w:tc>
          <w:tcPr>
            <w:tcW w:w="2405" w:type="dxa"/>
            <w:shd w:val="clear" w:color="auto" w:fill="F0FDFE"/>
            <w:vAlign w:val="center"/>
          </w:tcPr>
          <w:p w14:paraId="60638021" w14:textId="77777777" w:rsidR="003E2BD4" w:rsidRDefault="00101428">
            <w:pPr>
              <w:spacing w:line="276" w:lineRule="auto"/>
              <w:jc w:val="center"/>
              <w:rPr>
                <w:b/>
                <w:color w:val="0C7580"/>
                <w:u w:val="single"/>
              </w:rPr>
            </w:pPr>
            <w:r>
              <w:rPr>
                <w:b/>
                <w:color w:val="0C7580"/>
              </w:rPr>
              <w:t>Social and Emotional Well-Being</w:t>
            </w:r>
          </w:p>
          <w:p w14:paraId="64376680" w14:textId="77777777" w:rsidR="003E2BD4" w:rsidRDefault="003E2BD4">
            <w:pPr>
              <w:spacing w:line="276" w:lineRule="auto"/>
              <w:jc w:val="center"/>
              <w:rPr>
                <w:i/>
                <w:color w:val="0C7580"/>
              </w:rPr>
            </w:pPr>
          </w:p>
        </w:tc>
        <w:tc>
          <w:tcPr>
            <w:tcW w:w="10550" w:type="dxa"/>
            <w:gridSpan w:val="6"/>
          </w:tcPr>
          <w:p w14:paraId="3C6427A6" w14:textId="77777777" w:rsidR="003E2BD4" w:rsidRDefault="00101428">
            <w:pPr>
              <w:numPr>
                <w:ilvl w:val="0"/>
                <w:numId w:val="22"/>
              </w:numPr>
            </w:pPr>
            <w:r>
              <w:rPr>
                <w:u w:val="single"/>
              </w:rPr>
              <w:t>Self awareness</w:t>
            </w:r>
            <w:r>
              <w:t>: characteristics of a hero, Romans’ values, coin project to represent self</w:t>
            </w:r>
          </w:p>
          <w:p w14:paraId="6951DB67" w14:textId="77777777" w:rsidR="003E2BD4" w:rsidRDefault="00101428">
            <w:pPr>
              <w:numPr>
                <w:ilvl w:val="1"/>
                <w:numId w:val="22"/>
              </w:numPr>
            </w:pPr>
            <w:r>
              <w:t>class discussion, coin project, activator/summarizer reflections</w:t>
            </w:r>
          </w:p>
          <w:p w14:paraId="045ADEEE" w14:textId="77777777" w:rsidR="003E2BD4" w:rsidRDefault="00101428">
            <w:pPr>
              <w:numPr>
                <w:ilvl w:val="0"/>
                <w:numId w:val="22"/>
              </w:numPr>
            </w:pPr>
            <w:r>
              <w:rPr>
                <w:u w:val="single"/>
              </w:rPr>
              <w:t>Social awareness</w:t>
            </w:r>
            <w:r>
              <w:t>: demonstrate empathy for others when creating modern ‘survival’ guide for peers</w:t>
            </w:r>
          </w:p>
          <w:p w14:paraId="2D270224" w14:textId="77777777" w:rsidR="003E2BD4" w:rsidRDefault="00101428">
            <w:pPr>
              <w:numPr>
                <w:ilvl w:val="1"/>
                <w:numId w:val="22"/>
              </w:numPr>
            </w:pPr>
            <w:r>
              <w:t>modern labors project</w:t>
            </w:r>
          </w:p>
          <w:p w14:paraId="4C89E2F6" w14:textId="77777777" w:rsidR="003E2BD4" w:rsidRDefault="00101428">
            <w:pPr>
              <w:numPr>
                <w:ilvl w:val="0"/>
                <w:numId w:val="22"/>
              </w:numPr>
            </w:pPr>
            <w:r>
              <w:rPr>
                <w:u w:val="single"/>
              </w:rPr>
              <w:t>Self management</w:t>
            </w:r>
            <w:r>
              <w:t>: practice organized, thoughtful reflection writing</w:t>
            </w:r>
          </w:p>
          <w:p w14:paraId="60D4E6EF" w14:textId="77777777" w:rsidR="003E2BD4" w:rsidRDefault="00101428">
            <w:pPr>
              <w:numPr>
                <w:ilvl w:val="1"/>
                <w:numId w:val="22"/>
              </w:numPr>
            </w:pPr>
            <w:r>
              <w:t>cultural comparison writing assignments</w:t>
            </w:r>
          </w:p>
          <w:p w14:paraId="62AC4A6B" w14:textId="77777777" w:rsidR="003E2BD4" w:rsidRDefault="00101428">
            <w:pPr>
              <w:numPr>
                <w:ilvl w:val="0"/>
                <w:numId w:val="22"/>
              </w:numPr>
            </w:pPr>
            <w:r>
              <w:rPr>
                <w:u w:val="single"/>
              </w:rPr>
              <w:t>Relationship skills</w:t>
            </w:r>
            <w:r>
              <w:t>: working collaboratively in a heterogeneous group of peers</w:t>
            </w:r>
          </w:p>
          <w:p w14:paraId="06AFE4C9" w14:textId="77777777" w:rsidR="003E2BD4" w:rsidRDefault="00101428">
            <w:pPr>
              <w:numPr>
                <w:ilvl w:val="1"/>
                <w:numId w:val="22"/>
              </w:numPr>
            </w:pPr>
            <w:r>
              <w:t>headlines assignments, student-led talks about art, modern labors project</w:t>
            </w:r>
          </w:p>
          <w:p w14:paraId="24E89471" w14:textId="77777777" w:rsidR="003E2BD4" w:rsidRDefault="00101428">
            <w:pPr>
              <w:numPr>
                <w:ilvl w:val="0"/>
                <w:numId w:val="22"/>
              </w:numPr>
            </w:pPr>
            <w:r>
              <w:rPr>
                <w:u w:val="single"/>
              </w:rPr>
              <w:t>Decision making</w:t>
            </w:r>
            <w:r>
              <w:t>: identify and problem solve real issues</w:t>
            </w:r>
          </w:p>
          <w:p w14:paraId="099366FB" w14:textId="77777777" w:rsidR="003E2BD4" w:rsidRDefault="00101428">
            <w:pPr>
              <w:numPr>
                <w:ilvl w:val="1"/>
                <w:numId w:val="22"/>
              </w:numPr>
            </w:pPr>
            <w:r>
              <w:t>modern labors project, wise words reflections</w:t>
            </w:r>
          </w:p>
        </w:tc>
      </w:tr>
      <w:tr w:rsidR="003E2BD4" w14:paraId="4B2A2463" w14:textId="77777777" w:rsidTr="00AF7BD6">
        <w:trPr>
          <w:trHeight w:val="1584"/>
        </w:trPr>
        <w:tc>
          <w:tcPr>
            <w:tcW w:w="2405" w:type="dxa"/>
            <w:shd w:val="clear" w:color="auto" w:fill="F0FDFE"/>
            <w:vAlign w:val="center"/>
          </w:tcPr>
          <w:p w14:paraId="64A13336" w14:textId="77777777" w:rsidR="003E2BD4" w:rsidRDefault="00101428">
            <w:pPr>
              <w:spacing w:line="276" w:lineRule="auto"/>
              <w:jc w:val="center"/>
              <w:rPr>
                <w:b/>
                <w:color w:val="0C7580"/>
              </w:rPr>
            </w:pPr>
            <w:r>
              <w:rPr>
                <w:b/>
                <w:color w:val="0C7580"/>
              </w:rPr>
              <w:t>Social Justice</w:t>
            </w:r>
          </w:p>
        </w:tc>
        <w:tc>
          <w:tcPr>
            <w:tcW w:w="10550" w:type="dxa"/>
            <w:gridSpan w:val="6"/>
          </w:tcPr>
          <w:p w14:paraId="17369588" w14:textId="77777777" w:rsidR="003E2BD4" w:rsidRDefault="00101428">
            <w:pPr>
              <w:numPr>
                <w:ilvl w:val="0"/>
                <w:numId w:val="19"/>
              </w:numPr>
            </w:pPr>
            <w:r>
              <w:rPr>
                <w:u w:val="single"/>
              </w:rPr>
              <w:t>Identity</w:t>
            </w:r>
            <w:r>
              <w:t>: making connections to home culture and that of the ancient Romans and analyzing the cause of similarities and differences</w:t>
            </w:r>
          </w:p>
          <w:p w14:paraId="24134000" w14:textId="77777777" w:rsidR="003E2BD4" w:rsidRDefault="00101428">
            <w:pPr>
              <w:numPr>
                <w:ilvl w:val="0"/>
                <w:numId w:val="19"/>
              </w:numPr>
            </w:pPr>
            <w:r>
              <w:rPr>
                <w:u w:val="single"/>
              </w:rPr>
              <w:t>Diversity</w:t>
            </w:r>
            <w:r>
              <w:t>: thoughtfully connecting to another culture without judgment and using that connection to generate curious questioning</w:t>
            </w:r>
          </w:p>
          <w:p w14:paraId="118AFF51" w14:textId="77777777" w:rsidR="003E2BD4" w:rsidRDefault="00101428">
            <w:pPr>
              <w:numPr>
                <w:ilvl w:val="0"/>
                <w:numId w:val="19"/>
              </w:numPr>
            </w:pPr>
            <w:r>
              <w:rPr>
                <w:u w:val="single"/>
              </w:rPr>
              <w:t>Justice</w:t>
            </w:r>
            <w:r>
              <w:t>: understanding ancient Romans’ beliefs and values and noticing how that influenced their heroes</w:t>
            </w:r>
          </w:p>
          <w:p w14:paraId="1C718C90" w14:textId="77777777" w:rsidR="003E2BD4" w:rsidRDefault="00101428">
            <w:pPr>
              <w:numPr>
                <w:ilvl w:val="0"/>
                <w:numId w:val="19"/>
              </w:numPr>
            </w:pPr>
            <w:r>
              <w:rPr>
                <w:u w:val="single"/>
              </w:rPr>
              <w:t>Action</w:t>
            </w:r>
            <w:r>
              <w:t>: work with peers to make others’ feel less isolated when problem solving age-appropriate issues</w:t>
            </w:r>
          </w:p>
        </w:tc>
      </w:tr>
      <w:tr w:rsidR="003E2BD4" w14:paraId="289CA85C" w14:textId="77777777" w:rsidTr="00AF7BD6">
        <w:trPr>
          <w:trHeight w:val="1245"/>
        </w:trPr>
        <w:tc>
          <w:tcPr>
            <w:tcW w:w="2405" w:type="dxa"/>
            <w:shd w:val="clear" w:color="auto" w:fill="F0FDFE"/>
            <w:vAlign w:val="center"/>
          </w:tcPr>
          <w:p w14:paraId="2AC2CD06" w14:textId="77777777" w:rsidR="003E2BD4" w:rsidRDefault="00101428">
            <w:pPr>
              <w:spacing w:line="276" w:lineRule="auto"/>
              <w:jc w:val="center"/>
              <w:rPr>
                <w:b/>
                <w:color w:val="0C7580"/>
              </w:rPr>
            </w:pPr>
            <w:r>
              <w:rPr>
                <w:b/>
                <w:color w:val="0C7580"/>
              </w:rPr>
              <w:t>Differentiation for Equity</w:t>
            </w:r>
          </w:p>
        </w:tc>
        <w:tc>
          <w:tcPr>
            <w:tcW w:w="10550" w:type="dxa"/>
            <w:gridSpan w:val="6"/>
          </w:tcPr>
          <w:p w14:paraId="0E40179B" w14:textId="77777777" w:rsidR="003E2BD4" w:rsidRDefault="00101428">
            <w:pPr>
              <w:numPr>
                <w:ilvl w:val="0"/>
                <w:numId w:val="2"/>
              </w:numPr>
            </w:pPr>
            <w:r>
              <w:t>Opportunities within summative assessment for student choice</w:t>
            </w:r>
          </w:p>
          <w:p w14:paraId="4BD6402B" w14:textId="77777777" w:rsidR="003E2BD4" w:rsidRDefault="00101428">
            <w:pPr>
              <w:numPr>
                <w:ilvl w:val="0"/>
                <w:numId w:val="2"/>
              </w:numPr>
            </w:pPr>
            <w:r>
              <w:t xml:space="preserve">Scaffolded reading and authentic text encounters </w:t>
            </w:r>
          </w:p>
          <w:p w14:paraId="75688790" w14:textId="77777777" w:rsidR="003E2BD4" w:rsidRDefault="00101428">
            <w:pPr>
              <w:numPr>
                <w:ilvl w:val="0"/>
                <w:numId w:val="2"/>
              </w:numPr>
            </w:pPr>
            <w:r>
              <w:t>Heterogeneous peer groups for all to have opportunities to demonstrate strengths</w:t>
            </w:r>
          </w:p>
          <w:p w14:paraId="46258644" w14:textId="77777777" w:rsidR="003E2BD4" w:rsidRDefault="00101428">
            <w:pPr>
              <w:numPr>
                <w:ilvl w:val="0"/>
                <w:numId w:val="2"/>
              </w:numPr>
            </w:pPr>
            <w:r>
              <w:t>Modeling in class, practice in-situ for summative assignments, exemplars of student work</w:t>
            </w:r>
          </w:p>
        </w:tc>
      </w:tr>
      <w:tr w:rsidR="003E2BD4" w14:paraId="1DB12D7A" w14:textId="77777777" w:rsidTr="00AF7BD6">
        <w:trPr>
          <w:trHeight w:val="900"/>
        </w:trPr>
        <w:tc>
          <w:tcPr>
            <w:tcW w:w="2405" w:type="dxa"/>
            <w:shd w:val="clear" w:color="auto" w:fill="F0FDFE"/>
            <w:vAlign w:val="center"/>
          </w:tcPr>
          <w:p w14:paraId="1CF39A1B" w14:textId="77777777" w:rsidR="003E2BD4" w:rsidRDefault="00101428">
            <w:pPr>
              <w:jc w:val="center"/>
              <w:rPr>
                <w:b/>
                <w:color w:val="0C7580"/>
                <w:u w:val="single"/>
              </w:rPr>
            </w:pPr>
            <w:r>
              <w:rPr>
                <w:b/>
                <w:color w:val="0C7580"/>
              </w:rPr>
              <w:t>Technology</w:t>
            </w:r>
          </w:p>
        </w:tc>
        <w:tc>
          <w:tcPr>
            <w:tcW w:w="10550" w:type="dxa"/>
            <w:gridSpan w:val="6"/>
          </w:tcPr>
          <w:p w14:paraId="486BB8A1" w14:textId="77777777" w:rsidR="003E2BD4" w:rsidRDefault="00101428">
            <w:pPr>
              <w:numPr>
                <w:ilvl w:val="0"/>
                <w:numId w:val="3"/>
              </w:numPr>
            </w:pPr>
            <w:r>
              <w:t>Classroom has access to: internet, projector, set of class Chromebooks, the Google Suite of apps</w:t>
            </w:r>
          </w:p>
          <w:p w14:paraId="6796C284" w14:textId="77777777" w:rsidR="003E2BD4" w:rsidRDefault="00101428">
            <w:pPr>
              <w:numPr>
                <w:ilvl w:val="0"/>
                <w:numId w:val="3"/>
              </w:numPr>
            </w:pPr>
            <w:r>
              <w:t>Students will access: articles and images to enhance their own learning, Google Slides to organize their findings and share efficiently with classmates</w:t>
            </w:r>
          </w:p>
        </w:tc>
      </w:tr>
      <w:tr w:rsidR="003E2BD4" w14:paraId="48BE4801" w14:textId="77777777" w:rsidTr="00AF7BD6">
        <w:trPr>
          <w:trHeight w:val="1245"/>
        </w:trPr>
        <w:tc>
          <w:tcPr>
            <w:tcW w:w="2405" w:type="dxa"/>
            <w:shd w:val="clear" w:color="auto" w:fill="F0FDFE"/>
            <w:vAlign w:val="center"/>
          </w:tcPr>
          <w:p w14:paraId="312A6DE6" w14:textId="77777777" w:rsidR="003E2BD4" w:rsidRDefault="00AF5A21">
            <w:pPr>
              <w:jc w:val="center"/>
              <w:rPr>
                <w:b/>
                <w:color w:val="0C7580"/>
              </w:rPr>
            </w:pPr>
            <w:hyperlink r:id="rId21">
              <w:r w:rsidR="00101428">
                <w:rPr>
                  <w:b/>
                  <w:color w:val="0563C1"/>
                  <w:u w:val="single"/>
                </w:rPr>
                <w:t>Core Practices</w:t>
              </w:r>
            </w:hyperlink>
          </w:p>
        </w:tc>
        <w:tc>
          <w:tcPr>
            <w:tcW w:w="1845" w:type="dxa"/>
          </w:tcPr>
          <w:p w14:paraId="43C6DC75" w14:textId="77777777" w:rsidR="003E2BD4" w:rsidRDefault="003E2BD4"/>
          <w:p w14:paraId="3F044E6B" w14:textId="77777777" w:rsidR="003E2BD4" w:rsidRDefault="00101428">
            <w:pPr>
              <w:jc w:val="center"/>
            </w:pPr>
            <w:r>
              <w:t>Target Language Comprehensibility</w:t>
            </w:r>
          </w:p>
          <w:p w14:paraId="23413783" w14:textId="77777777" w:rsidR="003E2BD4" w:rsidRDefault="00101428">
            <w:pPr>
              <w:jc w:val="center"/>
              <w:rPr>
                <w:highlight w:val="yellow"/>
              </w:rPr>
            </w:pPr>
            <w:r>
              <w:rPr>
                <w:rFonts w:ascii="MS Gothic" w:eastAsia="MS Gothic" w:hAnsi="MS Gothic" w:cs="MS Gothic"/>
                <w:sz w:val="28"/>
                <w:szCs w:val="28"/>
                <w:highlight w:val="yellow"/>
              </w:rPr>
              <w:t>☐</w:t>
            </w:r>
          </w:p>
        </w:tc>
        <w:tc>
          <w:tcPr>
            <w:tcW w:w="1746" w:type="dxa"/>
          </w:tcPr>
          <w:p w14:paraId="17FB71DC" w14:textId="77777777" w:rsidR="003E2BD4" w:rsidRDefault="003E2BD4"/>
          <w:p w14:paraId="244BD386" w14:textId="77777777" w:rsidR="003E2BD4" w:rsidRDefault="00101428">
            <w:pPr>
              <w:jc w:val="center"/>
            </w:pPr>
            <w:r>
              <w:t>Authentic Resources</w:t>
            </w:r>
          </w:p>
          <w:p w14:paraId="0BFE83EA" w14:textId="77777777" w:rsidR="003E2BD4" w:rsidRDefault="00101428">
            <w:pPr>
              <w:jc w:val="center"/>
              <w:rPr>
                <w:highlight w:val="yellow"/>
              </w:rPr>
            </w:pPr>
            <w:r>
              <w:rPr>
                <w:rFonts w:ascii="MS Gothic" w:eastAsia="MS Gothic" w:hAnsi="MS Gothic" w:cs="MS Gothic"/>
                <w:sz w:val="28"/>
                <w:szCs w:val="28"/>
                <w:highlight w:val="yellow"/>
              </w:rPr>
              <w:t>☐</w:t>
            </w:r>
          </w:p>
        </w:tc>
        <w:tc>
          <w:tcPr>
            <w:tcW w:w="1919" w:type="dxa"/>
          </w:tcPr>
          <w:p w14:paraId="3E175F61" w14:textId="77777777" w:rsidR="003E2BD4" w:rsidRDefault="003E2BD4"/>
          <w:p w14:paraId="21B2EEFF" w14:textId="77777777" w:rsidR="003E2BD4" w:rsidRDefault="00101428">
            <w:pPr>
              <w:jc w:val="center"/>
            </w:pPr>
            <w:r>
              <w:t>Oral Interpersonal Tasks</w:t>
            </w:r>
          </w:p>
          <w:p w14:paraId="68876F8C" w14:textId="77777777" w:rsidR="003E2BD4" w:rsidRDefault="00101428">
            <w:pPr>
              <w:jc w:val="center"/>
              <w:rPr>
                <w:highlight w:val="yellow"/>
              </w:rPr>
            </w:pPr>
            <w:r>
              <w:rPr>
                <w:rFonts w:ascii="MS Gothic" w:eastAsia="MS Gothic" w:hAnsi="MS Gothic" w:cs="MS Gothic"/>
                <w:sz w:val="28"/>
                <w:szCs w:val="28"/>
                <w:highlight w:val="yellow"/>
              </w:rPr>
              <w:t>☐</w:t>
            </w:r>
          </w:p>
        </w:tc>
        <w:tc>
          <w:tcPr>
            <w:tcW w:w="1577" w:type="dxa"/>
          </w:tcPr>
          <w:p w14:paraId="2ECF2F91" w14:textId="77777777" w:rsidR="003E2BD4" w:rsidRDefault="003E2BD4"/>
          <w:p w14:paraId="5D60A21E" w14:textId="77777777" w:rsidR="003E2BD4" w:rsidRDefault="00101428">
            <w:pPr>
              <w:jc w:val="center"/>
            </w:pPr>
            <w:r>
              <w:t>Backward Design</w:t>
            </w:r>
          </w:p>
          <w:p w14:paraId="5F384DEF" w14:textId="77777777" w:rsidR="003E2BD4" w:rsidRDefault="00101428">
            <w:pPr>
              <w:jc w:val="center"/>
              <w:rPr>
                <w:highlight w:val="yellow"/>
              </w:rPr>
            </w:pPr>
            <w:r>
              <w:rPr>
                <w:rFonts w:ascii="MS Gothic" w:eastAsia="MS Gothic" w:hAnsi="MS Gothic" w:cs="MS Gothic"/>
                <w:sz w:val="28"/>
                <w:szCs w:val="28"/>
                <w:highlight w:val="yellow"/>
              </w:rPr>
              <w:t>☐</w:t>
            </w:r>
          </w:p>
        </w:tc>
        <w:tc>
          <w:tcPr>
            <w:tcW w:w="1731" w:type="dxa"/>
          </w:tcPr>
          <w:p w14:paraId="0E12BF64" w14:textId="77777777" w:rsidR="003E2BD4" w:rsidRDefault="003E2BD4"/>
          <w:p w14:paraId="00451295" w14:textId="77777777" w:rsidR="003E2BD4" w:rsidRDefault="00101428">
            <w:pPr>
              <w:jc w:val="center"/>
            </w:pPr>
            <w:r>
              <w:t>Teach Grammar in Context</w:t>
            </w:r>
          </w:p>
          <w:p w14:paraId="74E69AE5" w14:textId="77777777" w:rsidR="003E2BD4" w:rsidRDefault="00101428">
            <w:pPr>
              <w:jc w:val="center"/>
              <w:rPr>
                <w:highlight w:val="yellow"/>
              </w:rPr>
            </w:pPr>
            <w:r>
              <w:rPr>
                <w:rFonts w:ascii="MS Gothic" w:eastAsia="MS Gothic" w:hAnsi="MS Gothic" w:cs="MS Gothic"/>
                <w:sz w:val="28"/>
                <w:szCs w:val="28"/>
                <w:highlight w:val="yellow"/>
              </w:rPr>
              <w:t>☐</w:t>
            </w:r>
          </w:p>
        </w:tc>
        <w:tc>
          <w:tcPr>
            <w:tcW w:w="1732" w:type="dxa"/>
          </w:tcPr>
          <w:p w14:paraId="4DD128F2" w14:textId="77777777" w:rsidR="003E2BD4" w:rsidRDefault="003E2BD4"/>
          <w:p w14:paraId="6C1CA766" w14:textId="77777777" w:rsidR="003E2BD4" w:rsidRDefault="00101428">
            <w:pPr>
              <w:jc w:val="center"/>
            </w:pPr>
            <w:r>
              <w:t>Provide Oral Feedback</w:t>
            </w:r>
          </w:p>
          <w:p w14:paraId="224EEBF1" w14:textId="77777777" w:rsidR="003E2BD4" w:rsidRDefault="00101428">
            <w:pPr>
              <w:jc w:val="center"/>
              <w:rPr>
                <w:highlight w:val="yellow"/>
              </w:rPr>
            </w:pPr>
            <w:r>
              <w:rPr>
                <w:rFonts w:ascii="MS Gothic" w:eastAsia="MS Gothic" w:hAnsi="MS Gothic" w:cs="MS Gothic"/>
                <w:sz w:val="28"/>
                <w:szCs w:val="28"/>
                <w:highlight w:val="yellow"/>
              </w:rPr>
              <w:t>☐</w:t>
            </w:r>
          </w:p>
        </w:tc>
      </w:tr>
    </w:tbl>
    <w:p w14:paraId="46DD24D5" w14:textId="77777777" w:rsidR="003E2BD4" w:rsidRDefault="003E2BD4"/>
    <w:tbl>
      <w:tblPr>
        <w:tblStyle w:val="a5"/>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3E2BD4" w14:paraId="7E598B7D" w14:textId="77777777" w:rsidTr="00AF7BD6">
        <w:trPr>
          <w:trHeight w:val="710"/>
        </w:trPr>
        <w:tc>
          <w:tcPr>
            <w:tcW w:w="12949" w:type="dxa"/>
            <w:gridSpan w:val="5"/>
            <w:shd w:val="clear" w:color="auto" w:fill="0C7580"/>
            <w:vAlign w:val="center"/>
          </w:tcPr>
          <w:p w14:paraId="2CDACA62" w14:textId="77777777" w:rsidR="003E2BD4" w:rsidRDefault="00101428">
            <w:pPr>
              <w:jc w:val="center"/>
              <w:rPr>
                <w:b/>
                <w:color w:val="FFFFFF"/>
                <w:sz w:val="28"/>
                <w:szCs w:val="28"/>
              </w:rPr>
            </w:pPr>
            <w:r>
              <w:rPr>
                <w:b/>
                <w:color w:val="FFFFFF"/>
                <w:sz w:val="28"/>
                <w:szCs w:val="28"/>
              </w:rPr>
              <w:t xml:space="preserve"> Reflection and Analysis</w:t>
            </w:r>
          </w:p>
          <w:p w14:paraId="6092E49F" w14:textId="77777777" w:rsidR="003E2BD4" w:rsidRDefault="00101428">
            <w:pPr>
              <w:jc w:val="center"/>
              <w:rPr>
                <w:b/>
                <w:color w:val="FFFFFF"/>
                <w:sz w:val="28"/>
                <w:szCs w:val="28"/>
              </w:rPr>
            </w:pPr>
            <w:r>
              <w:rPr>
                <w:b/>
                <w:i/>
                <w:color w:val="FFFFFF"/>
              </w:rPr>
              <w:t>Which students connected to the unit, which unit activities were most effective, and how aligned were different components of the unit?</w:t>
            </w:r>
          </w:p>
        </w:tc>
      </w:tr>
      <w:tr w:rsidR="003E2BD4" w14:paraId="787A2E1D" w14:textId="77777777" w:rsidTr="00AF7BD6">
        <w:trPr>
          <w:trHeight w:val="1152"/>
        </w:trPr>
        <w:tc>
          <w:tcPr>
            <w:tcW w:w="2335" w:type="dxa"/>
            <w:tcBorders>
              <w:bottom w:val="single" w:sz="4" w:space="0" w:color="000000"/>
            </w:tcBorders>
            <w:shd w:val="clear" w:color="auto" w:fill="F0FDFE"/>
            <w:vAlign w:val="center"/>
          </w:tcPr>
          <w:p w14:paraId="4C49318C" w14:textId="77777777" w:rsidR="003E2BD4" w:rsidRDefault="00101428">
            <w:pPr>
              <w:spacing w:line="276" w:lineRule="auto"/>
              <w:jc w:val="center"/>
              <w:rPr>
                <w:b/>
                <w:color w:val="0C7580"/>
              </w:rPr>
            </w:pPr>
            <w:r>
              <w:rPr>
                <w:b/>
                <w:color w:val="0C7580"/>
              </w:rPr>
              <w:t>Centering Student Diversity</w:t>
            </w:r>
          </w:p>
        </w:tc>
        <w:tc>
          <w:tcPr>
            <w:tcW w:w="10614" w:type="dxa"/>
            <w:gridSpan w:val="4"/>
            <w:tcBorders>
              <w:bottom w:val="single" w:sz="4" w:space="0" w:color="000000"/>
            </w:tcBorders>
          </w:tcPr>
          <w:p w14:paraId="2EFE9A82" w14:textId="77777777" w:rsidR="003E2BD4" w:rsidRDefault="003E2BD4"/>
        </w:tc>
      </w:tr>
      <w:tr w:rsidR="003E2BD4" w14:paraId="6C6AA946" w14:textId="77777777" w:rsidTr="00AF7BD6">
        <w:trPr>
          <w:trHeight w:val="1152"/>
        </w:trPr>
        <w:tc>
          <w:tcPr>
            <w:tcW w:w="2335" w:type="dxa"/>
            <w:tcBorders>
              <w:bottom w:val="single" w:sz="4" w:space="0" w:color="000000"/>
            </w:tcBorders>
            <w:shd w:val="clear" w:color="auto" w:fill="F0FDFE"/>
            <w:vAlign w:val="center"/>
          </w:tcPr>
          <w:p w14:paraId="0247F3EB" w14:textId="77777777" w:rsidR="003E2BD4" w:rsidRDefault="00101428">
            <w:pPr>
              <w:spacing w:line="276" w:lineRule="auto"/>
              <w:jc w:val="center"/>
              <w:rPr>
                <w:b/>
                <w:color w:val="0C7580"/>
              </w:rPr>
            </w:pPr>
            <w:r>
              <w:rPr>
                <w:b/>
                <w:color w:val="0C7580"/>
              </w:rPr>
              <w:t>Strengths</w:t>
            </w:r>
          </w:p>
        </w:tc>
        <w:tc>
          <w:tcPr>
            <w:tcW w:w="10614" w:type="dxa"/>
            <w:gridSpan w:val="4"/>
            <w:tcBorders>
              <w:bottom w:val="single" w:sz="4" w:space="0" w:color="000000"/>
            </w:tcBorders>
          </w:tcPr>
          <w:p w14:paraId="1D6528B5" w14:textId="77777777" w:rsidR="003E2BD4" w:rsidRDefault="003E2BD4"/>
          <w:p w14:paraId="4CD77349" w14:textId="77777777" w:rsidR="003E2BD4" w:rsidRDefault="003E2BD4"/>
          <w:p w14:paraId="006E8599" w14:textId="77777777" w:rsidR="003E2BD4" w:rsidRDefault="003E2BD4"/>
          <w:p w14:paraId="2B07FC66" w14:textId="77777777" w:rsidR="003E2BD4" w:rsidRDefault="003E2BD4"/>
        </w:tc>
      </w:tr>
      <w:tr w:rsidR="003E2BD4" w14:paraId="061C2408" w14:textId="77777777" w:rsidTr="00AF7BD6">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52ECCE10" w14:textId="77777777" w:rsidR="003E2BD4" w:rsidRDefault="00101428">
            <w:pPr>
              <w:spacing w:line="276" w:lineRule="auto"/>
              <w:jc w:val="center"/>
              <w:rPr>
                <w:b/>
                <w:color w:val="0C7580"/>
              </w:rPr>
            </w:pPr>
            <w:r>
              <w:rPr>
                <w:b/>
                <w:color w:val="0C7580"/>
              </w:rPr>
              <w:t>Areas for Improvement</w:t>
            </w:r>
          </w:p>
          <w:p w14:paraId="61AA2622" w14:textId="77777777" w:rsidR="003E2BD4" w:rsidRDefault="003E2BD4">
            <w:pPr>
              <w:jc w:val="center"/>
              <w:rPr>
                <w:b/>
                <w:color w:val="0C7580"/>
              </w:rPr>
            </w:pPr>
          </w:p>
        </w:tc>
        <w:tc>
          <w:tcPr>
            <w:tcW w:w="10614" w:type="dxa"/>
            <w:gridSpan w:val="4"/>
            <w:tcBorders>
              <w:top w:val="single" w:sz="4" w:space="0" w:color="000000"/>
              <w:left w:val="single" w:sz="4" w:space="0" w:color="000000"/>
              <w:bottom w:val="single" w:sz="4" w:space="0" w:color="000000"/>
              <w:right w:val="single" w:sz="4" w:space="0" w:color="000000"/>
            </w:tcBorders>
          </w:tcPr>
          <w:p w14:paraId="5785DCE3" w14:textId="77777777" w:rsidR="003E2BD4" w:rsidRDefault="003E2BD4"/>
          <w:p w14:paraId="4577D7F1" w14:textId="77777777" w:rsidR="003E2BD4" w:rsidRDefault="003E2BD4"/>
          <w:p w14:paraId="21A40C79" w14:textId="77777777" w:rsidR="003E2BD4" w:rsidRDefault="003E2BD4"/>
          <w:p w14:paraId="2D7F4238" w14:textId="77777777" w:rsidR="003E2BD4" w:rsidRDefault="003E2BD4"/>
        </w:tc>
      </w:tr>
      <w:tr w:rsidR="003E2BD4" w14:paraId="0656D36D" w14:textId="77777777" w:rsidTr="00AF7BD6">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009EF78A" w14:textId="77777777" w:rsidR="003E2BD4" w:rsidRDefault="00101428">
            <w:pPr>
              <w:spacing w:line="276" w:lineRule="auto"/>
              <w:jc w:val="center"/>
              <w:rPr>
                <w:b/>
                <w:color w:val="0C7580"/>
              </w:rPr>
            </w:pPr>
            <w:r>
              <w:rPr>
                <w:b/>
                <w:color w:val="0C7580"/>
              </w:rPr>
              <w:t>Unit Component</w:t>
            </w:r>
          </w:p>
        </w:tc>
        <w:tc>
          <w:tcPr>
            <w:tcW w:w="8136" w:type="dxa"/>
            <w:vMerge w:val="restart"/>
            <w:tcBorders>
              <w:top w:val="single" w:sz="12" w:space="0" w:color="000000"/>
              <w:left w:val="single" w:sz="4" w:space="0" w:color="000000"/>
              <w:right w:val="single" w:sz="4" w:space="0" w:color="000000"/>
            </w:tcBorders>
            <w:shd w:val="clear" w:color="auto" w:fill="F0FDFE"/>
            <w:vAlign w:val="center"/>
          </w:tcPr>
          <w:p w14:paraId="6D8B182F" w14:textId="77777777" w:rsidR="003E2BD4" w:rsidRDefault="00101428">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0C2BC5FB" w14:textId="77777777" w:rsidR="003E2BD4" w:rsidRDefault="00101428">
            <w:pPr>
              <w:jc w:val="center"/>
            </w:pPr>
            <w:r>
              <w:rPr>
                <w:b/>
                <w:color w:val="0C7580"/>
              </w:rPr>
              <w:t>Aligned?</w:t>
            </w:r>
          </w:p>
        </w:tc>
      </w:tr>
      <w:tr w:rsidR="003E2BD4" w14:paraId="710EC466" w14:textId="77777777" w:rsidTr="00AF7BD6">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4BF9BAA3" w14:textId="77777777" w:rsidR="003E2BD4" w:rsidRDefault="003E2BD4">
            <w:pPr>
              <w:widowControl w:val="0"/>
              <w:pBdr>
                <w:top w:val="nil"/>
                <w:left w:val="nil"/>
                <w:bottom w:val="nil"/>
                <w:right w:val="nil"/>
                <w:between w:val="nil"/>
              </w:pBdr>
              <w:spacing w:line="276" w:lineRule="auto"/>
            </w:pPr>
          </w:p>
        </w:tc>
        <w:tc>
          <w:tcPr>
            <w:tcW w:w="8136" w:type="dxa"/>
            <w:vMerge/>
            <w:tcBorders>
              <w:top w:val="single" w:sz="12" w:space="0" w:color="000000"/>
              <w:left w:val="single" w:sz="4" w:space="0" w:color="000000"/>
              <w:right w:val="single" w:sz="4" w:space="0" w:color="000000"/>
            </w:tcBorders>
            <w:shd w:val="clear" w:color="auto" w:fill="F0FDFE"/>
            <w:vAlign w:val="center"/>
          </w:tcPr>
          <w:p w14:paraId="4679E857" w14:textId="77777777" w:rsidR="003E2BD4" w:rsidRDefault="003E2BD4">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DD32560" w14:textId="77777777" w:rsidR="003E2BD4" w:rsidRDefault="00101428">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84DB090" w14:textId="77777777" w:rsidR="003E2BD4" w:rsidRDefault="00101428">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77B523E" w14:textId="77777777" w:rsidR="003E2BD4" w:rsidRDefault="00101428">
            <w:pPr>
              <w:jc w:val="center"/>
            </w:pPr>
            <w:r>
              <w:rPr>
                <w:b/>
                <w:color w:val="0C7580"/>
              </w:rPr>
              <w:t>Not</w:t>
            </w:r>
          </w:p>
        </w:tc>
      </w:tr>
      <w:tr w:rsidR="003E2BD4" w14:paraId="1A223792" w14:textId="77777777" w:rsidTr="00AF7BD6">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E917FE1" w14:textId="77777777" w:rsidR="003E2BD4" w:rsidRDefault="00101428">
            <w:pPr>
              <w:spacing w:line="276" w:lineRule="auto"/>
              <w:jc w:val="center"/>
              <w:rPr>
                <w:b/>
                <w:color w:val="0C7580"/>
              </w:rPr>
            </w:pPr>
            <w:r>
              <w:rPr>
                <w:b/>
                <w:color w:val="0C7580"/>
              </w:rPr>
              <w:t>Summative Assessment</w:t>
            </w:r>
          </w:p>
        </w:tc>
        <w:tc>
          <w:tcPr>
            <w:tcW w:w="8136" w:type="dxa"/>
            <w:tcBorders>
              <w:top w:val="single" w:sz="4" w:space="0" w:color="000000"/>
              <w:left w:val="single" w:sz="4" w:space="0" w:color="000000"/>
              <w:bottom w:val="single" w:sz="4" w:space="0" w:color="000000"/>
              <w:right w:val="single" w:sz="4" w:space="0" w:color="000000"/>
            </w:tcBorders>
          </w:tcPr>
          <w:p w14:paraId="0EE3BA46" w14:textId="77777777" w:rsidR="003E2BD4" w:rsidRDefault="003E2BD4"/>
        </w:tc>
        <w:tc>
          <w:tcPr>
            <w:tcW w:w="826" w:type="dxa"/>
            <w:tcBorders>
              <w:top w:val="single" w:sz="4" w:space="0" w:color="000000"/>
              <w:left w:val="single" w:sz="4" w:space="0" w:color="000000"/>
              <w:bottom w:val="single" w:sz="4" w:space="0" w:color="000000"/>
              <w:right w:val="single" w:sz="4" w:space="0" w:color="000000"/>
            </w:tcBorders>
            <w:vAlign w:val="center"/>
          </w:tcPr>
          <w:p w14:paraId="516DD99C" w14:textId="77777777" w:rsidR="003E2BD4" w:rsidRDefault="00101428">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7E4208C4" w14:textId="77777777" w:rsidR="003E2BD4" w:rsidRDefault="00101428">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465731E7" w14:textId="77777777" w:rsidR="003E2BD4" w:rsidRDefault="00101428">
            <w:pPr>
              <w:jc w:val="center"/>
            </w:pPr>
            <w:r>
              <w:rPr>
                <w:rFonts w:ascii="MS Gothic" w:eastAsia="MS Gothic" w:hAnsi="MS Gothic" w:cs="MS Gothic"/>
                <w:b/>
              </w:rPr>
              <w:t>☐</w:t>
            </w:r>
          </w:p>
        </w:tc>
      </w:tr>
      <w:tr w:rsidR="003E2BD4" w14:paraId="438F4402" w14:textId="77777777" w:rsidTr="00AF7BD6">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DBAAEE9" w14:textId="77777777" w:rsidR="003E2BD4" w:rsidRDefault="00101428">
            <w:pPr>
              <w:spacing w:line="276" w:lineRule="auto"/>
              <w:jc w:val="center"/>
              <w:rPr>
                <w:b/>
                <w:color w:val="0C7580"/>
              </w:rPr>
            </w:pPr>
            <w:r>
              <w:rPr>
                <w:b/>
                <w:color w:val="0C7580"/>
              </w:rPr>
              <w:t>Key Learning Activities and Formative Assessments</w:t>
            </w:r>
          </w:p>
        </w:tc>
        <w:tc>
          <w:tcPr>
            <w:tcW w:w="8136" w:type="dxa"/>
            <w:tcBorders>
              <w:top w:val="single" w:sz="4" w:space="0" w:color="000000"/>
              <w:left w:val="single" w:sz="4" w:space="0" w:color="000000"/>
              <w:bottom w:val="single" w:sz="4" w:space="0" w:color="000000"/>
              <w:right w:val="single" w:sz="4" w:space="0" w:color="000000"/>
            </w:tcBorders>
          </w:tcPr>
          <w:p w14:paraId="6DD4F66F" w14:textId="77777777" w:rsidR="003E2BD4" w:rsidRDefault="003E2BD4"/>
        </w:tc>
        <w:tc>
          <w:tcPr>
            <w:tcW w:w="826" w:type="dxa"/>
            <w:tcBorders>
              <w:top w:val="single" w:sz="4" w:space="0" w:color="000000"/>
              <w:left w:val="single" w:sz="4" w:space="0" w:color="000000"/>
              <w:bottom w:val="single" w:sz="4" w:space="0" w:color="000000"/>
              <w:right w:val="single" w:sz="4" w:space="0" w:color="000000"/>
            </w:tcBorders>
            <w:vAlign w:val="center"/>
          </w:tcPr>
          <w:p w14:paraId="1DFEFFB4" w14:textId="77777777" w:rsidR="003E2BD4" w:rsidRDefault="00101428">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5AA46E23" w14:textId="77777777" w:rsidR="003E2BD4" w:rsidRDefault="00101428">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71221512" w14:textId="77777777" w:rsidR="003E2BD4" w:rsidRDefault="00101428">
            <w:pPr>
              <w:jc w:val="center"/>
            </w:pPr>
            <w:r>
              <w:rPr>
                <w:rFonts w:ascii="MS Gothic" w:eastAsia="MS Gothic" w:hAnsi="MS Gothic" w:cs="MS Gothic"/>
                <w:b/>
              </w:rPr>
              <w:t>☐</w:t>
            </w:r>
          </w:p>
        </w:tc>
      </w:tr>
      <w:tr w:rsidR="003E2BD4" w14:paraId="48ACED9F" w14:textId="77777777" w:rsidTr="00AF7BD6">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A30CCED" w14:textId="77777777" w:rsidR="003E2BD4" w:rsidRDefault="00101428">
            <w:pPr>
              <w:spacing w:line="276" w:lineRule="auto"/>
              <w:jc w:val="center"/>
              <w:rPr>
                <w:b/>
                <w:color w:val="0C7580"/>
              </w:rPr>
            </w:pPr>
            <w:r>
              <w:rPr>
                <w:b/>
                <w:color w:val="0C7580"/>
              </w:rPr>
              <w:t>Next Steps</w:t>
            </w:r>
          </w:p>
        </w:tc>
        <w:tc>
          <w:tcPr>
            <w:tcW w:w="10614" w:type="dxa"/>
            <w:gridSpan w:val="4"/>
            <w:tcBorders>
              <w:top w:val="single" w:sz="4" w:space="0" w:color="000000"/>
              <w:left w:val="single" w:sz="4" w:space="0" w:color="000000"/>
              <w:bottom w:val="single" w:sz="4" w:space="0" w:color="000000"/>
              <w:right w:val="single" w:sz="4" w:space="0" w:color="000000"/>
            </w:tcBorders>
          </w:tcPr>
          <w:p w14:paraId="6D3295E2" w14:textId="77777777" w:rsidR="003E2BD4" w:rsidRDefault="003E2BD4"/>
        </w:tc>
      </w:tr>
    </w:tbl>
    <w:p w14:paraId="75B831CA" w14:textId="510A2B85" w:rsidR="00101428" w:rsidRDefault="00101428" w:rsidP="00101428">
      <w:pPr>
        <w:pStyle w:val="NoSpacing"/>
      </w:pPr>
      <w:r w:rsidRPr="00707996">
        <w:t xml:space="preserve">This unit plan was developed by </w:t>
      </w:r>
      <w:r>
        <w:t>Sara Peters</w:t>
      </w:r>
      <w:r w:rsidRPr="00707996">
        <w:t xml:space="preserve"> for the Massachusetts Department of Elementary and Secondary Education.</w:t>
      </w:r>
    </w:p>
    <w:p w14:paraId="2D24C39B" w14:textId="77777777" w:rsidR="003E2BD4" w:rsidRDefault="003E2BD4">
      <w:pPr>
        <w:spacing w:after="0"/>
      </w:pPr>
    </w:p>
    <w:sectPr w:rsidR="003E2BD4">
      <w:headerReference w:type="default" r:id="rId22"/>
      <w:footerReference w:type="default" r:id="rId23"/>
      <w:headerReference w:type="first" r:id="rId24"/>
      <w:footerReference w:type="first" r:id="rId25"/>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E0EA" w14:textId="77777777" w:rsidR="008E10C1" w:rsidRDefault="008E10C1">
      <w:pPr>
        <w:spacing w:after="0" w:line="240" w:lineRule="auto"/>
      </w:pPr>
      <w:r>
        <w:separator/>
      </w:r>
    </w:p>
  </w:endnote>
  <w:endnote w:type="continuationSeparator" w:id="0">
    <w:p w14:paraId="1E8E3A85" w14:textId="77777777" w:rsidR="008E10C1" w:rsidRDefault="008E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FBA9" w14:textId="77777777" w:rsidR="003E2BD4" w:rsidRDefault="00101428">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8602" w14:textId="77777777" w:rsidR="003E2BD4" w:rsidRDefault="00101428">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567F" w14:textId="77777777" w:rsidR="008E10C1" w:rsidRDefault="008E10C1">
      <w:pPr>
        <w:spacing w:after="0" w:line="240" w:lineRule="auto"/>
      </w:pPr>
      <w:r>
        <w:separator/>
      </w:r>
    </w:p>
  </w:footnote>
  <w:footnote w:type="continuationSeparator" w:id="0">
    <w:p w14:paraId="1BC242D9" w14:textId="77777777" w:rsidR="008E10C1" w:rsidRDefault="008E1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8B03" w14:textId="77777777" w:rsidR="003E2BD4" w:rsidRDefault="00101428">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76FB78BF" wp14:editId="62649ACD">
          <wp:simplePos x="0" y="0"/>
          <wp:positionH relativeFrom="column">
            <wp:posOffset>-288288</wp:posOffset>
          </wp:positionH>
          <wp:positionV relativeFrom="paragraph">
            <wp:posOffset>-262253</wp:posOffset>
          </wp:positionV>
          <wp:extent cx="1261872" cy="612648"/>
          <wp:effectExtent l="0" t="0" r="0" b="0"/>
          <wp:wrapNone/>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75B6B2AD" w14:textId="77777777" w:rsidR="003E2BD4" w:rsidRDefault="00101428">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546A" w14:textId="77777777" w:rsidR="003E2BD4" w:rsidRDefault="00101428">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43527D41" wp14:editId="4893A0A2">
          <wp:simplePos x="0" y="0"/>
          <wp:positionH relativeFrom="column">
            <wp:posOffset>-288288</wp:posOffset>
          </wp:positionH>
          <wp:positionV relativeFrom="paragraph">
            <wp:posOffset>-262253</wp:posOffset>
          </wp:positionV>
          <wp:extent cx="1261872" cy="612648"/>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9FA"/>
    <w:multiLevelType w:val="multilevel"/>
    <w:tmpl w:val="0722D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6B75FD"/>
    <w:multiLevelType w:val="multilevel"/>
    <w:tmpl w:val="8B769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3671C"/>
    <w:multiLevelType w:val="multilevel"/>
    <w:tmpl w:val="E1A05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642AB"/>
    <w:multiLevelType w:val="multilevel"/>
    <w:tmpl w:val="DB3AC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9449CC"/>
    <w:multiLevelType w:val="multilevel"/>
    <w:tmpl w:val="ACA49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F774B9"/>
    <w:multiLevelType w:val="multilevel"/>
    <w:tmpl w:val="4B125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E6376C"/>
    <w:multiLevelType w:val="multilevel"/>
    <w:tmpl w:val="B6B00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A34E38"/>
    <w:multiLevelType w:val="multilevel"/>
    <w:tmpl w:val="EA9AA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A90859"/>
    <w:multiLevelType w:val="multilevel"/>
    <w:tmpl w:val="BF7A4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362685"/>
    <w:multiLevelType w:val="multilevel"/>
    <w:tmpl w:val="F076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D17EEE"/>
    <w:multiLevelType w:val="multilevel"/>
    <w:tmpl w:val="8CB47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B5205F"/>
    <w:multiLevelType w:val="multilevel"/>
    <w:tmpl w:val="221C1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EB31B9"/>
    <w:multiLevelType w:val="multilevel"/>
    <w:tmpl w:val="66C4F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2576EB"/>
    <w:multiLevelType w:val="multilevel"/>
    <w:tmpl w:val="EF5A0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DE023D"/>
    <w:multiLevelType w:val="multilevel"/>
    <w:tmpl w:val="03588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E63589"/>
    <w:multiLevelType w:val="multilevel"/>
    <w:tmpl w:val="EB20B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6F1178"/>
    <w:multiLevelType w:val="multilevel"/>
    <w:tmpl w:val="B4B28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F94448"/>
    <w:multiLevelType w:val="multilevel"/>
    <w:tmpl w:val="90467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B27FBA"/>
    <w:multiLevelType w:val="multilevel"/>
    <w:tmpl w:val="B67A0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E5055A"/>
    <w:multiLevelType w:val="multilevel"/>
    <w:tmpl w:val="FD403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77703A"/>
    <w:multiLevelType w:val="multilevel"/>
    <w:tmpl w:val="7EA4D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FE0112"/>
    <w:multiLevelType w:val="multilevel"/>
    <w:tmpl w:val="5B4A7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FD0E93"/>
    <w:multiLevelType w:val="multilevel"/>
    <w:tmpl w:val="9F808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761519"/>
    <w:multiLevelType w:val="multilevel"/>
    <w:tmpl w:val="16727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AE1A90"/>
    <w:multiLevelType w:val="multilevel"/>
    <w:tmpl w:val="66E0F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3619BB"/>
    <w:multiLevelType w:val="multilevel"/>
    <w:tmpl w:val="8E560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E82E2F"/>
    <w:multiLevelType w:val="multilevel"/>
    <w:tmpl w:val="E5AEC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912BDE"/>
    <w:multiLevelType w:val="multilevel"/>
    <w:tmpl w:val="27FEA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7718645">
    <w:abstractNumId w:val="2"/>
  </w:num>
  <w:num w:numId="2" w16cid:durableId="658533440">
    <w:abstractNumId w:val="13"/>
  </w:num>
  <w:num w:numId="3" w16cid:durableId="803693879">
    <w:abstractNumId w:val="4"/>
  </w:num>
  <w:num w:numId="4" w16cid:durableId="453715762">
    <w:abstractNumId w:val="24"/>
  </w:num>
  <w:num w:numId="5" w16cid:durableId="142089492">
    <w:abstractNumId w:val="15"/>
  </w:num>
  <w:num w:numId="6" w16cid:durableId="2072341110">
    <w:abstractNumId w:val="11"/>
  </w:num>
  <w:num w:numId="7" w16cid:durableId="1568032153">
    <w:abstractNumId w:val="3"/>
  </w:num>
  <w:num w:numId="8" w16cid:durableId="863710802">
    <w:abstractNumId w:val="6"/>
  </w:num>
  <w:num w:numId="9" w16cid:durableId="1154757332">
    <w:abstractNumId w:val="17"/>
  </w:num>
  <w:num w:numId="10" w16cid:durableId="662126490">
    <w:abstractNumId w:val="26"/>
  </w:num>
  <w:num w:numId="11" w16cid:durableId="1830094557">
    <w:abstractNumId w:val="18"/>
  </w:num>
  <w:num w:numId="12" w16cid:durableId="101730833">
    <w:abstractNumId w:val="23"/>
  </w:num>
  <w:num w:numId="13" w16cid:durableId="1184634263">
    <w:abstractNumId w:val="12"/>
  </w:num>
  <w:num w:numId="14" w16cid:durableId="569271191">
    <w:abstractNumId w:val="25"/>
  </w:num>
  <w:num w:numId="15" w16cid:durableId="1400130262">
    <w:abstractNumId w:val="5"/>
  </w:num>
  <w:num w:numId="16" w16cid:durableId="558593851">
    <w:abstractNumId w:val="22"/>
  </w:num>
  <w:num w:numId="17" w16cid:durableId="1072777365">
    <w:abstractNumId w:val="0"/>
  </w:num>
  <w:num w:numId="18" w16cid:durableId="14424520">
    <w:abstractNumId w:val="8"/>
  </w:num>
  <w:num w:numId="19" w16cid:durableId="195703345">
    <w:abstractNumId w:val="20"/>
  </w:num>
  <w:num w:numId="20" w16cid:durableId="142502701">
    <w:abstractNumId w:val="10"/>
  </w:num>
  <w:num w:numId="21" w16cid:durableId="2053111842">
    <w:abstractNumId w:val="16"/>
  </w:num>
  <w:num w:numId="22" w16cid:durableId="417942930">
    <w:abstractNumId w:val="7"/>
  </w:num>
  <w:num w:numId="23" w16cid:durableId="1948653443">
    <w:abstractNumId w:val="19"/>
  </w:num>
  <w:num w:numId="24" w16cid:durableId="1700622093">
    <w:abstractNumId w:val="14"/>
  </w:num>
  <w:num w:numId="25" w16cid:durableId="1180698109">
    <w:abstractNumId w:val="9"/>
  </w:num>
  <w:num w:numId="26" w16cid:durableId="1996564288">
    <w:abstractNumId w:val="21"/>
  </w:num>
  <w:num w:numId="27" w16cid:durableId="1022783393">
    <w:abstractNumId w:val="1"/>
  </w:num>
  <w:num w:numId="28" w16cid:durableId="12114540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D4"/>
    <w:rsid w:val="00101428"/>
    <w:rsid w:val="002F6119"/>
    <w:rsid w:val="003E2BD4"/>
    <w:rsid w:val="004C206B"/>
    <w:rsid w:val="008E10C1"/>
    <w:rsid w:val="00AF5A21"/>
    <w:rsid w:val="00AF7B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6EA3F"/>
  <w15:docId w15:val="{EB2986C7-2B3F-4DCD-BBD9-45B00284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NoSpacing">
    <w:name w:val="No Spacing"/>
    <w:uiPriority w:val="1"/>
    <w:qFormat/>
    <w:rsid w:val="00101428"/>
    <w:pPr>
      <w:spacing w:after="0" w:line="240" w:lineRule="auto"/>
    </w:pPr>
  </w:style>
  <w:style w:type="paragraph" w:styleId="Header">
    <w:name w:val="header"/>
    <w:basedOn w:val="Normal"/>
    <w:link w:val="HeaderChar"/>
    <w:uiPriority w:val="99"/>
    <w:unhideWhenUsed/>
    <w:rsid w:val="00AF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21"/>
  </w:style>
  <w:style w:type="paragraph" w:styleId="Footer">
    <w:name w:val="footer"/>
    <w:basedOn w:val="Normal"/>
    <w:link w:val="FooterChar"/>
    <w:uiPriority w:val="99"/>
    <w:unhideWhenUsed/>
    <w:rsid w:val="00AF5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sel.org/" TargetMode="External"/><Relationship Id="rId18" Type="http://schemas.openxmlformats.org/officeDocument/2006/relationships/hyperlink" Target="https://dcc.dickinson.edu/latin-core-list1?fbclid=IwAR0CyDHM2aUEi_SHgpIvI0159ePUowFwWZoghzP0-wJlGqONvsqcYn5dh-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ctfl.org/sites/default/files/resources/Core%20practices.pdf" TargetMode="External"/><Relationship Id="rId7" Type="http://schemas.openxmlformats.org/officeDocument/2006/relationships/webSettings" Target="webSettings.xml"/><Relationship Id="rId12" Type="http://schemas.openxmlformats.org/officeDocument/2006/relationships/hyperlink" Target="https://www.doe.mass.edu/worldlanguages/support/content-standards.pdf" TargetMode="External"/><Relationship Id="rId17" Type="http://schemas.openxmlformats.org/officeDocument/2006/relationships/hyperlink" Target="http://www.getty.edu/education/teachers/classroom_resources/curricula/ancient_ar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newsela.com" TargetMode="External"/><Relationship Id="rId20" Type="http://schemas.openxmlformats.org/officeDocument/2006/relationships/hyperlink" Target="https://drive.google.com/file/d/1KLppzrHn31GhexmsaOemRN2DIBmjFo5F/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tty.edu/education/teachers/classroom_resources/curricula/ancient_art/"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doe.mass.edu/frameworks/current.html" TargetMode="External"/><Relationship Id="rId23" Type="http://schemas.openxmlformats.org/officeDocument/2006/relationships/footer" Target="footer1.xml"/><Relationship Id="rId10" Type="http://schemas.openxmlformats.org/officeDocument/2006/relationships/hyperlink" Target="https://www.actfl.org/resources/ncssfl-actfl-can-do-statements" TargetMode="External"/><Relationship Id="rId19" Type="http://schemas.openxmlformats.org/officeDocument/2006/relationships/hyperlink" Target="https://bridge.haverford.edu/select/Lat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arningforjustice.org/frameworks/social-justice-standard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D6F5E-66FF-436E-B6C7-ECCBA042C9C7}">
  <ds:schemaRefs>
    <ds:schemaRef ds:uri="http://schemas.microsoft.com/sharepoint/v3/contenttype/forms"/>
  </ds:schemaRefs>
</ds:datastoreItem>
</file>

<file path=customXml/itemProps2.xml><?xml version="1.0" encoding="utf-8"?>
<ds:datastoreItem xmlns:ds="http://schemas.openxmlformats.org/officeDocument/2006/customXml" ds:itemID="{9085C214-1650-4383-8D5B-199EED17D58F}">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3.xml><?xml version="1.0" encoding="utf-8"?>
<ds:datastoreItem xmlns:ds="http://schemas.openxmlformats.org/officeDocument/2006/customXml" ds:itemID="{A8E6B538-F338-44A8-B44E-C7E5971F9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1965</Words>
  <Characters>11146</Characters>
  <Application>Microsoft Office Word</Application>
  <DocSecurity>0</DocSecurity>
  <Lines>371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all Hercules</dc:title>
  <dc:subject/>
  <dc:creator>DESE</dc:creator>
  <cp:keywords/>
  <cp:lastModifiedBy>Zou, Dong (EOE)</cp:lastModifiedBy>
  <cp:revision>5</cp:revision>
  <dcterms:created xsi:type="dcterms:W3CDTF">2022-03-09T14:13:00Z</dcterms:created>
  <dcterms:modified xsi:type="dcterms:W3CDTF">2023-11-30T19:45:00Z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